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仿宋" w:hAnsi="仿宋" w:eastAsia="仿宋" w:cs="仿宋"/>
          <w:b/>
          <w:bCs/>
          <w:sz w:val="36"/>
          <w:szCs w:val="36"/>
        </w:rPr>
      </w:pPr>
      <w:r>
        <w:rPr>
          <w:rFonts w:hint="eastAsia" w:ascii="仿宋" w:hAnsi="仿宋" w:eastAsia="仿宋" w:cs="仿宋"/>
          <w:b/>
          <w:bCs/>
          <w:sz w:val="36"/>
          <w:szCs w:val="36"/>
          <w:lang w:eastAsia="zh-CN"/>
        </w:rPr>
        <w:t>财信证券年年鑫18个月封闭式006期</w:t>
      </w:r>
      <w:r>
        <w:rPr>
          <w:rFonts w:hint="eastAsia" w:ascii="仿宋" w:hAnsi="仿宋" w:eastAsia="仿宋" w:cs="仿宋"/>
          <w:b/>
          <w:bCs/>
          <w:sz w:val="36"/>
          <w:szCs w:val="36"/>
        </w:rPr>
        <w:t>集合资产管理</w:t>
      </w:r>
    </w:p>
    <w:p>
      <w:pPr>
        <w:jc w:val="center"/>
        <w:outlineLvl w:val="0"/>
        <w:rPr>
          <w:rFonts w:ascii="仿宋" w:hAnsi="仿宋" w:eastAsia="仿宋" w:cs="仿宋"/>
          <w:b/>
          <w:bCs/>
          <w:sz w:val="36"/>
          <w:szCs w:val="36"/>
        </w:rPr>
      </w:pPr>
      <w:r>
        <w:rPr>
          <w:rFonts w:hint="eastAsia" w:ascii="仿宋" w:hAnsi="仿宋" w:eastAsia="仿宋" w:cs="仿宋"/>
          <w:b/>
          <w:bCs/>
          <w:sz w:val="36"/>
          <w:szCs w:val="36"/>
        </w:rPr>
        <w:t>计划合同变更公告</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lang w:eastAsia="zh-CN"/>
        </w:rPr>
        <w:t>财信证券年年鑫18个月封闭式006期</w:t>
      </w:r>
      <w:r>
        <w:rPr>
          <w:rFonts w:hint="eastAsia" w:ascii="仿宋" w:hAnsi="仿宋" w:eastAsia="仿宋" w:cs="仿宋"/>
          <w:sz w:val="24"/>
        </w:rPr>
        <w:t>集合资产管理计划（以下简称“本集合计划”）成立于</w:t>
      </w:r>
      <w:r>
        <w:rPr>
          <w:rFonts w:hint="eastAsia" w:ascii="仿宋" w:hAnsi="仿宋" w:eastAsia="仿宋" w:cs="仿宋"/>
          <w:color w:val="auto"/>
          <w:sz w:val="24"/>
          <w:highlight w:val="yellow"/>
        </w:rPr>
        <w:t>202</w:t>
      </w:r>
      <w:r>
        <w:rPr>
          <w:rFonts w:ascii="仿宋" w:hAnsi="仿宋" w:eastAsia="仿宋" w:cs="仿宋"/>
          <w:color w:val="auto"/>
          <w:sz w:val="24"/>
          <w:highlight w:val="yellow"/>
        </w:rPr>
        <w:t>3</w:t>
      </w:r>
      <w:r>
        <w:rPr>
          <w:rFonts w:hint="eastAsia" w:ascii="仿宋" w:hAnsi="仿宋" w:eastAsia="仿宋" w:cs="仿宋"/>
          <w:color w:val="auto"/>
          <w:sz w:val="24"/>
          <w:highlight w:val="yellow"/>
        </w:rPr>
        <w:t>年</w:t>
      </w:r>
      <w:r>
        <w:rPr>
          <w:rFonts w:ascii="仿宋" w:hAnsi="仿宋" w:eastAsia="仿宋" w:cs="仿宋"/>
          <w:color w:val="auto"/>
          <w:sz w:val="24"/>
          <w:highlight w:val="yellow"/>
        </w:rPr>
        <w:t>3</w:t>
      </w:r>
      <w:r>
        <w:rPr>
          <w:rFonts w:hint="eastAsia" w:ascii="仿宋" w:hAnsi="仿宋" w:eastAsia="仿宋" w:cs="仿宋"/>
          <w:color w:val="auto"/>
          <w:sz w:val="24"/>
          <w:highlight w:val="yellow"/>
        </w:rPr>
        <w:t>月</w:t>
      </w:r>
      <w:r>
        <w:rPr>
          <w:rFonts w:hint="eastAsia" w:ascii="仿宋" w:hAnsi="仿宋" w:eastAsia="仿宋" w:cs="仿宋"/>
          <w:color w:val="auto"/>
          <w:sz w:val="24"/>
          <w:highlight w:val="yellow"/>
          <w:lang w:val="en-US" w:eastAsia="zh-CN"/>
        </w:rPr>
        <w:t>20</w:t>
      </w:r>
      <w:r>
        <w:rPr>
          <w:rFonts w:hint="eastAsia" w:ascii="仿宋" w:hAnsi="仿宋" w:eastAsia="仿宋" w:cs="仿宋"/>
          <w:color w:val="auto"/>
          <w:sz w:val="24"/>
          <w:highlight w:val="yellow"/>
        </w:rPr>
        <w:t>日</w:t>
      </w:r>
      <w:r>
        <w:rPr>
          <w:rFonts w:hint="eastAsia" w:ascii="仿宋" w:hAnsi="仿宋" w:eastAsia="仿宋" w:cs="仿宋"/>
          <w:sz w:val="24"/>
        </w:rPr>
        <w:t>，经管理人与托管人协商一致，现拟对《</w:t>
      </w:r>
      <w:r>
        <w:rPr>
          <w:rFonts w:hint="eastAsia" w:ascii="仿宋" w:hAnsi="仿宋" w:eastAsia="仿宋" w:cs="仿宋"/>
          <w:sz w:val="24"/>
          <w:lang w:eastAsia="zh-CN"/>
        </w:rPr>
        <w:t>财信证券年年鑫18个月封闭式006期</w:t>
      </w:r>
      <w:r>
        <w:rPr>
          <w:rFonts w:hint="eastAsia" w:ascii="仿宋" w:hAnsi="仿宋" w:eastAsia="仿宋" w:cs="仿宋"/>
          <w:sz w:val="24"/>
        </w:rPr>
        <w:t>集合资产管理计划资产管理合同》（以下简称“《资产管理合同》”）的相关条款进行变更，相关条款的具体修改详见附件1，本次合同变更未改变本集合计划的风险等级。</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根据《资产管理合同》第二十四章“资产管理合同的变更、终止与财产清算”第（一）节第 1 点的有关约定，本次合同修改符合</w:t>
      </w:r>
      <w:bookmarkStart w:id="4" w:name="_GoBack"/>
      <w:bookmarkEnd w:id="4"/>
      <w:r>
        <w:rPr>
          <w:rFonts w:hint="eastAsia" w:ascii="仿宋" w:hAnsi="仿宋" w:eastAsia="仿宋" w:cs="仿宋"/>
          <w:sz w:val="24"/>
        </w:rPr>
        <w:t>“资产管理计划备案过程中，被要求补正备案材料，涉及到本合同修改的”的情况，可由管理人和托管人协商一致后对合同作出修改。</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我司已就本次合同变更事宜与托管人中国银行股份有限公司湖南省分行达成一致。</w:t>
      </w:r>
    </w:p>
    <w:p>
      <w:pPr>
        <w:pStyle w:val="2"/>
        <w:spacing w:line="360" w:lineRule="auto"/>
        <w:ind w:left="0" w:leftChars="0" w:firstLine="480" w:firstLineChars="200"/>
      </w:pPr>
      <w:r>
        <w:rPr>
          <w:rFonts w:hint="eastAsia" w:ascii="仿宋" w:hAnsi="仿宋" w:eastAsia="仿宋" w:cs="仿宋"/>
          <w:sz w:val="24"/>
        </w:rPr>
        <w:t>本次合同变更的内容将于</w:t>
      </w:r>
      <w:r>
        <w:rPr>
          <w:rFonts w:hint="eastAsia" w:ascii="仿宋" w:hAnsi="仿宋" w:eastAsia="仿宋" w:cs="仿宋"/>
          <w:b/>
          <w:bCs/>
          <w:sz w:val="24"/>
          <w:highlight w:val="yellow"/>
          <w:u w:val="single"/>
        </w:rPr>
        <w:t>2023年</w:t>
      </w:r>
      <w:r>
        <w:rPr>
          <w:rFonts w:hint="eastAsia" w:ascii="仿宋" w:hAnsi="仿宋" w:eastAsia="仿宋" w:cs="仿宋"/>
          <w:b/>
          <w:bCs/>
          <w:sz w:val="24"/>
          <w:highlight w:val="yellow"/>
          <w:u w:val="single"/>
          <w:lang w:val="en-US" w:eastAsia="zh-CN"/>
        </w:rPr>
        <w:t>4</w:t>
      </w:r>
      <w:r>
        <w:rPr>
          <w:rFonts w:hint="eastAsia" w:ascii="仿宋" w:hAnsi="仿宋" w:eastAsia="仿宋" w:cs="仿宋"/>
          <w:b/>
          <w:bCs/>
          <w:sz w:val="24"/>
          <w:highlight w:val="yellow"/>
          <w:u w:val="single"/>
        </w:rPr>
        <w:t>月</w:t>
      </w:r>
      <w:r>
        <w:rPr>
          <w:rFonts w:hint="eastAsia" w:ascii="仿宋" w:hAnsi="仿宋" w:eastAsia="仿宋" w:cs="仿宋"/>
          <w:b/>
          <w:bCs/>
          <w:sz w:val="24"/>
          <w:highlight w:val="yellow"/>
          <w:u w:val="single"/>
          <w:lang w:val="en-US" w:eastAsia="zh-CN"/>
        </w:rPr>
        <w:t>1</w:t>
      </w:r>
      <w:r>
        <w:rPr>
          <w:rFonts w:ascii="仿宋" w:hAnsi="仿宋" w:eastAsia="仿宋" w:cs="仿宋"/>
          <w:b/>
          <w:bCs/>
          <w:sz w:val="24"/>
          <w:highlight w:val="yellow"/>
          <w:u w:val="single"/>
        </w:rPr>
        <w:t>0</w:t>
      </w:r>
      <w:r>
        <w:rPr>
          <w:rFonts w:hint="eastAsia" w:ascii="仿宋" w:hAnsi="仿宋" w:eastAsia="仿宋" w:cs="仿宋"/>
          <w:b/>
          <w:bCs/>
          <w:sz w:val="24"/>
          <w:highlight w:val="yellow"/>
          <w:u w:val="single"/>
        </w:rPr>
        <w:t>日</w:t>
      </w:r>
      <w:r>
        <w:rPr>
          <w:rFonts w:hint="eastAsia" w:ascii="仿宋" w:hAnsi="仿宋" w:eastAsia="仿宋" w:cs="仿宋"/>
          <w:sz w:val="24"/>
        </w:rPr>
        <w:t>生效，投资者、管理人和托管人应当按照变更后的合同行使相关权利，履行相应义务。</w:t>
      </w:r>
    </w:p>
    <w:p>
      <w:pPr>
        <w:spacing w:line="360" w:lineRule="auto"/>
        <w:ind w:firstLine="480" w:firstLineChars="200"/>
        <w:jc w:val="left"/>
        <w:rPr>
          <w:rFonts w:ascii="仿宋" w:hAnsi="仿宋" w:eastAsia="仿宋" w:cs="仿宋"/>
          <w:sz w:val="24"/>
        </w:rPr>
      </w:pPr>
    </w:p>
    <w:p>
      <w:pPr>
        <w:spacing w:line="360" w:lineRule="auto"/>
        <w:ind w:firstLine="480" w:firstLineChars="200"/>
        <w:jc w:val="left"/>
        <w:rPr>
          <w:rFonts w:ascii="仿宋" w:hAnsi="仿宋" w:eastAsia="仿宋" w:cs="仿宋"/>
          <w:sz w:val="24"/>
        </w:rPr>
      </w:pPr>
      <w:r>
        <w:rPr>
          <w:rFonts w:ascii="仿宋" w:hAnsi="仿宋" w:eastAsia="仿宋" w:cs="仿宋"/>
          <w:sz w:val="24"/>
        </w:rPr>
        <w:t xml:space="preserve">如有疑问，请您致电咨询本公司资产管理业务客户服务电话0731-84403481。 </w:t>
      </w:r>
    </w:p>
    <w:p>
      <w:pPr>
        <w:spacing w:line="360" w:lineRule="auto"/>
        <w:jc w:val="left"/>
        <w:rPr>
          <w:rFonts w:ascii="仿宋" w:hAnsi="仿宋" w:eastAsia="仿宋" w:cs="仿宋"/>
          <w:sz w:val="24"/>
        </w:rPr>
      </w:pPr>
    </w:p>
    <w:p>
      <w:pPr>
        <w:spacing w:line="360" w:lineRule="auto"/>
        <w:ind w:firstLine="480" w:firstLineChars="200"/>
        <w:jc w:val="left"/>
        <w:outlineLvl w:val="0"/>
        <w:rPr>
          <w:rFonts w:ascii="仿宋" w:hAnsi="仿宋" w:eastAsia="仿宋" w:cs="仿宋"/>
          <w:sz w:val="24"/>
        </w:rPr>
      </w:pPr>
      <w:r>
        <w:rPr>
          <w:rFonts w:ascii="仿宋" w:hAnsi="仿宋" w:eastAsia="仿宋" w:cs="仿宋"/>
          <w:sz w:val="24"/>
        </w:rPr>
        <w:t xml:space="preserve">附件 1：《资产管理合同》变更条款对照表 </w:t>
      </w:r>
    </w:p>
    <w:p>
      <w:pPr>
        <w:spacing w:line="360" w:lineRule="auto"/>
        <w:ind w:firstLine="480" w:firstLineChars="200"/>
        <w:jc w:val="left"/>
        <w:rPr>
          <w:rFonts w:ascii="仿宋" w:hAnsi="仿宋" w:eastAsia="仿宋" w:cs="仿宋"/>
          <w:sz w:val="24"/>
        </w:rPr>
      </w:pPr>
    </w:p>
    <w:p>
      <w:pPr>
        <w:spacing w:line="360" w:lineRule="auto"/>
        <w:ind w:firstLine="480" w:firstLineChars="200"/>
        <w:jc w:val="right"/>
        <w:rPr>
          <w:rFonts w:ascii="仿宋" w:hAnsi="仿宋" w:eastAsia="仿宋" w:cs="仿宋"/>
          <w:sz w:val="24"/>
        </w:rPr>
      </w:pPr>
      <w:r>
        <w:rPr>
          <w:rFonts w:hint="eastAsia" w:ascii="仿宋" w:hAnsi="仿宋" w:eastAsia="仿宋" w:cs="仿宋"/>
          <w:sz w:val="24"/>
        </w:rPr>
        <w:t>财信证券股份有限公司</w:t>
      </w:r>
    </w:p>
    <w:p>
      <w:pPr>
        <w:spacing w:line="360" w:lineRule="auto"/>
        <w:ind w:firstLine="480" w:firstLineChars="200"/>
        <w:jc w:val="right"/>
        <w:rPr>
          <w:rFonts w:ascii="仿宋" w:hAnsi="仿宋" w:eastAsia="仿宋" w:cs="仿宋"/>
          <w:sz w:val="24"/>
        </w:rPr>
      </w:pPr>
      <w:r>
        <w:rPr>
          <w:rFonts w:ascii="仿宋" w:hAnsi="仿宋" w:eastAsia="仿宋" w:cs="仿宋"/>
          <w:sz w:val="24"/>
        </w:rPr>
        <w:t>2023年</w:t>
      </w:r>
      <w:r>
        <w:rPr>
          <w:rFonts w:hint="eastAsia" w:ascii="仿宋" w:hAnsi="仿宋" w:eastAsia="仿宋" w:cs="仿宋"/>
          <w:sz w:val="24"/>
          <w:lang w:val="en-US" w:eastAsia="zh-CN"/>
        </w:rPr>
        <w:t>4</w:t>
      </w:r>
      <w:r>
        <w:rPr>
          <w:rFonts w:hint="eastAsia" w:ascii="仿宋" w:hAnsi="仿宋" w:eastAsia="仿宋" w:cs="仿宋"/>
          <w:sz w:val="24"/>
        </w:rPr>
        <w:t>月</w:t>
      </w:r>
      <w:r>
        <w:rPr>
          <w:rFonts w:ascii="仿宋" w:hAnsi="仿宋" w:eastAsia="仿宋" w:cs="仿宋"/>
          <w:sz w:val="24"/>
        </w:rPr>
        <w:t xml:space="preserve"> </w:t>
      </w:r>
      <w:r>
        <w:rPr>
          <w:rFonts w:hint="eastAsia" w:ascii="仿宋" w:hAnsi="仿宋" w:eastAsia="仿宋" w:cs="仿宋"/>
          <w:sz w:val="24"/>
        </w:rPr>
        <w:t>日</w:t>
      </w:r>
    </w:p>
    <w:p>
      <w:pPr>
        <w:spacing w:line="360" w:lineRule="auto"/>
        <w:ind w:firstLine="480" w:firstLineChars="200"/>
        <w:jc w:val="right"/>
        <w:rPr>
          <w:rFonts w:ascii="仿宋" w:hAnsi="仿宋" w:eastAsia="仿宋" w:cs="仿宋"/>
          <w:sz w:val="24"/>
        </w:rPr>
      </w:pPr>
    </w:p>
    <w:p>
      <w:pPr>
        <w:spacing w:line="360" w:lineRule="auto"/>
        <w:ind w:firstLine="480" w:firstLineChars="200"/>
        <w:jc w:val="right"/>
        <w:rPr>
          <w:rFonts w:ascii="仿宋" w:hAnsi="仿宋" w:eastAsia="仿宋" w:cs="仿宋"/>
          <w:sz w:val="24"/>
        </w:rPr>
      </w:pPr>
    </w:p>
    <w:p>
      <w:pPr>
        <w:spacing w:line="360" w:lineRule="auto"/>
        <w:ind w:firstLine="480" w:firstLineChars="200"/>
        <w:jc w:val="left"/>
        <w:rPr>
          <w:rFonts w:ascii="仿宋" w:hAnsi="仿宋" w:eastAsia="仿宋" w:cs="仿宋"/>
          <w:sz w:val="24"/>
        </w:rPr>
      </w:pPr>
    </w:p>
    <w:p>
      <w:pPr>
        <w:spacing w:line="360" w:lineRule="auto"/>
        <w:ind w:firstLine="480" w:firstLineChars="200"/>
        <w:jc w:val="left"/>
        <w:rPr>
          <w:rFonts w:ascii="仿宋" w:hAnsi="仿宋" w:eastAsia="仿宋" w:cs="仿宋"/>
          <w:sz w:val="24"/>
        </w:rPr>
      </w:pPr>
    </w:p>
    <w:p>
      <w:pPr>
        <w:spacing w:line="360" w:lineRule="auto"/>
        <w:ind w:firstLine="480" w:firstLineChars="200"/>
        <w:jc w:val="left"/>
        <w:rPr>
          <w:rFonts w:ascii="仿宋" w:hAnsi="仿宋" w:eastAsia="仿宋" w:cs="仿宋"/>
          <w:sz w:val="24"/>
        </w:rPr>
      </w:pPr>
    </w:p>
    <w:p>
      <w:pPr>
        <w:spacing w:line="360" w:lineRule="auto"/>
        <w:jc w:val="left"/>
        <w:outlineLvl w:val="0"/>
        <w:rPr>
          <w:rFonts w:hint="eastAsia" w:ascii="仿宋" w:hAnsi="仿宋" w:eastAsia="仿宋" w:cs="仿宋"/>
          <w:b/>
          <w:bCs/>
          <w:sz w:val="24"/>
        </w:rPr>
      </w:pPr>
    </w:p>
    <w:p>
      <w:pPr>
        <w:spacing w:line="360" w:lineRule="auto"/>
        <w:jc w:val="left"/>
        <w:outlineLvl w:val="0"/>
        <w:rPr>
          <w:rFonts w:ascii="仿宋" w:hAnsi="仿宋" w:eastAsia="仿宋" w:cs="仿宋"/>
          <w:b/>
          <w:bCs/>
          <w:sz w:val="24"/>
        </w:rPr>
      </w:pPr>
      <w:r>
        <w:rPr>
          <w:rFonts w:hint="eastAsia" w:ascii="仿宋" w:hAnsi="仿宋" w:eastAsia="仿宋" w:cs="仿宋"/>
          <w:b/>
          <w:bCs/>
          <w:sz w:val="24"/>
        </w:rPr>
        <w:t>附件1：《资产管理合同》变更条款对照表</w:t>
      </w:r>
    </w:p>
    <w:p>
      <w:pPr>
        <w:spacing w:line="360" w:lineRule="auto"/>
        <w:jc w:val="left"/>
        <w:rPr>
          <w:rFonts w:ascii="仿宋" w:hAnsi="仿宋" w:eastAsia="仿宋" w:cs="仿宋"/>
          <w:sz w:val="24"/>
        </w:rPr>
      </w:pPr>
      <w:r>
        <w:rPr>
          <w:rFonts w:ascii="仿宋" w:hAnsi="仿宋" w:eastAsia="仿宋" w:cs="仿宋"/>
          <w:sz w:val="24"/>
        </w:rPr>
        <w:t>（本附件仅列举关键变更条款，详情请参考《</w:t>
      </w:r>
      <w:r>
        <w:rPr>
          <w:rFonts w:hint="eastAsia" w:ascii="仿宋" w:hAnsi="仿宋" w:eastAsia="仿宋" w:cs="仿宋"/>
          <w:sz w:val="24"/>
          <w:lang w:eastAsia="zh-CN"/>
        </w:rPr>
        <w:t>财信证券年年鑫18个月封闭式006期</w:t>
      </w:r>
      <w:r>
        <w:rPr>
          <w:rFonts w:ascii="仿宋" w:hAnsi="仿宋" w:eastAsia="仿宋" w:cs="仿宋"/>
          <w:sz w:val="24"/>
        </w:rPr>
        <w:t>集合资产管理计划资产管理合同》</w:t>
      </w:r>
      <w:r>
        <w:rPr>
          <w:rFonts w:hint="eastAsia" w:ascii="仿宋" w:hAnsi="仿宋" w:eastAsia="仿宋" w:cs="仿宋"/>
          <w:sz w:val="24"/>
        </w:rPr>
        <w:t>及其补充协议、</w:t>
      </w:r>
      <w:r>
        <w:rPr>
          <w:rFonts w:ascii="仿宋" w:hAnsi="仿宋" w:eastAsia="仿宋" w:cs="仿宋"/>
          <w:sz w:val="24"/>
        </w:rPr>
        <w:t>《</w:t>
      </w:r>
      <w:r>
        <w:rPr>
          <w:rFonts w:hint="eastAsia" w:ascii="仿宋" w:hAnsi="仿宋" w:eastAsia="仿宋" w:cs="仿宋"/>
          <w:sz w:val="24"/>
          <w:lang w:eastAsia="zh-CN"/>
        </w:rPr>
        <w:t>财信证券年年鑫18个月封闭式006期</w:t>
      </w:r>
      <w:r>
        <w:rPr>
          <w:rFonts w:ascii="仿宋" w:hAnsi="仿宋" w:eastAsia="仿宋" w:cs="仿宋"/>
          <w:sz w:val="24"/>
        </w:rPr>
        <w:t>集合资产管理计划说明书》、《</w:t>
      </w:r>
      <w:r>
        <w:rPr>
          <w:rFonts w:hint="eastAsia" w:ascii="仿宋" w:hAnsi="仿宋" w:eastAsia="仿宋" w:cs="仿宋"/>
          <w:sz w:val="24"/>
          <w:lang w:eastAsia="zh-CN"/>
        </w:rPr>
        <w:t>财信证券年年鑫18个月封闭式006期</w:t>
      </w:r>
      <w:r>
        <w:rPr>
          <w:rFonts w:ascii="仿宋" w:hAnsi="仿宋" w:eastAsia="仿宋" w:cs="仿宋"/>
          <w:sz w:val="24"/>
        </w:rPr>
        <w:t>集合资产管理计划风险揭示</w:t>
      </w:r>
      <w:r>
        <w:rPr>
          <w:rFonts w:hint="eastAsia" w:ascii="仿宋" w:hAnsi="仿宋" w:eastAsia="仿宋" w:cs="仿宋"/>
          <w:sz w:val="24"/>
        </w:rPr>
        <w:t>书》。）</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Pr>
          <w:p>
            <w:pPr>
              <w:spacing w:line="360" w:lineRule="auto"/>
              <w:jc w:val="center"/>
              <w:rPr>
                <w:rFonts w:ascii="仿宋" w:hAnsi="仿宋" w:eastAsia="仿宋" w:cs="仿宋"/>
                <w:b/>
                <w:bCs/>
                <w:sz w:val="24"/>
              </w:rPr>
            </w:pPr>
            <w:r>
              <w:rPr>
                <w:rFonts w:hint="eastAsia" w:ascii="仿宋" w:hAnsi="仿宋" w:eastAsia="仿宋" w:cs="仿宋"/>
                <w:b/>
                <w:bCs/>
                <w:sz w:val="24"/>
              </w:rPr>
              <w:t>《</w:t>
            </w:r>
            <w:r>
              <w:rPr>
                <w:rFonts w:hint="eastAsia" w:ascii="仿宋" w:hAnsi="仿宋" w:eastAsia="仿宋" w:cs="仿宋"/>
                <w:b/>
                <w:bCs/>
                <w:sz w:val="24"/>
                <w:lang w:eastAsia="zh-CN"/>
              </w:rPr>
              <w:t>财信证券年年鑫18个月封闭式006期</w:t>
            </w:r>
            <w:r>
              <w:rPr>
                <w:rFonts w:hint="eastAsia" w:ascii="仿宋" w:hAnsi="仿宋" w:eastAsia="仿宋" w:cs="仿宋"/>
                <w:b/>
                <w:bCs/>
                <w:sz w:val="24"/>
              </w:rPr>
              <w:t>集合资产管理计划资产管理合同》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360" w:lineRule="auto"/>
              <w:jc w:val="center"/>
              <w:rPr>
                <w:rFonts w:ascii="仿宋" w:hAnsi="仿宋" w:eastAsia="仿宋" w:cs="仿宋"/>
                <w:b/>
                <w:bCs/>
                <w:sz w:val="24"/>
              </w:rPr>
            </w:pPr>
            <w:r>
              <w:rPr>
                <w:rFonts w:hint="eastAsia" w:ascii="仿宋" w:hAnsi="仿宋" w:eastAsia="仿宋" w:cs="仿宋"/>
                <w:b/>
                <w:bCs/>
                <w:sz w:val="24"/>
              </w:rPr>
              <w:t>变更前</w:t>
            </w:r>
          </w:p>
        </w:tc>
        <w:tc>
          <w:tcPr>
            <w:tcW w:w="4261" w:type="dxa"/>
          </w:tcPr>
          <w:p>
            <w:pPr>
              <w:spacing w:line="360" w:lineRule="auto"/>
              <w:jc w:val="center"/>
              <w:rPr>
                <w:rFonts w:ascii="仿宋" w:hAnsi="仿宋" w:eastAsia="仿宋" w:cs="仿宋"/>
                <w:b/>
                <w:bCs/>
                <w:sz w:val="24"/>
              </w:rPr>
            </w:pPr>
            <w:r>
              <w:rPr>
                <w:rFonts w:hint="eastAsia" w:ascii="仿宋" w:hAnsi="仿宋" w:eastAsia="仿宋" w:cs="仿宋"/>
                <w:b/>
                <w:bCs/>
                <w:sz w:val="24"/>
              </w:rPr>
              <w:t>变更后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pStyle w:val="6"/>
              <w:ind w:firstLine="0"/>
              <w:rPr>
                <w:rFonts w:ascii="仿宋" w:hAnsi="仿宋" w:eastAsia="仿宋"/>
                <w:b/>
                <w:bCs/>
                <w:sz w:val="24"/>
                <w:szCs w:val="24"/>
              </w:rPr>
            </w:pPr>
            <w:r>
              <w:rPr>
                <w:rFonts w:hint="eastAsia" w:ascii="仿宋" w:hAnsi="仿宋" w:eastAsia="仿宋"/>
                <w:b/>
                <w:bCs/>
                <w:sz w:val="24"/>
                <w:szCs w:val="24"/>
              </w:rPr>
              <w:t>八、资产管理计划的参与、退出与转让</w:t>
            </w:r>
          </w:p>
          <w:p>
            <w:pPr>
              <w:pStyle w:val="6"/>
              <w:ind w:firstLine="0"/>
              <w:rPr>
                <w:rFonts w:ascii="仿宋" w:hAnsi="仿宋" w:eastAsia="仿宋"/>
                <w:sz w:val="24"/>
                <w:szCs w:val="24"/>
              </w:rPr>
            </w:pPr>
            <w:r>
              <w:rPr>
                <w:rFonts w:hint="eastAsia" w:ascii="仿宋" w:hAnsi="仿宋" w:eastAsia="仿宋"/>
                <w:sz w:val="24"/>
                <w:szCs w:val="24"/>
              </w:rPr>
              <w:t>（十一）管理人自有资金参与集合计划</w:t>
            </w:r>
          </w:p>
          <w:p>
            <w:pPr>
              <w:pStyle w:val="6"/>
              <w:ind w:firstLine="0"/>
              <w:rPr>
                <w:rFonts w:ascii="仿宋" w:hAnsi="仿宋" w:eastAsia="仿宋" w:cs="Times New Roman"/>
                <w:iCs/>
                <w:kern w:val="0"/>
                <w:sz w:val="24"/>
              </w:rPr>
            </w:pPr>
            <w:r>
              <w:rPr>
                <w:rFonts w:ascii="仿宋" w:hAnsi="仿宋" w:eastAsia="仿宋" w:cs="Times New Roman"/>
                <w:iCs/>
                <w:kern w:val="0"/>
                <w:sz w:val="24"/>
              </w:rPr>
              <w:t>1、自有资金参与的条件：</w:t>
            </w:r>
          </w:p>
          <w:p>
            <w:pPr>
              <w:pStyle w:val="6"/>
              <w:ind w:firstLine="0"/>
              <w:rPr>
                <w:rFonts w:hint="default" w:ascii="仿宋" w:hAnsi="仿宋" w:eastAsia="仿宋" w:cs="Times New Roman"/>
                <w:iCs/>
                <w:kern w:val="0"/>
                <w:sz w:val="24"/>
                <w:lang w:val="en-US" w:eastAsia="zh-CN"/>
              </w:rPr>
            </w:pPr>
            <w:r>
              <w:rPr>
                <w:rFonts w:hint="eastAsia" w:ascii="仿宋" w:hAnsi="仿宋" w:eastAsia="仿宋" w:cs="Times New Roman"/>
                <w:iCs/>
                <w:kern w:val="0"/>
                <w:sz w:val="24"/>
              </w:rPr>
              <w:t>投资者、托管人</w:t>
            </w:r>
            <w:r>
              <w:rPr>
                <w:rFonts w:hint="eastAsia" w:ascii="仿宋" w:hAnsi="仿宋" w:eastAsia="仿宋" w:cs="Times New Roman"/>
                <w:iCs/>
                <w:kern w:val="0"/>
                <w:sz w:val="24"/>
                <w:lang w:val="en-US" w:eastAsia="zh-CN"/>
              </w:rPr>
              <w:t>同意并授权</w:t>
            </w:r>
            <w:r>
              <w:rPr>
                <w:rFonts w:hint="eastAsia" w:ascii="仿宋" w:hAnsi="仿宋" w:eastAsia="仿宋" w:cs="Times New Roman"/>
                <w:iCs/>
                <w:kern w:val="0"/>
                <w:sz w:val="24"/>
              </w:rPr>
              <w:t>管理人</w:t>
            </w:r>
            <w:r>
              <w:rPr>
                <w:rFonts w:hint="eastAsia" w:ascii="仿宋" w:hAnsi="仿宋" w:eastAsia="仿宋" w:cs="Times New Roman"/>
                <w:iCs/>
                <w:kern w:val="0"/>
                <w:sz w:val="24"/>
                <w:lang w:val="en-US" w:eastAsia="zh-CN"/>
              </w:rPr>
              <w:t>在</w:t>
            </w:r>
            <w:r>
              <w:rPr>
                <w:rFonts w:hint="eastAsia" w:ascii="仿宋" w:hAnsi="仿宋" w:eastAsia="仿宋" w:cs="Times New Roman"/>
                <w:iCs/>
                <w:kern w:val="0"/>
                <w:sz w:val="24"/>
              </w:rPr>
              <w:t>募集期和存续期可以以自有资金参与本集合计划。</w:t>
            </w:r>
            <w:r>
              <w:rPr>
                <w:rFonts w:hint="eastAsia" w:ascii="仿宋" w:hAnsi="仿宋" w:eastAsia="仿宋" w:cs="Times New Roman"/>
                <w:iCs/>
                <w:kern w:val="0"/>
                <w:sz w:val="24"/>
                <w:lang w:val="en-US" w:eastAsia="zh-CN"/>
              </w:rPr>
              <w:t>管理人以自有资金参与本集合计划，应</w:t>
            </w:r>
            <w:r>
              <w:rPr>
                <w:rFonts w:hint="eastAsia" w:ascii="仿宋" w:hAnsi="仿宋" w:eastAsia="仿宋" w:cs="Times New Roman"/>
                <w:iCs/>
                <w:kern w:val="0"/>
                <w:sz w:val="24"/>
              </w:rPr>
              <w:t>符合法律法规、监管规定和本合同的相关规定。</w:t>
            </w:r>
          </w:p>
          <w:p>
            <w:pPr>
              <w:pStyle w:val="6"/>
              <w:ind w:firstLine="0"/>
              <w:rPr>
                <w:rFonts w:ascii="仿宋" w:hAnsi="仿宋" w:eastAsia="仿宋" w:cs="Times New Roman"/>
                <w:iCs/>
                <w:kern w:val="0"/>
                <w:sz w:val="24"/>
              </w:rPr>
            </w:pPr>
            <w:r>
              <w:rPr>
                <w:rFonts w:ascii="仿宋" w:hAnsi="仿宋" w:eastAsia="仿宋" w:cs="Times New Roman"/>
                <w:iCs/>
                <w:kern w:val="0"/>
                <w:sz w:val="24"/>
              </w:rPr>
              <w:t>2、自有资金的参与方式：</w:t>
            </w:r>
          </w:p>
          <w:p>
            <w:pPr>
              <w:pStyle w:val="6"/>
              <w:ind w:firstLine="0"/>
              <w:rPr>
                <w:rFonts w:ascii="仿宋" w:hAnsi="仿宋" w:eastAsia="仿宋" w:cs="Times New Roman"/>
                <w:iCs/>
                <w:kern w:val="0"/>
                <w:sz w:val="24"/>
              </w:rPr>
            </w:pPr>
            <w:r>
              <w:rPr>
                <w:rFonts w:ascii="仿宋" w:hAnsi="仿宋" w:eastAsia="仿宋" w:cs="Times New Roman"/>
                <w:iCs/>
                <w:kern w:val="0"/>
                <w:sz w:val="24"/>
              </w:rPr>
              <w:t>管理人可在集合计划募集期内，选择以自有资金参与本集合计划份额。管理人也可选择不以自有资金参与集合计划份额。</w:t>
            </w:r>
          </w:p>
          <w:p>
            <w:pPr>
              <w:pStyle w:val="6"/>
              <w:ind w:firstLine="0"/>
              <w:rPr>
                <w:rFonts w:ascii="仿宋" w:hAnsi="仿宋" w:eastAsia="仿宋" w:cs="Times New Roman"/>
                <w:iCs/>
                <w:kern w:val="0"/>
                <w:sz w:val="24"/>
              </w:rPr>
            </w:pPr>
            <w:r>
              <w:rPr>
                <w:rFonts w:ascii="仿宋" w:hAnsi="仿宋" w:eastAsia="仿宋" w:cs="Times New Roman"/>
                <w:iCs/>
                <w:kern w:val="0"/>
                <w:sz w:val="24"/>
              </w:rPr>
              <w:t>3、自有资金参与的金额和比例</w:t>
            </w:r>
          </w:p>
          <w:p>
            <w:pPr>
              <w:pStyle w:val="6"/>
              <w:ind w:firstLine="0"/>
              <w:rPr>
                <w:rFonts w:ascii="仿宋" w:hAnsi="仿宋" w:eastAsia="仿宋" w:cs="Times New Roman"/>
                <w:iCs/>
                <w:kern w:val="0"/>
                <w:sz w:val="24"/>
              </w:rPr>
            </w:pPr>
            <w:r>
              <w:rPr>
                <w:rFonts w:ascii="仿宋" w:hAnsi="仿宋" w:eastAsia="仿宋" w:cs="Times New Roman"/>
                <w:iCs/>
                <w:kern w:val="0"/>
                <w:sz w:val="24"/>
              </w:rPr>
              <w:t>管理人及其</w:t>
            </w:r>
            <w:r>
              <w:rPr>
                <w:rFonts w:hint="eastAsia" w:ascii="仿宋" w:hAnsi="仿宋" w:eastAsia="仿宋" w:cs="Times New Roman"/>
                <w:iCs/>
                <w:kern w:val="0"/>
                <w:sz w:val="24"/>
                <w:lang w:val="en-US" w:eastAsia="zh-CN"/>
              </w:rPr>
              <w:t>子公司</w:t>
            </w:r>
            <w:r>
              <w:rPr>
                <w:rFonts w:ascii="仿宋" w:hAnsi="仿宋" w:eastAsia="仿宋" w:cs="Times New Roman"/>
                <w:iCs/>
                <w:kern w:val="0"/>
                <w:sz w:val="24"/>
              </w:rPr>
              <w:t>以自有资金参与本集合资产管理计划的份额合计不得超过该计划总份额的50%，具体参与金额以管理人公告为准。</w:t>
            </w:r>
            <w:r>
              <w:rPr>
                <w:rFonts w:hint="eastAsia" w:ascii="仿宋" w:hAnsi="仿宋" w:eastAsia="仿宋" w:cs="Times New Roman"/>
                <w:iCs/>
                <w:kern w:val="0"/>
                <w:sz w:val="24"/>
                <w:lang w:val="en-US" w:eastAsia="zh-CN"/>
              </w:rPr>
              <w:t>中国证监会对证券期货经营机构自有资金投资比例另有规定的，从其规定。</w:t>
            </w:r>
            <w:r>
              <w:rPr>
                <w:rFonts w:ascii="仿宋" w:hAnsi="仿宋" w:eastAsia="仿宋" w:cs="Times New Roman"/>
                <w:iCs/>
                <w:kern w:val="0"/>
                <w:sz w:val="24"/>
              </w:rPr>
              <w:t>上述自有资金的参与份额占比如果出现除不尽的情况，可由管理人按照实际计算情况进行调整，最终误差不得超过0.1%。</w:t>
            </w:r>
          </w:p>
          <w:p>
            <w:pPr>
              <w:pStyle w:val="6"/>
              <w:ind w:firstLine="0"/>
              <w:rPr>
                <w:rFonts w:ascii="仿宋" w:hAnsi="仿宋" w:eastAsia="仿宋" w:cs="Times New Roman"/>
                <w:iCs/>
                <w:kern w:val="0"/>
                <w:sz w:val="24"/>
              </w:rPr>
            </w:pPr>
            <w:r>
              <w:rPr>
                <w:rFonts w:ascii="仿宋" w:hAnsi="仿宋" w:eastAsia="仿宋" w:cs="Times New Roman"/>
                <w:iCs/>
                <w:kern w:val="0"/>
                <w:sz w:val="24"/>
              </w:rPr>
              <w:t>4、自有资金的收益分配</w:t>
            </w:r>
            <w:r>
              <w:rPr>
                <w:rFonts w:hint="eastAsia" w:ascii="仿宋" w:hAnsi="仿宋" w:eastAsia="仿宋" w:cs="Times New Roman"/>
                <w:iCs/>
                <w:kern w:val="0"/>
                <w:sz w:val="24"/>
              </w:rPr>
              <w:t>、</w:t>
            </w:r>
            <w:r>
              <w:rPr>
                <w:rFonts w:ascii="仿宋" w:hAnsi="仿宋" w:eastAsia="仿宋" w:cs="Times New Roman"/>
                <w:iCs/>
                <w:kern w:val="0"/>
                <w:sz w:val="24"/>
              </w:rPr>
              <w:t>责任承担方式和金额</w:t>
            </w:r>
          </w:p>
          <w:p>
            <w:pPr>
              <w:pStyle w:val="6"/>
              <w:ind w:firstLine="0"/>
              <w:rPr>
                <w:rFonts w:ascii="仿宋" w:hAnsi="仿宋" w:eastAsia="仿宋" w:cs="Times New Roman"/>
                <w:iCs/>
                <w:kern w:val="0"/>
                <w:sz w:val="24"/>
              </w:rPr>
            </w:pPr>
            <w:r>
              <w:rPr>
                <w:rFonts w:ascii="仿宋" w:hAnsi="仿宋" w:eastAsia="仿宋" w:cs="Times New Roman"/>
                <w:iCs/>
                <w:kern w:val="0"/>
                <w:sz w:val="24"/>
              </w:rPr>
              <w:t>管理人参与的自有资金所持的集合计划份额与投资者所持的同类份额享有同等权益、承担同等风险。管理人自有资金不承担对其他投资者参与份额的补偿责任。</w:t>
            </w:r>
          </w:p>
          <w:p>
            <w:pPr>
              <w:pStyle w:val="6"/>
              <w:ind w:firstLine="0"/>
              <w:rPr>
                <w:rFonts w:ascii="仿宋" w:hAnsi="仿宋" w:eastAsia="仿宋" w:cs="Times New Roman"/>
                <w:iCs/>
                <w:kern w:val="0"/>
                <w:sz w:val="24"/>
              </w:rPr>
            </w:pPr>
            <w:r>
              <w:rPr>
                <w:rFonts w:hint="eastAsia" w:ascii="仿宋" w:hAnsi="仿宋" w:eastAsia="仿宋" w:cs="Times New Roman"/>
                <w:iCs/>
                <w:kern w:val="0"/>
                <w:sz w:val="24"/>
              </w:rPr>
              <w:t>5</w:t>
            </w:r>
            <w:r>
              <w:rPr>
                <w:rFonts w:ascii="仿宋" w:hAnsi="仿宋" w:eastAsia="仿宋" w:cs="Times New Roman"/>
                <w:iCs/>
                <w:kern w:val="0"/>
                <w:sz w:val="24"/>
              </w:rPr>
              <w:t>、自有资金的退出</w:t>
            </w:r>
          </w:p>
          <w:p>
            <w:pPr>
              <w:pStyle w:val="6"/>
              <w:ind w:firstLine="0"/>
              <w:rPr>
                <w:rFonts w:hint="eastAsia" w:ascii="仿宋" w:hAnsi="仿宋" w:eastAsia="仿宋" w:cs="Times New Roman"/>
                <w:iCs/>
                <w:kern w:val="0"/>
                <w:sz w:val="24"/>
              </w:rPr>
            </w:pPr>
            <w:r>
              <w:rPr>
                <w:rFonts w:hint="eastAsia" w:ascii="仿宋" w:hAnsi="仿宋" w:eastAsia="仿宋" w:cs="Times New Roman"/>
                <w:iCs/>
                <w:kern w:val="0"/>
                <w:sz w:val="24"/>
              </w:rPr>
              <w:t>投资者、托管人</w:t>
            </w:r>
            <w:r>
              <w:rPr>
                <w:rFonts w:hint="eastAsia" w:ascii="仿宋" w:hAnsi="仿宋" w:eastAsia="仿宋" w:cs="Times New Roman"/>
                <w:iCs/>
                <w:kern w:val="0"/>
                <w:sz w:val="24"/>
                <w:lang w:val="en-US" w:eastAsia="zh-CN"/>
              </w:rPr>
              <w:t>同意并授权</w:t>
            </w:r>
            <w:r>
              <w:rPr>
                <w:rFonts w:hint="eastAsia" w:ascii="仿宋" w:hAnsi="仿宋" w:eastAsia="仿宋" w:cs="Times New Roman"/>
                <w:iCs/>
                <w:kern w:val="0"/>
                <w:sz w:val="24"/>
              </w:rPr>
              <w:t>管理人自有资金在存续期可以退出本集合计划。</w:t>
            </w:r>
            <w:r>
              <w:rPr>
                <w:rFonts w:hint="eastAsia" w:ascii="仿宋" w:hAnsi="仿宋" w:eastAsia="仿宋" w:cs="Times New Roman"/>
                <w:iCs/>
                <w:kern w:val="0"/>
                <w:sz w:val="24"/>
                <w:lang w:val="en-US" w:eastAsia="zh-CN"/>
              </w:rPr>
              <w:t>管理人自有资金退出本集合计划，应</w:t>
            </w:r>
            <w:r>
              <w:rPr>
                <w:rFonts w:hint="eastAsia" w:ascii="仿宋" w:hAnsi="仿宋" w:eastAsia="仿宋" w:cs="Times New Roman"/>
                <w:iCs/>
                <w:kern w:val="0"/>
                <w:sz w:val="24"/>
              </w:rPr>
              <w:t>符合法律法规、监管规定和本合同的相关规定。</w:t>
            </w:r>
          </w:p>
          <w:p>
            <w:pPr>
              <w:pStyle w:val="6"/>
              <w:ind w:firstLine="0"/>
              <w:rPr>
                <w:rFonts w:ascii="仿宋" w:hAnsi="仿宋" w:eastAsia="仿宋" w:cs="Times New Roman"/>
                <w:iCs/>
                <w:kern w:val="0"/>
                <w:sz w:val="24"/>
              </w:rPr>
            </w:pPr>
            <w:r>
              <w:rPr>
                <w:rFonts w:ascii="仿宋" w:hAnsi="仿宋" w:eastAsia="仿宋" w:cs="Times New Roman"/>
                <w:iCs/>
                <w:kern w:val="0"/>
                <w:sz w:val="24"/>
              </w:rPr>
              <w:t>（1）管理人自有资金的退出，符合以下任一条件即可：</w:t>
            </w:r>
          </w:p>
          <w:p>
            <w:pPr>
              <w:pStyle w:val="6"/>
              <w:ind w:firstLine="0"/>
              <w:rPr>
                <w:rFonts w:ascii="仿宋" w:hAnsi="仿宋" w:eastAsia="仿宋" w:cs="Times New Roman"/>
                <w:iCs/>
                <w:kern w:val="0"/>
                <w:sz w:val="24"/>
              </w:rPr>
            </w:pPr>
            <w:r>
              <w:rPr>
                <w:rFonts w:hint="eastAsia" w:ascii="仿宋" w:hAnsi="仿宋" w:eastAsia="仿宋" w:cs="Times New Roman"/>
                <w:iCs/>
                <w:kern w:val="0"/>
                <w:sz w:val="24"/>
              </w:rPr>
              <w:t>①</w:t>
            </w:r>
            <w:r>
              <w:rPr>
                <w:rFonts w:ascii="仿宋" w:hAnsi="仿宋" w:eastAsia="仿宋" w:cs="Times New Roman"/>
                <w:iCs/>
                <w:kern w:val="0"/>
                <w:sz w:val="24"/>
              </w:rPr>
              <w:t>管理人自有资金参与本集合计划持有的份额在符合法律、行政法规</w:t>
            </w:r>
            <w:r>
              <w:rPr>
                <w:rFonts w:hint="eastAsia" w:ascii="仿宋" w:hAnsi="仿宋" w:eastAsia="仿宋" w:cs="Times New Roman"/>
                <w:iCs/>
                <w:kern w:val="0"/>
                <w:sz w:val="24"/>
              </w:rPr>
              <w:t>、本合同</w:t>
            </w:r>
            <w:r>
              <w:rPr>
                <w:rFonts w:ascii="仿宋" w:hAnsi="仿宋" w:eastAsia="仿宋" w:cs="Times New Roman"/>
                <w:iCs/>
                <w:kern w:val="0"/>
                <w:sz w:val="24"/>
              </w:rPr>
              <w:t>等关于自有资金退出规定的情况下，可以与其他投资者同样办理退出业务；</w:t>
            </w:r>
          </w:p>
          <w:p>
            <w:pPr>
              <w:pStyle w:val="6"/>
              <w:ind w:firstLine="0"/>
              <w:rPr>
                <w:rFonts w:ascii="仿宋" w:hAnsi="仿宋" w:eastAsia="仿宋" w:cs="Times New Roman"/>
                <w:iCs/>
                <w:kern w:val="0"/>
                <w:sz w:val="24"/>
              </w:rPr>
            </w:pPr>
            <w:r>
              <w:rPr>
                <w:rFonts w:hint="eastAsia" w:ascii="仿宋" w:hAnsi="仿宋" w:eastAsia="仿宋" w:cs="Times New Roman"/>
                <w:iCs/>
                <w:kern w:val="0"/>
                <w:sz w:val="24"/>
              </w:rPr>
              <w:t>②</w:t>
            </w:r>
            <w:r>
              <w:rPr>
                <w:rFonts w:ascii="仿宋" w:hAnsi="仿宋" w:eastAsia="仿宋" w:cs="Times New Roman"/>
                <w:iCs/>
                <w:kern w:val="0"/>
                <w:sz w:val="24"/>
              </w:rPr>
              <w:t>因集合计划规模变动等客观因素导致自有资金参与集合计划被动超过法律、法规规定比例。</w:t>
            </w:r>
          </w:p>
          <w:p>
            <w:pPr>
              <w:pStyle w:val="6"/>
              <w:ind w:firstLine="0"/>
              <w:rPr>
                <w:rFonts w:ascii="仿宋" w:hAnsi="仿宋" w:eastAsia="仿宋" w:cs="Times New Roman"/>
                <w:iCs/>
                <w:kern w:val="0"/>
                <w:sz w:val="24"/>
              </w:rPr>
            </w:pPr>
            <w:r>
              <w:rPr>
                <w:rFonts w:hint="eastAsia" w:ascii="仿宋" w:hAnsi="仿宋" w:eastAsia="仿宋" w:cs="Times New Roman"/>
                <w:iCs/>
                <w:kern w:val="0"/>
                <w:sz w:val="24"/>
              </w:rPr>
              <w:t>③法律法规或监管机构规定的允许自有资金退出的其他情况。</w:t>
            </w:r>
          </w:p>
          <w:p>
            <w:pPr>
              <w:pStyle w:val="6"/>
              <w:ind w:firstLine="0"/>
              <w:rPr>
                <w:rFonts w:ascii="仿宋" w:hAnsi="仿宋" w:eastAsia="仿宋" w:cs="Times New Roman"/>
                <w:iCs/>
                <w:kern w:val="0"/>
                <w:sz w:val="24"/>
              </w:rPr>
            </w:pPr>
            <w:r>
              <w:rPr>
                <w:rFonts w:ascii="仿宋" w:hAnsi="仿宋" w:eastAsia="仿宋" w:cs="Times New Roman"/>
                <w:iCs/>
                <w:kern w:val="0"/>
                <w:sz w:val="24"/>
              </w:rPr>
              <w:t>（2）管理人自有资金参与集合计划的持有期限不得低于6个月，参与、退出时应当提前5个工作日通过管理人指定网站告知</w:t>
            </w:r>
            <w:r>
              <w:rPr>
                <w:rFonts w:hint="eastAsia" w:ascii="仿宋" w:hAnsi="仿宋" w:eastAsia="仿宋" w:cs="Times New Roman"/>
                <w:iCs/>
                <w:kern w:val="0"/>
                <w:sz w:val="24"/>
                <w:lang w:val="en-US" w:eastAsia="zh-CN"/>
              </w:rPr>
              <w:t>全体</w:t>
            </w:r>
            <w:r>
              <w:rPr>
                <w:rFonts w:ascii="仿宋" w:hAnsi="仿宋" w:eastAsia="仿宋" w:cs="Times New Roman"/>
                <w:iCs/>
                <w:kern w:val="0"/>
                <w:sz w:val="24"/>
              </w:rPr>
              <w:t>投资者和托管人；但因集合计划规模变动等客观因素导致自有资金参与集合计划被动超过法律法规及本合同规定比例的，应当及时调整达标，具体安排以管理人公告为准。</w:t>
            </w:r>
          </w:p>
          <w:p>
            <w:pPr>
              <w:pStyle w:val="6"/>
              <w:ind w:firstLine="0"/>
              <w:rPr>
                <w:rFonts w:ascii="仿宋" w:hAnsi="仿宋" w:eastAsia="仿宋" w:cs="Times New Roman"/>
                <w:iCs/>
                <w:kern w:val="0"/>
                <w:sz w:val="24"/>
              </w:rPr>
            </w:pPr>
            <w:r>
              <w:rPr>
                <w:rFonts w:hint="eastAsia" w:ascii="仿宋" w:hAnsi="仿宋" w:eastAsia="仿宋" w:cs="Times New Roman"/>
                <w:iCs/>
                <w:kern w:val="0"/>
                <w:sz w:val="24"/>
              </w:rPr>
              <w:t>6</w:t>
            </w:r>
            <w:r>
              <w:rPr>
                <w:rFonts w:ascii="仿宋" w:hAnsi="仿宋" w:eastAsia="仿宋" w:cs="Times New Roman"/>
                <w:iCs/>
                <w:kern w:val="0"/>
                <w:sz w:val="24"/>
              </w:rPr>
              <w:t>、</w:t>
            </w:r>
            <w:r>
              <w:rPr>
                <w:rFonts w:hint="eastAsia" w:ascii="仿宋" w:hAnsi="仿宋" w:eastAsia="仿宋" w:cs="Times New Roman"/>
                <w:iCs/>
                <w:kern w:val="0"/>
                <w:sz w:val="24"/>
              </w:rPr>
              <w:t>为应对巨额赎回以解决流动性风险，或者中国证监会认可的其他情形，在不存在利益冲突并遵守合同约定的前提下，管理人及其</w:t>
            </w:r>
            <w:r>
              <w:rPr>
                <w:rFonts w:hint="eastAsia" w:ascii="仿宋" w:hAnsi="仿宋" w:eastAsia="仿宋" w:cs="Times New Roman"/>
                <w:iCs/>
                <w:kern w:val="0"/>
                <w:sz w:val="24"/>
                <w:lang w:val="en-US" w:eastAsia="zh-CN"/>
              </w:rPr>
              <w:t>子公司</w:t>
            </w:r>
            <w:r>
              <w:rPr>
                <w:rFonts w:hint="eastAsia" w:ascii="仿宋" w:hAnsi="仿宋" w:eastAsia="仿宋" w:cs="Times New Roman"/>
                <w:iCs/>
                <w:kern w:val="0"/>
                <w:sz w:val="24"/>
              </w:rPr>
              <w:t>自有资金参与及其后续退出集合资产管理计划可不受前述条款约定的比例和时间限制，但应当及时告知投资者和托管人（告知方式为在管理人网站进行公告），并向管理人所在地中国证监会</w:t>
            </w:r>
            <w:r>
              <w:rPr>
                <w:rFonts w:hint="eastAsia" w:ascii="仿宋" w:hAnsi="仿宋" w:eastAsia="仿宋" w:cs="Times New Roman"/>
                <w:iCs/>
                <w:kern w:val="0"/>
                <w:sz w:val="24"/>
                <w:lang w:val="en-US" w:eastAsia="zh-CN"/>
              </w:rPr>
              <w:t>相关</w:t>
            </w:r>
            <w:r>
              <w:rPr>
                <w:rFonts w:hint="eastAsia" w:ascii="仿宋" w:hAnsi="仿宋" w:eastAsia="仿宋" w:cs="Times New Roman"/>
                <w:iCs/>
                <w:kern w:val="0"/>
                <w:sz w:val="24"/>
              </w:rPr>
              <w:t xml:space="preserve">派出机构报告。 </w:t>
            </w:r>
          </w:p>
          <w:p>
            <w:pPr>
              <w:pStyle w:val="6"/>
              <w:ind w:firstLine="0"/>
              <w:rPr>
                <w:rFonts w:ascii="仿宋" w:hAnsi="仿宋" w:eastAsia="仿宋" w:cs="Times New Roman"/>
                <w:iCs/>
                <w:kern w:val="0"/>
                <w:sz w:val="24"/>
              </w:rPr>
            </w:pPr>
            <w:r>
              <w:rPr>
                <w:rFonts w:hint="eastAsia" w:ascii="仿宋" w:hAnsi="仿宋" w:eastAsia="仿宋" w:cs="Times New Roman"/>
                <w:iCs/>
                <w:kern w:val="0"/>
                <w:sz w:val="24"/>
              </w:rPr>
              <w:t>7</w:t>
            </w:r>
            <w:r>
              <w:rPr>
                <w:rFonts w:ascii="仿宋" w:hAnsi="仿宋" w:eastAsia="仿宋" w:cs="Times New Roman"/>
                <w:iCs/>
                <w:kern w:val="0"/>
                <w:sz w:val="24"/>
              </w:rPr>
              <w:t>、风险揭示</w:t>
            </w:r>
          </w:p>
          <w:p>
            <w:pPr>
              <w:pStyle w:val="6"/>
              <w:ind w:firstLine="0"/>
              <w:rPr>
                <w:rFonts w:ascii="仿宋" w:hAnsi="仿宋" w:eastAsia="仿宋" w:cs="Times New Roman"/>
                <w:iCs/>
                <w:kern w:val="0"/>
                <w:sz w:val="24"/>
              </w:rPr>
            </w:pPr>
            <w:r>
              <w:rPr>
                <w:rFonts w:ascii="仿宋" w:hAnsi="仿宋" w:eastAsia="仿宋" w:cs="Times New Roman"/>
                <w:iCs/>
                <w:kern w:val="0"/>
                <w:sz w:val="24"/>
              </w:rPr>
              <w:t>（1）集合计划管理人按上述约定以自有资金参与集合计划份额，不构成对其他投资者的本金及收益的保证，也不能保证其他投资者的本金不受损失。</w:t>
            </w:r>
          </w:p>
          <w:p>
            <w:pPr>
              <w:pStyle w:val="6"/>
              <w:ind w:firstLine="0"/>
              <w:rPr>
                <w:rFonts w:ascii="仿宋" w:hAnsi="仿宋" w:eastAsia="仿宋" w:cs="Times New Roman"/>
                <w:iCs/>
                <w:kern w:val="0"/>
                <w:sz w:val="24"/>
              </w:rPr>
            </w:pPr>
            <w:r>
              <w:rPr>
                <w:rFonts w:ascii="仿宋" w:hAnsi="仿宋" w:eastAsia="仿宋" w:cs="Times New Roman"/>
                <w:iCs/>
                <w:kern w:val="0"/>
                <w:sz w:val="24"/>
              </w:rPr>
              <w:t>（2）管理人自有资金退出，可能遭遇流动性风险，从而影响计划损益。管理人将认真履行管理人职责，关注计划规模变动情况，控制流动性风险。</w:t>
            </w:r>
          </w:p>
          <w:p>
            <w:pPr>
              <w:pStyle w:val="6"/>
              <w:ind w:firstLine="0"/>
              <w:rPr>
                <w:rFonts w:ascii="仿宋" w:hAnsi="仿宋" w:eastAsia="仿宋" w:cs="Times New Roman"/>
                <w:kern w:val="0"/>
                <w:sz w:val="24"/>
                <w:szCs w:val="24"/>
              </w:rPr>
            </w:pPr>
          </w:p>
        </w:tc>
        <w:tc>
          <w:tcPr>
            <w:tcW w:w="4261" w:type="dxa"/>
          </w:tcPr>
          <w:p>
            <w:pPr>
              <w:pStyle w:val="6"/>
              <w:ind w:firstLine="0"/>
              <w:rPr>
                <w:rFonts w:ascii="仿宋" w:hAnsi="仿宋" w:eastAsia="仿宋"/>
                <w:b/>
                <w:bCs/>
                <w:sz w:val="24"/>
                <w:szCs w:val="24"/>
              </w:rPr>
            </w:pPr>
            <w:r>
              <w:rPr>
                <w:rFonts w:hint="eastAsia" w:ascii="仿宋" w:hAnsi="仿宋" w:eastAsia="仿宋"/>
                <w:b/>
                <w:bCs/>
                <w:sz w:val="24"/>
                <w:szCs w:val="24"/>
              </w:rPr>
              <w:t>八、资产管理计划的参与、退出与转让</w:t>
            </w:r>
          </w:p>
          <w:p>
            <w:pPr>
              <w:pStyle w:val="6"/>
              <w:ind w:firstLine="0"/>
              <w:rPr>
                <w:rFonts w:ascii="仿宋" w:hAnsi="仿宋" w:eastAsia="仿宋"/>
                <w:sz w:val="24"/>
                <w:szCs w:val="24"/>
              </w:rPr>
            </w:pPr>
            <w:r>
              <w:rPr>
                <w:rFonts w:hint="eastAsia" w:ascii="仿宋" w:hAnsi="仿宋" w:eastAsia="仿宋"/>
                <w:sz w:val="24"/>
                <w:szCs w:val="24"/>
              </w:rPr>
              <w:t>（十一）管理人自有资金参与集合计划</w:t>
            </w:r>
          </w:p>
          <w:p>
            <w:pPr>
              <w:pStyle w:val="6"/>
              <w:ind w:firstLine="0"/>
              <w:rPr>
                <w:rFonts w:ascii="仿宋" w:hAnsi="仿宋" w:eastAsia="仿宋" w:cs="Times New Roman"/>
                <w:iCs/>
                <w:kern w:val="0"/>
                <w:sz w:val="24"/>
              </w:rPr>
            </w:pPr>
            <w:r>
              <w:rPr>
                <w:rFonts w:ascii="仿宋" w:hAnsi="仿宋" w:eastAsia="仿宋" w:cs="Times New Roman"/>
                <w:iCs/>
                <w:kern w:val="0"/>
                <w:sz w:val="24"/>
              </w:rPr>
              <w:t>1、自有资金参与的条件：</w:t>
            </w:r>
          </w:p>
          <w:p>
            <w:pPr>
              <w:pStyle w:val="6"/>
              <w:ind w:firstLine="0"/>
              <w:rPr>
                <w:rFonts w:ascii="仿宋" w:hAnsi="仿宋" w:eastAsia="仿宋" w:cs="Times New Roman"/>
                <w:iCs/>
                <w:kern w:val="0"/>
                <w:sz w:val="24"/>
              </w:rPr>
            </w:pPr>
            <w:r>
              <w:rPr>
                <w:rFonts w:hint="eastAsia" w:ascii="仿宋" w:hAnsi="仿宋" w:eastAsia="仿宋" w:cs="Times New Roman"/>
                <w:iCs/>
                <w:kern w:val="0"/>
                <w:sz w:val="24"/>
              </w:rPr>
              <w:t>投资者、托管人签署本合同即视为已充分理解并同意管理人及其子公司（孙公司）在募集期可以自有资金参与本集合计划。管理人及其子公司（孙公司）在募集期以自有资金参与本集合计划，应符合法律法规、监管规定和本合同的相关规定。</w:t>
            </w:r>
          </w:p>
          <w:p>
            <w:pPr>
              <w:pStyle w:val="6"/>
              <w:ind w:firstLine="0"/>
              <w:rPr>
                <w:rFonts w:ascii="仿宋" w:hAnsi="仿宋" w:eastAsia="仿宋" w:cs="Times New Roman"/>
                <w:iCs/>
                <w:kern w:val="0"/>
                <w:sz w:val="24"/>
              </w:rPr>
            </w:pPr>
            <w:r>
              <w:rPr>
                <w:rFonts w:ascii="仿宋" w:hAnsi="仿宋" w:eastAsia="仿宋" w:cs="Times New Roman"/>
                <w:iCs/>
                <w:kern w:val="0"/>
                <w:sz w:val="24"/>
              </w:rPr>
              <w:t>2、自有资金的参与方式：</w:t>
            </w:r>
          </w:p>
          <w:p>
            <w:pPr>
              <w:pStyle w:val="6"/>
              <w:ind w:firstLine="0"/>
              <w:rPr>
                <w:rFonts w:ascii="仿宋" w:hAnsi="仿宋" w:eastAsia="仿宋" w:cs="Times New Roman"/>
                <w:iCs/>
                <w:kern w:val="0"/>
                <w:sz w:val="24"/>
              </w:rPr>
            </w:pPr>
            <w:r>
              <w:rPr>
                <w:rFonts w:ascii="仿宋" w:hAnsi="仿宋" w:eastAsia="仿宋" w:cs="Times New Roman"/>
                <w:iCs/>
                <w:kern w:val="0"/>
                <w:sz w:val="24"/>
              </w:rPr>
              <w:t>管理人可在集合计划募集期内，选择以自有资金参与本集合计划份额。管理人也可选择不以自有资金参与集合计划份额。</w:t>
            </w:r>
          </w:p>
          <w:p>
            <w:pPr>
              <w:pStyle w:val="6"/>
              <w:ind w:firstLine="0"/>
              <w:rPr>
                <w:rFonts w:ascii="仿宋" w:hAnsi="仿宋" w:eastAsia="仿宋" w:cs="Times New Roman"/>
                <w:iCs/>
                <w:kern w:val="0"/>
                <w:sz w:val="24"/>
              </w:rPr>
            </w:pPr>
            <w:r>
              <w:rPr>
                <w:rFonts w:ascii="仿宋" w:hAnsi="仿宋" w:eastAsia="仿宋" w:cs="Times New Roman"/>
                <w:iCs/>
                <w:kern w:val="0"/>
                <w:sz w:val="24"/>
              </w:rPr>
              <w:t>3、</w:t>
            </w:r>
            <w:r>
              <w:rPr>
                <w:rFonts w:hint="eastAsia" w:ascii="仿宋" w:hAnsi="仿宋" w:eastAsia="仿宋" w:cs="Times New Roman"/>
                <w:iCs/>
                <w:kern w:val="0"/>
                <w:sz w:val="24"/>
              </w:rPr>
              <w:t>自有资金参与期限以及参与的金额和比例</w:t>
            </w:r>
          </w:p>
          <w:p>
            <w:pPr>
              <w:pStyle w:val="6"/>
              <w:ind w:firstLine="0"/>
              <w:rPr>
                <w:rFonts w:ascii="仿宋" w:hAnsi="仿宋" w:eastAsia="仿宋" w:cs="Times New Roman"/>
                <w:iCs/>
                <w:kern w:val="0"/>
                <w:sz w:val="24"/>
              </w:rPr>
            </w:pPr>
            <w:r>
              <w:rPr>
                <w:rFonts w:hint="eastAsia" w:ascii="仿宋" w:hAnsi="仿宋" w:eastAsia="仿宋" w:cs="Times New Roman"/>
                <w:iCs/>
                <w:kern w:val="0"/>
                <w:sz w:val="24"/>
              </w:rPr>
              <w:t>管理人及其子公司（孙公司）自有资金参与本集合计划的持有期限不得低于6个月。</w:t>
            </w:r>
            <w:r>
              <w:rPr>
                <w:rFonts w:ascii="仿宋" w:hAnsi="仿宋" w:eastAsia="仿宋" w:cs="Times New Roman"/>
                <w:iCs/>
                <w:kern w:val="0"/>
                <w:sz w:val="24"/>
              </w:rPr>
              <w:t>管理人以自有资金参与本集合计划的，参与份额应</w:t>
            </w:r>
            <w:r>
              <w:rPr>
                <w:rFonts w:hint="eastAsia" w:ascii="仿宋" w:hAnsi="仿宋" w:eastAsia="仿宋" w:cs="Times New Roman"/>
                <w:iCs/>
                <w:kern w:val="0"/>
                <w:sz w:val="24"/>
              </w:rPr>
              <w:t>不超过</w:t>
            </w:r>
            <w:r>
              <w:rPr>
                <w:rFonts w:ascii="仿宋" w:hAnsi="仿宋" w:eastAsia="仿宋" w:cs="Times New Roman"/>
                <w:iCs/>
                <w:kern w:val="0"/>
                <w:sz w:val="24"/>
              </w:rPr>
              <w:t>本集合计划份额总数的15%，且管理人及其</w:t>
            </w:r>
            <w:r>
              <w:rPr>
                <w:rFonts w:hint="eastAsia" w:ascii="仿宋" w:hAnsi="仿宋" w:eastAsia="仿宋" w:cs="Times New Roman"/>
                <w:iCs/>
                <w:kern w:val="0"/>
                <w:sz w:val="24"/>
              </w:rPr>
              <w:t>子公司（孙公司）</w:t>
            </w:r>
            <w:r>
              <w:rPr>
                <w:rFonts w:ascii="仿宋" w:hAnsi="仿宋" w:eastAsia="仿宋" w:cs="Times New Roman"/>
                <w:iCs/>
                <w:kern w:val="0"/>
                <w:sz w:val="24"/>
              </w:rPr>
              <w:t>以自有资金参与本集合资产管理计划的份额合计不得超过该计划总份额的50%，具体参与金额以管理人公告为准。</w:t>
            </w:r>
            <w:r>
              <w:rPr>
                <w:rFonts w:hint="eastAsia" w:ascii="仿宋" w:hAnsi="仿宋" w:eastAsia="仿宋" w:cs="Times New Roman"/>
                <w:iCs/>
                <w:kern w:val="0"/>
                <w:sz w:val="24"/>
              </w:rPr>
              <w:t>中国证监会对证券期货经营机构自有资金投资比例另有规定的，从其规定。</w:t>
            </w:r>
            <w:r>
              <w:rPr>
                <w:rFonts w:ascii="仿宋" w:hAnsi="仿宋" w:eastAsia="仿宋" w:cs="Times New Roman"/>
                <w:iCs/>
                <w:kern w:val="0"/>
                <w:sz w:val="24"/>
              </w:rPr>
              <w:t>上述自有资金的参与份额占比如果出现除不尽的情况，可由管理人按照实际计算情况进行调整，最终误差不得超过0.1%。</w:t>
            </w:r>
          </w:p>
          <w:p>
            <w:pPr>
              <w:pStyle w:val="6"/>
              <w:ind w:firstLine="0"/>
              <w:rPr>
                <w:rFonts w:ascii="仿宋" w:hAnsi="仿宋" w:eastAsia="仿宋" w:cs="Times New Roman"/>
                <w:iCs/>
                <w:kern w:val="0"/>
                <w:sz w:val="24"/>
              </w:rPr>
            </w:pPr>
            <w:r>
              <w:rPr>
                <w:rFonts w:ascii="仿宋" w:hAnsi="仿宋" w:eastAsia="仿宋" w:cs="Times New Roman"/>
                <w:iCs/>
                <w:kern w:val="0"/>
                <w:sz w:val="24"/>
              </w:rPr>
              <w:t>4、自有资金的收益分配</w:t>
            </w:r>
            <w:r>
              <w:rPr>
                <w:rFonts w:hint="eastAsia" w:ascii="仿宋" w:hAnsi="仿宋" w:eastAsia="仿宋" w:cs="Times New Roman"/>
                <w:iCs/>
                <w:kern w:val="0"/>
                <w:sz w:val="24"/>
              </w:rPr>
              <w:t>、</w:t>
            </w:r>
            <w:r>
              <w:rPr>
                <w:rFonts w:ascii="仿宋" w:hAnsi="仿宋" w:eastAsia="仿宋" w:cs="Times New Roman"/>
                <w:iCs/>
                <w:kern w:val="0"/>
                <w:sz w:val="24"/>
              </w:rPr>
              <w:t>责任承担方式和金额</w:t>
            </w:r>
          </w:p>
          <w:p>
            <w:pPr>
              <w:pStyle w:val="6"/>
              <w:ind w:firstLine="0"/>
              <w:rPr>
                <w:rFonts w:ascii="仿宋" w:hAnsi="仿宋" w:eastAsia="仿宋" w:cs="Times New Roman"/>
                <w:iCs/>
                <w:kern w:val="0"/>
                <w:sz w:val="24"/>
              </w:rPr>
            </w:pPr>
            <w:r>
              <w:rPr>
                <w:rFonts w:ascii="仿宋" w:hAnsi="仿宋" w:eastAsia="仿宋" w:cs="Times New Roman"/>
                <w:iCs/>
                <w:kern w:val="0"/>
                <w:sz w:val="24"/>
              </w:rPr>
              <w:t>管理人参与的自有资金所持的集合计划份额与投资者所持的同类份额享有同等权益、承担同等风险。管理人自有资金不承担对其他投资者参与份额的补偿责任。</w:t>
            </w:r>
          </w:p>
          <w:p>
            <w:pPr>
              <w:pStyle w:val="6"/>
              <w:ind w:firstLine="0"/>
              <w:rPr>
                <w:rFonts w:ascii="仿宋" w:hAnsi="仿宋" w:eastAsia="仿宋" w:cs="Times New Roman"/>
                <w:iCs/>
                <w:kern w:val="0"/>
                <w:sz w:val="24"/>
              </w:rPr>
            </w:pPr>
            <w:r>
              <w:rPr>
                <w:rFonts w:hint="eastAsia" w:ascii="仿宋" w:hAnsi="仿宋" w:eastAsia="仿宋" w:cs="Times New Roman"/>
                <w:iCs/>
                <w:kern w:val="0"/>
                <w:sz w:val="24"/>
              </w:rPr>
              <w:t>5</w:t>
            </w:r>
            <w:r>
              <w:rPr>
                <w:rFonts w:ascii="仿宋" w:hAnsi="仿宋" w:eastAsia="仿宋" w:cs="Times New Roman"/>
                <w:iCs/>
                <w:kern w:val="0"/>
                <w:sz w:val="24"/>
              </w:rPr>
              <w:t>、自有资金的退出</w:t>
            </w:r>
          </w:p>
          <w:p>
            <w:pPr>
              <w:pStyle w:val="6"/>
              <w:ind w:firstLine="0"/>
              <w:rPr>
                <w:rFonts w:ascii="仿宋" w:hAnsi="仿宋" w:eastAsia="仿宋" w:cs="Times New Roman"/>
                <w:iCs/>
                <w:kern w:val="0"/>
                <w:sz w:val="24"/>
              </w:rPr>
            </w:pPr>
            <w:r>
              <w:rPr>
                <w:rFonts w:ascii="仿宋" w:hAnsi="仿宋" w:eastAsia="仿宋" w:cs="Times New Roman"/>
                <w:iCs/>
                <w:kern w:val="0"/>
                <w:sz w:val="24"/>
              </w:rPr>
              <w:t>管理人</w:t>
            </w:r>
            <w:r>
              <w:rPr>
                <w:rFonts w:hint="eastAsia" w:ascii="仿宋" w:hAnsi="仿宋" w:eastAsia="仿宋" w:cs="Times New Roman"/>
                <w:iCs/>
                <w:kern w:val="0"/>
                <w:sz w:val="24"/>
              </w:rPr>
              <w:t>及其子公司（孙公司）</w:t>
            </w:r>
            <w:r>
              <w:rPr>
                <w:rFonts w:ascii="仿宋" w:hAnsi="仿宋" w:eastAsia="仿宋" w:cs="Times New Roman"/>
                <w:iCs/>
                <w:kern w:val="0"/>
                <w:sz w:val="24"/>
              </w:rPr>
              <w:t>自有资金</w:t>
            </w:r>
            <w:r>
              <w:rPr>
                <w:rFonts w:hint="eastAsia" w:ascii="仿宋" w:hAnsi="仿宋" w:eastAsia="仿宋" w:cs="Times New Roman"/>
                <w:iCs/>
                <w:kern w:val="0"/>
                <w:sz w:val="24"/>
              </w:rPr>
              <w:t>如需</w:t>
            </w:r>
            <w:r>
              <w:rPr>
                <w:rFonts w:ascii="仿宋" w:hAnsi="仿宋" w:eastAsia="仿宋" w:cs="Times New Roman"/>
                <w:iCs/>
                <w:kern w:val="0"/>
                <w:sz w:val="24"/>
              </w:rPr>
              <w:t>退出，</w:t>
            </w:r>
            <w:r>
              <w:rPr>
                <w:rFonts w:hint="eastAsia" w:ascii="仿宋" w:hAnsi="仿宋" w:eastAsia="仿宋" w:cs="Times New Roman"/>
                <w:iCs/>
                <w:kern w:val="0"/>
                <w:sz w:val="24"/>
              </w:rPr>
              <w:t>需</w:t>
            </w:r>
            <w:r>
              <w:rPr>
                <w:rFonts w:ascii="仿宋" w:hAnsi="仿宋" w:eastAsia="仿宋" w:cs="Times New Roman"/>
                <w:iCs/>
                <w:kern w:val="0"/>
                <w:sz w:val="24"/>
              </w:rPr>
              <w:t>符合以下任一条件：</w:t>
            </w:r>
          </w:p>
          <w:p>
            <w:pPr>
              <w:pStyle w:val="6"/>
              <w:ind w:firstLine="0"/>
              <w:rPr>
                <w:rFonts w:ascii="仿宋" w:hAnsi="仿宋" w:eastAsia="仿宋" w:cs="Times New Roman"/>
                <w:iCs/>
                <w:kern w:val="0"/>
                <w:sz w:val="24"/>
              </w:rPr>
            </w:pPr>
            <w:r>
              <w:rPr>
                <w:rFonts w:hint="eastAsia" w:ascii="仿宋" w:hAnsi="仿宋" w:eastAsia="仿宋" w:cs="Times New Roman"/>
                <w:iCs/>
                <w:kern w:val="0"/>
                <w:sz w:val="24"/>
              </w:rPr>
              <w:t>①</w:t>
            </w:r>
            <w:r>
              <w:rPr>
                <w:rFonts w:ascii="仿宋" w:hAnsi="仿宋" w:eastAsia="仿宋" w:cs="Times New Roman"/>
                <w:iCs/>
                <w:kern w:val="0"/>
                <w:sz w:val="24"/>
              </w:rPr>
              <w:t>管理人</w:t>
            </w:r>
            <w:r>
              <w:rPr>
                <w:rFonts w:hint="eastAsia" w:ascii="仿宋" w:hAnsi="仿宋" w:eastAsia="仿宋" w:cs="Times New Roman"/>
                <w:iCs/>
                <w:kern w:val="0"/>
                <w:sz w:val="24"/>
              </w:rPr>
              <w:t>及其子公司（孙公司）</w:t>
            </w:r>
            <w:r>
              <w:rPr>
                <w:rFonts w:ascii="仿宋" w:hAnsi="仿宋" w:eastAsia="仿宋" w:cs="Times New Roman"/>
                <w:iCs/>
                <w:kern w:val="0"/>
                <w:sz w:val="24"/>
              </w:rPr>
              <w:t>自有资金参与本集合计划持有的份额在符合法律、行政法规</w:t>
            </w:r>
            <w:r>
              <w:rPr>
                <w:rFonts w:hint="eastAsia" w:ascii="仿宋" w:hAnsi="仿宋" w:eastAsia="仿宋" w:cs="Times New Roman"/>
                <w:iCs/>
                <w:kern w:val="0"/>
                <w:sz w:val="24"/>
              </w:rPr>
              <w:t>、本合同</w:t>
            </w:r>
            <w:r>
              <w:rPr>
                <w:rFonts w:ascii="仿宋" w:hAnsi="仿宋" w:eastAsia="仿宋" w:cs="Times New Roman"/>
                <w:iCs/>
                <w:kern w:val="0"/>
                <w:sz w:val="24"/>
              </w:rPr>
              <w:t>等关于自有资金退出规定的情况下，可以与其他投资者同样办理退出业务；</w:t>
            </w:r>
          </w:p>
          <w:p>
            <w:pPr>
              <w:pStyle w:val="6"/>
              <w:ind w:firstLine="0"/>
              <w:rPr>
                <w:rFonts w:ascii="仿宋" w:hAnsi="仿宋" w:eastAsia="仿宋" w:cs="Times New Roman"/>
                <w:iCs/>
                <w:kern w:val="0"/>
                <w:sz w:val="24"/>
              </w:rPr>
            </w:pPr>
            <w:r>
              <w:rPr>
                <w:rFonts w:hint="eastAsia" w:ascii="仿宋" w:hAnsi="仿宋" w:eastAsia="仿宋" w:cs="Times New Roman"/>
                <w:iCs/>
                <w:kern w:val="0"/>
                <w:sz w:val="24"/>
              </w:rPr>
              <w:t>②</w:t>
            </w:r>
            <w:r>
              <w:rPr>
                <w:rFonts w:ascii="仿宋" w:hAnsi="仿宋" w:eastAsia="仿宋" w:cs="Times New Roman"/>
                <w:iCs/>
                <w:kern w:val="0"/>
                <w:sz w:val="24"/>
              </w:rPr>
              <w:t>因集合计划规模变动等客观因素导致自有资金参与集合计划被动超过法律法规</w:t>
            </w:r>
            <w:r>
              <w:rPr>
                <w:rFonts w:hint="eastAsia" w:ascii="仿宋" w:hAnsi="仿宋" w:eastAsia="仿宋" w:cs="Times New Roman"/>
                <w:iCs/>
                <w:kern w:val="0"/>
                <w:sz w:val="24"/>
              </w:rPr>
              <w:t>及本合同</w:t>
            </w:r>
            <w:r>
              <w:rPr>
                <w:rFonts w:ascii="仿宋" w:hAnsi="仿宋" w:eastAsia="仿宋" w:cs="Times New Roman"/>
                <w:iCs/>
                <w:kern w:val="0"/>
                <w:sz w:val="24"/>
              </w:rPr>
              <w:t>规定比例。</w:t>
            </w:r>
          </w:p>
          <w:p>
            <w:pPr>
              <w:pStyle w:val="6"/>
              <w:ind w:firstLine="0"/>
              <w:rPr>
                <w:rFonts w:ascii="仿宋" w:hAnsi="仿宋" w:eastAsia="仿宋" w:cs="Times New Roman"/>
                <w:iCs/>
                <w:kern w:val="0"/>
                <w:sz w:val="24"/>
              </w:rPr>
            </w:pPr>
            <w:r>
              <w:rPr>
                <w:rFonts w:ascii="仿宋" w:hAnsi="仿宋" w:eastAsia="仿宋" w:cs="Times New Roman"/>
                <w:iCs/>
                <w:kern w:val="0"/>
                <w:sz w:val="24"/>
              </w:rPr>
              <w:t>③</w:t>
            </w:r>
            <w:r>
              <w:rPr>
                <w:rFonts w:hint="eastAsia" w:ascii="仿宋" w:hAnsi="仿宋" w:eastAsia="仿宋" w:cs="Times New Roman"/>
                <w:iCs/>
                <w:kern w:val="0"/>
                <w:sz w:val="24"/>
              </w:rPr>
              <w:t>法律法规或监管机构规定的允许自有资金退出的其他情况。</w:t>
            </w:r>
          </w:p>
          <w:p>
            <w:pPr>
              <w:pStyle w:val="6"/>
              <w:ind w:firstLine="0"/>
              <w:rPr>
                <w:rFonts w:ascii="仿宋" w:hAnsi="仿宋" w:eastAsia="仿宋" w:cs="Times New Roman"/>
                <w:iCs/>
                <w:kern w:val="0"/>
                <w:sz w:val="24"/>
              </w:rPr>
            </w:pPr>
            <w:r>
              <w:rPr>
                <w:rFonts w:hint="eastAsia" w:ascii="仿宋" w:hAnsi="仿宋" w:eastAsia="仿宋" w:cs="Times New Roman"/>
                <w:iCs/>
                <w:kern w:val="0"/>
                <w:sz w:val="24"/>
              </w:rPr>
              <w:t>6、管理人及其子公司（孙公司）自有资金存续期</w:t>
            </w:r>
            <w:r>
              <w:rPr>
                <w:rFonts w:ascii="仿宋" w:hAnsi="仿宋" w:eastAsia="仿宋" w:cs="Times New Roman"/>
                <w:iCs/>
                <w:kern w:val="0"/>
                <w:sz w:val="24"/>
              </w:rPr>
              <w:t>退出时应当提前5个工作日通过管理人指定网站</w:t>
            </w:r>
            <w:r>
              <w:rPr>
                <w:rFonts w:hint="eastAsia" w:ascii="仿宋" w:hAnsi="仿宋" w:eastAsia="仿宋" w:cs="Times New Roman"/>
                <w:iCs/>
                <w:kern w:val="0"/>
                <w:sz w:val="24"/>
              </w:rPr>
              <w:t>公告/函件/邮件等形式</w:t>
            </w:r>
            <w:r>
              <w:rPr>
                <w:rFonts w:ascii="仿宋" w:hAnsi="仿宋" w:eastAsia="仿宋" w:cs="Times New Roman"/>
                <w:iCs/>
                <w:kern w:val="0"/>
                <w:sz w:val="24"/>
              </w:rPr>
              <w:t>告知</w:t>
            </w:r>
            <w:r>
              <w:rPr>
                <w:rFonts w:hint="eastAsia" w:ascii="仿宋" w:hAnsi="仿宋" w:eastAsia="仿宋" w:cs="Times New Roman"/>
                <w:iCs/>
                <w:kern w:val="0"/>
                <w:sz w:val="24"/>
              </w:rPr>
              <w:t>全体</w:t>
            </w:r>
            <w:r>
              <w:rPr>
                <w:rFonts w:ascii="仿宋" w:hAnsi="仿宋" w:eastAsia="仿宋" w:cs="Times New Roman"/>
                <w:iCs/>
                <w:kern w:val="0"/>
                <w:sz w:val="24"/>
              </w:rPr>
              <w:t>投资者和托管人</w:t>
            </w:r>
            <w:r>
              <w:rPr>
                <w:rFonts w:hint="eastAsia" w:ascii="仿宋" w:hAnsi="仿宋" w:eastAsia="仿宋" w:cs="Times New Roman"/>
                <w:iCs/>
                <w:kern w:val="0"/>
                <w:sz w:val="24"/>
              </w:rPr>
              <w:t>，并征询投资者及托管人意见。投资者不同意管理人及其子公司（孙公司）自有资金退出的，可在临时开放期内申请退出持有的集合计划份额，托管人不同意的，应在临时开放期前书面告知管理人。</w:t>
            </w:r>
            <w:r>
              <w:rPr>
                <w:rFonts w:ascii="仿宋" w:hAnsi="仿宋" w:eastAsia="仿宋" w:cs="Times New Roman"/>
                <w:iCs/>
                <w:kern w:val="0"/>
                <w:sz w:val="24"/>
              </w:rPr>
              <w:t>因集合计划规模变动等客观因素导致自有资金参与集合计划被动超过法律法规及本合同规定比例的，</w:t>
            </w:r>
            <w:r>
              <w:rPr>
                <w:rFonts w:hint="eastAsia" w:ascii="仿宋" w:hAnsi="仿宋" w:eastAsia="仿宋" w:cs="Times New Roman"/>
                <w:iCs/>
                <w:kern w:val="0"/>
                <w:sz w:val="24"/>
              </w:rPr>
              <w:t>管理人及其子公司（孙公司）自有资金退出可不受本条款限制，管理人</w:t>
            </w:r>
            <w:r>
              <w:rPr>
                <w:rFonts w:ascii="仿宋" w:hAnsi="仿宋" w:eastAsia="仿宋" w:cs="Times New Roman"/>
                <w:iCs/>
                <w:kern w:val="0"/>
                <w:sz w:val="24"/>
              </w:rPr>
              <w:t>应当及时调整达标</w:t>
            </w:r>
            <w:r>
              <w:rPr>
                <w:rFonts w:hint="eastAsia" w:ascii="仿宋" w:hAnsi="仿宋" w:eastAsia="仿宋" w:cs="Times New Roman"/>
                <w:iCs/>
                <w:kern w:val="0"/>
                <w:sz w:val="24"/>
              </w:rPr>
              <w:t>并通过</w:t>
            </w:r>
            <w:r>
              <w:rPr>
                <w:rFonts w:ascii="仿宋" w:hAnsi="仿宋" w:eastAsia="仿宋" w:cs="Times New Roman"/>
                <w:iCs/>
                <w:kern w:val="0"/>
                <w:sz w:val="24"/>
              </w:rPr>
              <w:t>管理人</w:t>
            </w:r>
            <w:r>
              <w:rPr>
                <w:rFonts w:hint="eastAsia" w:ascii="仿宋" w:hAnsi="仿宋" w:eastAsia="仿宋" w:cs="Times New Roman"/>
                <w:iCs/>
                <w:kern w:val="0"/>
                <w:sz w:val="24"/>
              </w:rPr>
              <w:t>指定网站</w:t>
            </w:r>
            <w:r>
              <w:rPr>
                <w:rFonts w:ascii="仿宋" w:hAnsi="仿宋" w:eastAsia="仿宋" w:cs="Times New Roman"/>
                <w:iCs/>
                <w:kern w:val="0"/>
                <w:sz w:val="24"/>
              </w:rPr>
              <w:t>公告</w:t>
            </w:r>
            <w:r>
              <w:rPr>
                <w:rFonts w:hint="eastAsia" w:ascii="仿宋" w:hAnsi="仿宋" w:eastAsia="仿宋" w:cs="Times New Roman"/>
                <w:iCs/>
                <w:kern w:val="0"/>
                <w:sz w:val="24"/>
              </w:rPr>
              <w:t>/函件/邮件等形式告知全体投资者和托管人</w:t>
            </w:r>
            <w:r>
              <w:rPr>
                <w:rFonts w:ascii="仿宋" w:hAnsi="仿宋" w:eastAsia="仿宋" w:cs="Times New Roman"/>
                <w:iCs/>
                <w:kern w:val="0"/>
                <w:sz w:val="24"/>
              </w:rPr>
              <w:t>。</w:t>
            </w:r>
          </w:p>
          <w:p>
            <w:pPr>
              <w:pStyle w:val="6"/>
              <w:ind w:firstLine="0"/>
              <w:rPr>
                <w:rFonts w:ascii="仿宋" w:hAnsi="仿宋" w:eastAsia="仿宋" w:cs="Times New Roman"/>
                <w:iCs/>
                <w:kern w:val="0"/>
                <w:sz w:val="24"/>
              </w:rPr>
            </w:pPr>
            <w:r>
              <w:rPr>
                <w:rFonts w:ascii="仿宋" w:hAnsi="仿宋" w:eastAsia="仿宋" w:cs="Times New Roman"/>
                <w:iCs/>
                <w:kern w:val="0"/>
                <w:sz w:val="24"/>
              </w:rPr>
              <w:t>7、</w:t>
            </w:r>
            <w:r>
              <w:rPr>
                <w:rFonts w:hint="eastAsia" w:ascii="仿宋" w:hAnsi="仿宋" w:eastAsia="仿宋" w:cs="Times New Roman"/>
                <w:iCs/>
                <w:kern w:val="0"/>
                <w:sz w:val="24"/>
              </w:rPr>
              <w:t xml:space="preserve">为应对巨额赎回以解决流动性风险，或者中国证监会认可的其他情形，在不存在利益冲突并遵守合同约定的前提下，管理人及其子公司（孙公司）自有资金参与及其后续退出集合资产管理计划可不受前述条款约定的比例、时间、提前告知全体投资者及托管人及取得其同意的限制，但应当及时通过管理人指定网站公告/函件/邮件等形式告知投资者和托管人，并向管理人所在地中国证监会相关派出机构报告。 </w:t>
            </w:r>
          </w:p>
          <w:p>
            <w:pPr>
              <w:pStyle w:val="6"/>
              <w:ind w:firstLine="0"/>
              <w:rPr>
                <w:rFonts w:ascii="仿宋" w:hAnsi="仿宋" w:eastAsia="仿宋" w:cs="Times New Roman"/>
                <w:iCs/>
                <w:kern w:val="0"/>
                <w:sz w:val="24"/>
              </w:rPr>
            </w:pPr>
            <w:r>
              <w:rPr>
                <w:rFonts w:ascii="仿宋" w:hAnsi="仿宋" w:eastAsia="仿宋" w:cs="Times New Roman"/>
                <w:iCs/>
                <w:kern w:val="0"/>
                <w:sz w:val="24"/>
              </w:rPr>
              <w:t>8、风险揭示</w:t>
            </w:r>
          </w:p>
          <w:p>
            <w:pPr>
              <w:pStyle w:val="6"/>
              <w:ind w:firstLine="0"/>
              <w:rPr>
                <w:rFonts w:ascii="仿宋" w:hAnsi="仿宋" w:eastAsia="仿宋" w:cs="Times New Roman"/>
                <w:iCs/>
                <w:kern w:val="0"/>
                <w:sz w:val="24"/>
              </w:rPr>
            </w:pPr>
            <w:r>
              <w:rPr>
                <w:rFonts w:ascii="仿宋" w:hAnsi="仿宋" w:eastAsia="仿宋" w:cs="Times New Roman"/>
                <w:iCs/>
                <w:kern w:val="0"/>
                <w:sz w:val="24"/>
              </w:rPr>
              <w:t>（1）集合计划管理人按上述约定以自有资金参与集合计划份额，不构成对其他投资者的本金及收益的保证，也不能保证其他投资者的本金不受损失。</w:t>
            </w:r>
          </w:p>
          <w:p>
            <w:pPr>
              <w:pStyle w:val="6"/>
              <w:ind w:firstLine="0"/>
              <w:rPr>
                <w:rFonts w:ascii="仿宋" w:hAnsi="仿宋" w:eastAsia="仿宋" w:cs="Times New Roman"/>
                <w:iCs/>
                <w:kern w:val="0"/>
                <w:sz w:val="24"/>
              </w:rPr>
            </w:pPr>
            <w:r>
              <w:rPr>
                <w:rFonts w:ascii="仿宋" w:hAnsi="仿宋" w:eastAsia="仿宋" w:cs="Times New Roman"/>
                <w:iCs/>
                <w:kern w:val="0"/>
                <w:sz w:val="24"/>
              </w:rPr>
              <w:t>（2）管理人自有资金退出，可能遭遇流动性风险，从而影响计划损益。管理人将认真履行管理人职责，关注计划规模变动情况，控制流动性风险。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pStyle w:val="3"/>
              <w:spacing w:before="0" w:after="0"/>
              <w:rPr>
                <w:rFonts w:ascii="仿宋" w:hAnsi="仿宋" w:eastAsia="仿宋" w:cs="仿宋"/>
                <w:sz w:val="24"/>
              </w:rPr>
            </w:pPr>
            <w:bookmarkStart w:id="0" w:name="_Toc22781"/>
            <w:bookmarkStart w:id="1" w:name="_Toc6302"/>
            <w:bookmarkStart w:id="2" w:name="_Toc3950"/>
            <w:bookmarkStart w:id="3" w:name="_Toc124148700"/>
            <w:r>
              <w:rPr>
                <w:rFonts w:hint="eastAsia" w:ascii="仿宋" w:hAnsi="仿宋" w:eastAsia="仿宋" w:cs="仿宋"/>
                <w:sz w:val="24"/>
              </w:rPr>
              <w:t>十四、利益冲突及关联交易</w:t>
            </w:r>
            <w:bookmarkEnd w:id="0"/>
            <w:bookmarkEnd w:id="1"/>
            <w:bookmarkEnd w:id="2"/>
            <w:bookmarkEnd w:id="3"/>
          </w:p>
          <w:p>
            <w:pPr>
              <w:spacing w:line="360" w:lineRule="auto"/>
              <w:rPr>
                <w:rFonts w:ascii="仿宋" w:hAnsi="仿宋" w:eastAsia="仿宋" w:cs="仿宋"/>
                <w:sz w:val="24"/>
              </w:rPr>
            </w:pPr>
            <w:r>
              <w:rPr>
                <w:rFonts w:hint="eastAsia" w:ascii="仿宋" w:hAnsi="仿宋" w:eastAsia="仿宋" w:cs="仿宋"/>
                <w:sz w:val="24"/>
              </w:rPr>
              <w:t>（二）资产管理计划关联交易</w:t>
            </w:r>
          </w:p>
          <w:p>
            <w:pPr>
              <w:pStyle w:val="2"/>
              <w:spacing w:line="360" w:lineRule="auto"/>
              <w:ind w:left="0" w:leftChars="0"/>
              <w:jc w:val="left"/>
              <w:rPr>
                <w:rFonts w:ascii="仿宋" w:hAnsi="仿宋" w:eastAsia="仿宋" w:cs="仿宋"/>
                <w:b w:val="0"/>
                <w:bCs w:val="0"/>
                <w:sz w:val="24"/>
              </w:rPr>
            </w:pPr>
            <w:r>
              <w:rPr>
                <w:rFonts w:ascii="仿宋" w:hAnsi="仿宋" w:eastAsia="仿宋" w:cs="仿宋"/>
                <w:b w:val="0"/>
                <w:bCs w:val="0"/>
                <w:sz w:val="24"/>
              </w:rPr>
              <w:t>投资者、托管人不可撤销地同意并授权管理人可以将集合计划的资产投资于</w:t>
            </w:r>
            <w:r>
              <w:rPr>
                <w:rFonts w:hint="eastAsia" w:ascii="仿宋" w:hAnsi="仿宋" w:eastAsia="仿宋" w:cs="仿宋"/>
                <w:b w:val="0"/>
                <w:bCs w:val="0"/>
                <w:sz w:val="24"/>
              </w:rPr>
              <w:t>管理人</w:t>
            </w:r>
            <w:r>
              <w:rPr>
                <w:rFonts w:ascii="仿宋" w:hAnsi="仿宋" w:eastAsia="仿宋" w:cs="仿宋"/>
                <w:b w:val="0"/>
                <w:bCs w:val="0"/>
                <w:sz w:val="24"/>
              </w:rPr>
              <w:t>、托管人及前述机构的控股股东、实际控制人或者其他关联方（关联方按照《企业会计准则》的规定确定）发行或者承销期内承销的证券，或者从事其他关联交易。管理人应当建立健全内部审批机制和评估机制，采取切实有效措施，防范利益冲突，并有充分证据证明未损害投资者利益。管理人从事关联交易遵循投资者利益优先原则，保护投资者权益，事后通过管理人网站及时、全面、客观的向投资者和托管人进行披露</w:t>
            </w:r>
            <w:r>
              <w:rPr>
                <w:rFonts w:hint="eastAsia" w:ascii="仿宋" w:hAnsi="仿宋" w:eastAsia="仿宋" w:cs="仿宋"/>
                <w:b w:val="0"/>
                <w:bCs w:val="0"/>
                <w:sz w:val="24"/>
                <w:lang w:eastAsia="zh-CN"/>
              </w:rPr>
              <w:t>，</w:t>
            </w:r>
            <w:r>
              <w:rPr>
                <w:rFonts w:hint="eastAsia" w:ascii="仿宋" w:hAnsi="仿宋" w:eastAsia="仿宋" w:cs="仿宋"/>
                <w:b w:val="0"/>
                <w:bCs w:val="0"/>
                <w:sz w:val="24"/>
                <w:lang w:val="en-US" w:eastAsia="zh-CN"/>
              </w:rPr>
              <w:t>并</w:t>
            </w:r>
            <w:r>
              <w:rPr>
                <w:rFonts w:ascii="仿宋" w:hAnsi="仿宋" w:eastAsia="仿宋" w:cs="仿宋"/>
                <w:b w:val="0"/>
                <w:bCs w:val="0"/>
                <w:sz w:val="24"/>
              </w:rPr>
              <w:t>向管理人所在地中国证监会</w:t>
            </w:r>
            <w:r>
              <w:rPr>
                <w:rFonts w:hint="eastAsia" w:ascii="仿宋" w:hAnsi="仿宋" w:eastAsia="仿宋" w:cs="仿宋"/>
                <w:b w:val="0"/>
                <w:bCs w:val="0"/>
                <w:sz w:val="24"/>
                <w:lang w:val="en-US" w:eastAsia="zh-CN"/>
              </w:rPr>
              <w:t>相关</w:t>
            </w:r>
            <w:r>
              <w:rPr>
                <w:rFonts w:ascii="仿宋" w:hAnsi="仿宋" w:eastAsia="仿宋" w:cs="仿宋"/>
                <w:b w:val="0"/>
                <w:bCs w:val="0"/>
                <w:sz w:val="24"/>
              </w:rPr>
              <w:t>派出机构报告。</w:t>
            </w:r>
          </w:p>
          <w:p>
            <w:pPr>
              <w:pStyle w:val="2"/>
              <w:spacing w:line="360" w:lineRule="auto"/>
              <w:ind w:left="0" w:leftChars="0"/>
              <w:jc w:val="left"/>
              <w:rPr>
                <w:rFonts w:ascii="仿宋" w:hAnsi="仿宋" w:eastAsia="仿宋" w:cs="仿宋"/>
                <w:b/>
                <w:bCs/>
                <w:sz w:val="24"/>
              </w:rPr>
            </w:pPr>
            <w:r>
              <w:rPr>
                <w:rFonts w:hint="eastAsia" w:ascii="仿宋" w:hAnsi="仿宋" w:eastAsia="仿宋" w:cs="仿宋"/>
                <w:b w:val="0"/>
                <w:bCs w:val="0"/>
                <w:sz w:val="24"/>
              </w:rPr>
              <w:t>除</w:t>
            </w:r>
            <w:r>
              <w:rPr>
                <w:rFonts w:ascii="仿宋" w:hAnsi="仿宋" w:eastAsia="仿宋" w:cs="仿宋"/>
                <w:b w:val="0"/>
                <w:bCs w:val="0"/>
                <w:sz w:val="24"/>
              </w:rPr>
              <w:t>将集合计划的资产投资于管理人、托管人及前述机构的控股股东、实际控制人或者其他关联方发行或者承销期内承销的证券</w:t>
            </w:r>
            <w:r>
              <w:rPr>
                <w:rFonts w:hint="eastAsia" w:ascii="仿宋" w:hAnsi="仿宋" w:eastAsia="仿宋" w:cs="仿宋"/>
                <w:b w:val="0"/>
                <w:bCs w:val="0"/>
                <w:sz w:val="24"/>
              </w:rPr>
              <w:t>外，</w:t>
            </w:r>
            <w:r>
              <w:rPr>
                <w:rFonts w:ascii="仿宋" w:hAnsi="仿宋" w:eastAsia="仿宋" w:cs="仿宋"/>
                <w:b w:val="0"/>
                <w:bCs w:val="0"/>
                <w:sz w:val="24"/>
              </w:rPr>
              <w:t>管理人不得将其管理的资产管理计划资产，直接或者通过投资其他资产管理计划等间接形式，为</w:t>
            </w:r>
            <w:r>
              <w:rPr>
                <w:rFonts w:hint="eastAsia" w:ascii="仿宋" w:hAnsi="仿宋" w:eastAsia="仿宋" w:cs="仿宋"/>
                <w:b w:val="0"/>
                <w:bCs w:val="0"/>
                <w:sz w:val="24"/>
              </w:rPr>
              <w:t>管理人</w:t>
            </w:r>
            <w:r>
              <w:rPr>
                <w:rFonts w:ascii="仿宋" w:hAnsi="仿宋" w:eastAsia="仿宋" w:cs="仿宋"/>
                <w:b w:val="0"/>
                <w:bCs w:val="0"/>
                <w:sz w:val="24"/>
              </w:rPr>
              <w:t>、托管人及前述机构的控股股东、实际控制人或者其他关联方提供或者变相提供融资。全部投资者均为符合中国证监会规定的专业投资者且单个投资者投资金额不低于1000万元，并且事先取得投资者同意的除外。</w:t>
            </w:r>
          </w:p>
        </w:tc>
        <w:tc>
          <w:tcPr>
            <w:tcW w:w="4261" w:type="dxa"/>
          </w:tcPr>
          <w:p>
            <w:pPr>
              <w:pStyle w:val="3"/>
              <w:spacing w:before="0" w:after="0"/>
              <w:rPr>
                <w:rFonts w:ascii="仿宋" w:hAnsi="仿宋" w:eastAsia="仿宋" w:cs="仿宋"/>
                <w:sz w:val="24"/>
              </w:rPr>
            </w:pPr>
            <w:r>
              <w:rPr>
                <w:rFonts w:hint="eastAsia" w:ascii="仿宋" w:hAnsi="仿宋" w:eastAsia="仿宋" w:cs="仿宋"/>
                <w:sz w:val="24"/>
              </w:rPr>
              <w:t>十四、利益冲突及关联交易</w:t>
            </w:r>
          </w:p>
          <w:p>
            <w:pPr>
              <w:spacing w:line="360" w:lineRule="auto"/>
              <w:rPr>
                <w:rFonts w:ascii="仿宋" w:hAnsi="仿宋" w:eastAsia="仿宋" w:cs="仿宋"/>
                <w:sz w:val="24"/>
              </w:rPr>
            </w:pPr>
            <w:r>
              <w:rPr>
                <w:rFonts w:hint="eastAsia" w:ascii="仿宋" w:hAnsi="仿宋" w:eastAsia="仿宋" w:cs="仿宋"/>
                <w:sz w:val="24"/>
              </w:rPr>
              <w:t>（二）资产管理计划关联交易</w:t>
            </w:r>
          </w:p>
          <w:p>
            <w:pPr>
              <w:spacing w:line="360" w:lineRule="auto"/>
              <w:rPr>
                <w:rFonts w:ascii="仿宋" w:hAnsi="仿宋" w:eastAsia="仿宋" w:cs="仿宋"/>
                <w:sz w:val="24"/>
              </w:rPr>
            </w:pPr>
            <w:r>
              <w:rPr>
                <w:rFonts w:hint="eastAsia" w:ascii="仿宋" w:hAnsi="仿宋" w:eastAsia="仿宋" w:cs="仿宋"/>
                <w:sz w:val="24"/>
              </w:rPr>
              <w:t>1、关联方定义</w:t>
            </w:r>
          </w:p>
          <w:p>
            <w:pPr>
              <w:spacing w:line="360" w:lineRule="auto"/>
              <w:rPr>
                <w:rFonts w:ascii="仿宋" w:hAnsi="仿宋" w:eastAsia="仿宋" w:cs="仿宋"/>
                <w:sz w:val="24"/>
              </w:rPr>
            </w:pPr>
            <w:r>
              <w:rPr>
                <w:rFonts w:hint="eastAsia" w:ascii="仿宋" w:hAnsi="仿宋" w:eastAsia="仿宋" w:cs="仿宋"/>
                <w:sz w:val="24"/>
              </w:rPr>
              <w:t>资产管理计划的管理人及其管理的资管产品、托管人、管理人及托管人的控股股东、实际控制人、有其他重大利害关系的关联方及按照《企业会计准则》等相关法律法规、自律规范认定的其他关联方。关联交易涉及的关联方名单将在关联交易发生之前通过管理人公告（zg.stock.hnchasing.com)或电子邮件等方式向投资者披露。</w:t>
            </w:r>
          </w:p>
          <w:p>
            <w:pPr>
              <w:spacing w:line="360" w:lineRule="auto"/>
              <w:rPr>
                <w:rFonts w:ascii="仿宋" w:hAnsi="仿宋" w:eastAsia="仿宋" w:cs="仿宋"/>
                <w:sz w:val="24"/>
              </w:rPr>
            </w:pPr>
            <w:r>
              <w:rPr>
                <w:rFonts w:hint="eastAsia" w:ascii="仿宋" w:hAnsi="仿宋" w:eastAsia="仿宋" w:cs="仿宋"/>
                <w:sz w:val="24"/>
              </w:rPr>
              <w:t>2、一般关联交易和重大关联交易</w:t>
            </w:r>
          </w:p>
          <w:p>
            <w:pPr>
              <w:spacing w:line="360" w:lineRule="auto"/>
              <w:rPr>
                <w:rFonts w:hint="eastAsia" w:ascii="仿宋" w:hAnsi="仿宋" w:eastAsia="仿宋" w:cs="仿宋"/>
                <w:sz w:val="24"/>
              </w:rPr>
            </w:pPr>
            <w:r>
              <w:rPr>
                <w:rFonts w:hint="eastAsia" w:ascii="仿宋" w:hAnsi="仿宋" w:eastAsia="仿宋" w:cs="仿宋"/>
                <w:sz w:val="24"/>
              </w:rPr>
              <w:t>关联交易指资产管理计划在投资运作中与关联方发生的所有交易，包括但不限于以下交易：买卖关联方发行的或者承销期内承销的证券（包括股票、债券、资产支持证券等，下同）；投资于关联方发行的资管产品；与关联方作为交易对手进行的交易；投资于关联方的非标准化资产；法律法规及中国证监会规定为关联交易的其他事项。</w:t>
            </w:r>
          </w:p>
          <w:p>
            <w:pPr>
              <w:spacing w:line="360" w:lineRule="auto"/>
              <w:rPr>
                <w:rFonts w:ascii="仿宋" w:hAnsi="仿宋" w:eastAsia="仿宋" w:cs="仿宋"/>
                <w:sz w:val="24"/>
              </w:rPr>
            </w:pPr>
            <w:r>
              <w:rPr>
                <w:rFonts w:hint="eastAsia" w:ascii="仿宋" w:hAnsi="仿宋" w:eastAsia="仿宋" w:cs="仿宋"/>
                <w:sz w:val="24"/>
              </w:rPr>
              <w:t>关联交易分为一般关联交易和重大关联交易，实行分类管理。一般关联交易和重大关联交易的区分标准，根据法律法规、中国证监会或证券投资基金业协会等监管机构的规定或要求执行。</w:t>
            </w:r>
          </w:p>
          <w:p>
            <w:pPr>
              <w:spacing w:line="360" w:lineRule="auto"/>
              <w:rPr>
                <w:rFonts w:ascii="仿宋" w:hAnsi="仿宋" w:eastAsia="仿宋" w:cs="仿宋"/>
                <w:sz w:val="24"/>
              </w:rPr>
            </w:pPr>
            <w:r>
              <w:rPr>
                <w:rFonts w:hint="eastAsia" w:ascii="仿宋" w:hAnsi="仿宋" w:eastAsia="仿宋" w:cs="仿宋"/>
                <w:sz w:val="24"/>
              </w:rPr>
              <w:t>其中，重大关联交易包括但不限于资产管理计划资产投资于管理人、托管人及前述机构的控股股东、实际控制人或者其他关联方发行的证券或者承销期内承销的证券。重大关联交易之外的关联交易为一般关联交易。</w:t>
            </w:r>
          </w:p>
          <w:p>
            <w:pPr>
              <w:spacing w:line="360" w:lineRule="auto"/>
              <w:rPr>
                <w:rFonts w:ascii="仿宋" w:hAnsi="仿宋" w:eastAsia="仿宋" w:cs="仿宋"/>
                <w:sz w:val="24"/>
              </w:rPr>
            </w:pPr>
            <w:r>
              <w:rPr>
                <w:rFonts w:hint="eastAsia" w:ascii="仿宋" w:hAnsi="仿宋" w:eastAsia="仿宋" w:cs="仿宋"/>
                <w:sz w:val="24"/>
              </w:rPr>
              <w:t>但以下交易不视为重大关联交易，包括：公司作为管理人独立做出投资决策并通过相关证券交易场所以竞价交易方式进行的无法提前明确交易对手方的交易；产品通过关联方交易单元进行的交易；从产品资产中支付给管理人、托管人的管理费、托管费、佣金等关联方报酬；管理人自有资金投资于产品的情况；在托管户保管的银行存款余额及当期产生的利息收入。</w:t>
            </w:r>
          </w:p>
          <w:p>
            <w:pPr>
              <w:spacing w:line="360" w:lineRule="auto"/>
              <w:rPr>
                <w:rFonts w:ascii="仿宋" w:hAnsi="仿宋" w:eastAsia="仿宋" w:cs="仿宋"/>
                <w:sz w:val="24"/>
              </w:rPr>
            </w:pPr>
            <w:r>
              <w:rPr>
                <w:rFonts w:hint="eastAsia" w:ascii="仿宋" w:hAnsi="仿宋" w:eastAsia="仿宋" w:cs="仿宋"/>
                <w:sz w:val="24"/>
              </w:rPr>
              <w:t xml:space="preserve">如相关法律法规、自律规范对本集合计划适用的关联方范围、一般关联交易和重大关联交易的区分标准以及关联交易审批等内部管控机制等有进一步规定的，本集合计划从其规定。 </w:t>
            </w:r>
          </w:p>
          <w:p>
            <w:pPr>
              <w:spacing w:line="360" w:lineRule="auto"/>
              <w:rPr>
                <w:rFonts w:ascii="仿宋" w:hAnsi="仿宋" w:eastAsia="仿宋" w:cs="仿宋"/>
                <w:sz w:val="24"/>
              </w:rPr>
            </w:pPr>
            <w:r>
              <w:rPr>
                <w:rFonts w:hint="eastAsia" w:ascii="仿宋" w:hAnsi="仿宋" w:eastAsia="仿宋" w:cs="仿宋"/>
                <w:sz w:val="24"/>
              </w:rPr>
              <w:t>3、关联交易的审批机制</w:t>
            </w:r>
          </w:p>
          <w:p>
            <w:pPr>
              <w:spacing w:line="360" w:lineRule="auto"/>
              <w:rPr>
                <w:rFonts w:ascii="仿宋" w:hAnsi="仿宋" w:eastAsia="仿宋" w:cs="仿宋"/>
                <w:sz w:val="24"/>
              </w:rPr>
            </w:pPr>
            <w:r>
              <w:rPr>
                <w:rFonts w:hint="eastAsia" w:ascii="仿宋" w:hAnsi="仿宋" w:eastAsia="仿宋" w:cs="仿宋"/>
                <w:sz w:val="24"/>
              </w:rPr>
              <w:t>管理人资产管理业务部门负责关联方的初次识别和关联交易初步筛查，并按规定发起内部决策程序；管理人关联交易主管部门、财务部门、合规部门根据各自部门职责对关联交易进行审批。</w:t>
            </w:r>
          </w:p>
          <w:p>
            <w:pPr>
              <w:spacing w:line="360" w:lineRule="auto"/>
              <w:rPr>
                <w:rFonts w:ascii="仿宋" w:hAnsi="仿宋" w:eastAsia="仿宋" w:cs="仿宋"/>
                <w:sz w:val="24"/>
              </w:rPr>
            </w:pPr>
            <w:r>
              <w:rPr>
                <w:rFonts w:hint="eastAsia" w:ascii="仿宋" w:hAnsi="仿宋" w:eastAsia="仿宋" w:cs="仿宋"/>
                <w:sz w:val="24"/>
              </w:rPr>
              <w:t>4、其他</w:t>
            </w:r>
          </w:p>
          <w:p>
            <w:pPr>
              <w:spacing w:line="360" w:lineRule="auto"/>
              <w:rPr>
                <w:rFonts w:ascii="仿宋" w:hAnsi="仿宋" w:eastAsia="仿宋" w:cs="仿宋"/>
                <w:sz w:val="24"/>
              </w:rPr>
            </w:pPr>
            <w:r>
              <w:rPr>
                <w:rFonts w:hint="eastAsia" w:ascii="仿宋" w:hAnsi="仿宋" w:eastAsia="仿宋" w:cs="仿宋"/>
                <w:sz w:val="24"/>
              </w:rPr>
              <w:t xml:space="preserve">管理人以集合计划资产从事关联交易的，应根据监管机构及自律组织出具的规范性文件、通知或备案指导意见等监督管理要求，事先取得投资者同意，事后及时、全面、客观的向投资者和托管人进行披露，并按照法律法规和监管机构的规定履行报告义务。 </w:t>
            </w:r>
          </w:p>
          <w:p>
            <w:pPr>
              <w:spacing w:line="360" w:lineRule="auto"/>
              <w:rPr>
                <w:rFonts w:ascii="仿宋" w:hAnsi="仿宋" w:eastAsia="仿宋" w:cs="仿宋"/>
                <w:sz w:val="24"/>
              </w:rPr>
            </w:pPr>
            <w:r>
              <w:rPr>
                <w:rFonts w:hint="eastAsia" w:ascii="仿宋" w:hAnsi="仿宋" w:eastAsia="仿宋" w:cs="仿宋"/>
                <w:sz w:val="24"/>
              </w:rPr>
              <w:t>投资者、托管人在此同意并授权管理人可以将集合计划的资产从事一般关联交易。如本集合计划从事重大关联交易的，管理人应事先采取逐笔征求意见或公告确认等方式（监管机构及自律组织另有规定的，从其规定）征得投资者的同意。管理人以集合计划资产从事关联交易，应当建立健全内部审批机制和评估机制，采取切实有效措施，防范利益冲突，并有充分证据证明未损害投资者利益</w:t>
            </w:r>
            <w:r>
              <w:rPr>
                <w:rFonts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除</w:t>
            </w:r>
            <w:r>
              <w:rPr>
                <w:rFonts w:ascii="仿宋" w:hAnsi="仿宋" w:eastAsia="仿宋" w:cs="仿宋"/>
                <w:sz w:val="24"/>
              </w:rPr>
              <w:t>将集合计划的资产投资于托管人及</w:t>
            </w:r>
            <w:r>
              <w:rPr>
                <w:rFonts w:hint="eastAsia" w:ascii="仿宋" w:hAnsi="仿宋" w:eastAsia="仿宋" w:cs="仿宋"/>
                <w:sz w:val="24"/>
              </w:rPr>
              <w:t>其</w:t>
            </w:r>
            <w:r>
              <w:rPr>
                <w:rFonts w:ascii="仿宋" w:hAnsi="仿宋" w:eastAsia="仿宋" w:cs="仿宋"/>
                <w:sz w:val="24"/>
              </w:rPr>
              <w:t>控股股东、实际控制人或者</w:t>
            </w:r>
            <w:r>
              <w:rPr>
                <w:rFonts w:hint="eastAsia" w:ascii="仿宋" w:hAnsi="仿宋" w:eastAsia="仿宋" w:cs="仿宋"/>
                <w:sz w:val="24"/>
              </w:rPr>
              <w:t>托管人</w:t>
            </w:r>
            <w:r>
              <w:rPr>
                <w:rFonts w:ascii="仿宋" w:hAnsi="仿宋" w:eastAsia="仿宋" w:cs="仿宋"/>
                <w:sz w:val="24"/>
              </w:rPr>
              <w:t>其他关联方发行或者承销期内承销的证券</w:t>
            </w:r>
            <w:r>
              <w:rPr>
                <w:rFonts w:hint="eastAsia" w:ascii="仿宋" w:hAnsi="仿宋" w:eastAsia="仿宋" w:cs="仿宋"/>
                <w:sz w:val="24"/>
              </w:rPr>
              <w:t>外，</w:t>
            </w:r>
            <w:r>
              <w:rPr>
                <w:rFonts w:ascii="仿宋" w:hAnsi="仿宋" w:eastAsia="仿宋" w:cs="仿宋"/>
                <w:sz w:val="24"/>
              </w:rPr>
              <w:t>管理人不得将其管理的资产管理计划资产，直接或者通过投资其他资产管理计划等间接形式，为</w:t>
            </w:r>
            <w:r>
              <w:rPr>
                <w:rFonts w:hint="eastAsia" w:ascii="仿宋" w:hAnsi="仿宋" w:eastAsia="仿宋" w:cs="仿宋"/>
                <w:sz w:val="24"/>
              </w:rPr>
              <w:t>管理人</w:t>
            </w:r>
            <w:r>
              <w:rPr>
                <w:rFonts w:ascii="仿宋" w:hAnsi="仿宋" w:eastAsia="仿宋" w:cs="仿宋"/>
                <w:sz w:val="24"/>
              </w:rPr>
              <w:t>、托管人及前述机构的控股股东、实际控制人或者其他关联方提供或者变相提供融资。全部投资者均为符合中国证监会规定的专业投资者且单个投资者投资金额不低于1000万元，并且事先取得投资者同意的除外。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pStyle w:val="2"/>
              <w:spacing w:line="360" w:lineRule="auto"/>
              <w:ind w:left="0" w:leftChars="0"/>
              <w:jc w:val="left"/>
              <w:rPr>
                <w:rFonts w:hint="eastAsia" w:ascii="仿宋" w:hAnsi="仿宋" w:eastAsia="仿宋" w:cs="Calibri"/>
                <w:b/>
                <w:bCs w:val="0"/>
                <w:kern w:val="0"/>
                <w:sz w:val="24"/>
                <w:szCs w:val="24"/>
                <w:lang w:val="en-US" w:eastAsia="zh-CN"/>
              </w:rPr>
            </w:pPr>
            <w:r>
              <w:rPr>
                <w:rFonts w:hint="eastAsia" w:ascii="仿宋" w:hAnsi="仿宋" w:eastAsia="仿宋" w:cs="Calibri"/>
                <w:b/>
                <w:bCs w:val="0"/>
                <w:kern w:val="0"/>
                <w:sz w:val="24"/>
                <w:szCs w:val="24"/>
              </w:rPr>
              <w:t>二十三</w:t>
            </w:r>
            <w:r>
              <w:rPr>
                <w:rFonts w:hint="eastAsia" w:ascii="仿宋" w:hAnsi="仿宋" w:eastAsia="仿宋" w:cs="Calibri"/>
                <w:b/>
                <w:bCs w:val="0"/>
                <w:kern w:val="0"/>
                <w:sz w:val="24"/>
                <w:szCs w:val="24"/>
                <w:lang w:eastAsia="zh-CN"/>
              </w:rPr>
              <w:t>、</w:t>
            </w:r>
            <w:r>
              <w:rPr>
                <w:rFonts w:hint="eastAsia" w:ascii="仿宋" w:hAnsi="仿宋" w:eastAsia="仿宋" w:cs="Calibri"/>
                <w:b/>
                <w:bCs w:val="0"/>
                <w:kern w:val="0"/>
                <w:sz w:val="24"/>
                <w:szCs w:val="24"/>
                <w:lang w:val="en-US" w:eastAsia="zh-CN"/>
              </w:rPr>
              <w:t>风险揭示</w:t>
            </w:r>
          </w:p>
          <w:p>
            <w:pPr>
              <w:pStyle w:val="2"/>
              <w:spacing w:line="360" w:lineRule="auto"/>
              <w:ind w:left="0" w:leftChars="0"/>
              <w:jc w:val="left"/>
              <w:rPr>
                <w:rFonts w:ascii="仿宋" w:hAnsi="仿宋" w:eastAsia="仿宋"/>
                <w:b w:val="0"/>
                <w:bCs/>
                <w:color w:val="auto"/>
                <w:sz w:val="24"/>
              </w:rPr>
            </w:pPr>
            <w:r>
              <w:rPr>
                <w:rFonts w:hint="eastAsia" w:ascii="仿宋" w:hAnsi="仿宋" w:eastAsia="仿宋" w:cs="Calibri"/>
                <w:b w:val="0"/>
                <w:bCs/>
                <w:kern w:val="0"/>
                <w:sz w:val="24"/>
                <w:szCs w:val="24"/>
              </w:rPr>
              <w:t>（一）</w:t>
            </w:r>
            <w:r>
              <w:rPr>
                <w:rFonts w:ascii="仿宋" w:hAnsi="仿宋" w:eastAsia="仿宋"/>
                <w:b w:val="0"/>
                <w:bCs/>
                <w:color w:val="auto"/>
                <w:sz w:val="24"/>
              </w:rPr>
              <w:t>资产管理计划面临的一般风险</w:t>
            </w:r>
          </w:p>
          <w:p>
            <w:pPr>
              <w:spacing w:line="360" w:lineRule="auto"/>
              <w:textAlignment w:val="baseline"/>
              <w:rPr>
                <w:rFonts w:ascii="仿宋" w:hAnsi="仿宋" w:eastAsia="仿宋"/>
                <w:b w:val="0"/>
                <w:bCs/>
                <w:color w:val="auto"/>
                <w:sz w:val="24"/>
              </w:rPr>
            </w:pPr>
            <w:r>
              <w:rPr>
                <w:rFonts w:hint="eastAsia" w:ascii="仿宋" w:hAnsi="仿宋" w:eastAsia="仿宋" w:cs="Calibri"/>
                <w:b w:val="0"/>
                <w:bCs/>
                <w:kern w:val="0"/>
                <w:sz w:val="24"/>
                <w:szCs w:val="24"/>
                <w:lang w:val="en-US" w:eastAsia="zh-CN"/>
              </w:rPr>
              <w:t>8、</w:t>
            </w:r>
            <w:r>
              <w:rPr>
                <w:rFonts w:ascii="仿宋" w:hAnsi="仿宋" w:eastAsia="仿宋"/>
                <w:b w:val="0"/>
                <w:bCs/>
                <w:color w:val="auto"/>
                <w:sz w:val="24"/>
              </w:rPr>
              <w:t>关联交易风险</w:t>
            </w:r>
          </w:p>
          <w:p>
            <w:pPr>
              <w:spacing w:line="360" w:lineRule="auto"/>
              <w:textAlignment w:val="baseline"/>
              <w:rPr>
                <w:rFonts w:ascii="仿宋" w:hAnsi="仿宋" w:eastAsia="仿宋" w:cs="仿宋"/>
                <w:iCs/>
                <w:sz w:val="24"/>
                <w:szCs w:val="24"/>
              </w:rPr>
            </w:pPr>
            <w:r>
              <w:rPr>
                <w:rFonts w:ascii="仿宋" w:hAnsi="仿宋" w:eastAsia="仿宋"/>
                <w:color w:val="auto"/>
                <w:sz w:val="24"/>
              </w:rPr>
              <w:t>本计划可能将集合计划的资产投资于管理人、托管人及前述机构的控股股东、实际控制人或者其他关联方（关联方按照《企业会计准则》的规定确定）发行或者承销期内承销的证券，或者从事其他关联交易。虽然本资产管理计划的相关行为全部基于市场公平行为，资产管理人将在管理人已知的范围内确保交易价格公允并竭力避免非公平交易，但是依然不能避免未来可能发生的关联交易风险。</w:t>
            </w:r>
          </w:p>
          <w:p>
            <w:pPr>
              <w:pStyle w:val="2"/>
              <w:spacing w:line="360" w:lineRule="auto"/>
              <w:ind w:left="0" w:leftChars="0"/>
              <w:jc w:val="left"/>
              <w:rPr>
                <w:rFonts w:hint="eastAsia" w:ascii="仿宋" w:hAnsi="仿宋" w:eastAsia="仿宋" w:cs="仿宋"/>
                <w:b w:val="0"/>
                <w:bCs w:val="0"/>
                <w:sz w:val="24"/>
                <w:lang w:eastAsia="zh-CN"/>
              </w:rPr>
            </w:pPr>
          </w:p>
        </w:tc>
        <w:tc>
          <w:tcPr>
            <w:tcW w:w="4261" w:type="dxa"/>
          </w:tcPr>
          <w:p>
            <w:pPr>
              <w:pStyle w:val="2"/>
              <w:spacing w:line="360" w:lineRule="auto"/>
              <w:ind w:left="0" w:leftChars="0"/>
              <w:jc w:val="left"/>
              <w:rPr>
                <w:rFonts w:hint="eastAsia" w:ascii="仿宋" w:hAnsi="仿宋" w:eastAsia="仿宋" w:cs="Calibri"/>
                <w:b/>
                <w:bCs w:val="0"/>
                <w:kern w:val="0"/>
                <w:sz w:val="24"/>
                <w:szCs w:val="24"/>
                <w:lang w:val="en-US" w:eastAsia="zh-CN"/>
              </w:rPr>
            </w:pPr>
            <w:r>
              <w:rPr>
                <w:rFonts w:hint="eastAsia" w:ascii="仿宋" w:hAnsi="仿宋" w:eastAsia="仿宋" w:cs="Calibri"/>
                <w:b/>
                <w:bCs w:val="0"/>
                <w:kern w:val="0"/>
                <w:sz w:val="24"/>
                <w:szCs w:val="24"/>
              </w:rPr>
              <w:t>二十三</w:t>
            </w:r>
            <w:r>
              <w:rPr>
                <w:rFonts w:hint="eastAsia" w:ascii="仿宋" w:hAnsi="仿宋" w:eastAsia="仿宋" w:cs="Calibri"/>
                <w:b/>
                <w:bCs w:val="0"/>
                <w:kern w:val="0"/>
                <w:sz w:val="24"/>
                <w:szCs w:val="24"/>
                <w:lang w:eastAsia="zh-CN"/>
              </w:rPr>
              <w:t>、</w:t>
            </w:r>
            <w:r>
              <w:rPr>
                <w:rFonts w:hint="eastAsia" w:ascii="仿宋" w:hAnsi="仿宋" w:eastAsia="仿宋" w:cs="Calibri"/>
                <w:b/>
                <w:bCs w:val="0"/>
                <w:kern w:val="0"/>
                <w:sz w:val="24"/>
                <w:szCs w:val="24"/>
                <w:lang w:val="en-US" w:eastAsia="zh-CN"/>
              </w:rPr>
              <w:t>风险揭示</w:t>
            </w:r>
          </w:p>
          <w:p>
            <w:pPr>
              <w:pStyle w:val="2"/>
              <w:spacing w:line="360" w:lineRule="auto"/>
              <w:ind w:left="0" w:leftChars="0"/>
              <w:jc w:val="left"/>
              <w:rPr>
                <w:rFonts w:ascii="仿宋" w:hAnsi="仿宋" w:eastAsia="仿宋"/>
                <w:b w:val="0"/>
                <w:bCs/>
                <w:color w:val="auto"/>
                <w:sz w:val="24"/>
              </w:rPr>
            </w:pPr>
            <w:r>
              <w:rPr>
                <w:rFonts w:hint="eastAsia" w:ascii="仿宋" w:hAnsi="仿宋" w:eastAsia="仿宋" w:cs="Calibri"/>
                <w:b w:val="0"/>
                <w:bCs/>
                <w:kern w:val="0"/>
                <w:sz w:val="24"/>
                <w:szCs w:val="24"/>
              </w:rPr>
              <w:t>（一）</w:t>
            </w:r>
            <w:r>
              <w:rPr>
                <w:rFonts w:ascii="仿宋" w:hAnsi="仿宋" w:eastAsia="仿宋"/>
                <w:b w:val="0"/>
                <w:bCs/>
                <w:color w:val="auto"/>
                <w:sz w:val="24"/>
              </w:rPr>
              <w:t>资产管理计划面临的一般风险</w:t>
            </w:r>
          </w:p>
          <w:p>
            <w:pPr>
              <w:spacing w:line="360" w:lineRule="auto"/>
              <w:textAlignment w:val="baseline"/>
              <w:rPr>
                <w:rFonts w:ascii="仿宋" w:hAnsi="仿宋" w:eastAsia="仿宋"/>
                <w:b w:val="0"/>
                <w:bCs/>
                <w:color w:val="auto"/>
                <w:sz w:val="24"/>
              </w:rPr>
            </w:pPr>
            <w:r>
              <w:rPr>
                <w:rFonts w:hint="eastAsia" w:ascii="仿宋" w:hAnsi="仿宋" w:eastAsia="仿宋" w:cs="Calibri"/>
                <w:b w:val="0"/>
                <w:bCs/>
                <w:kern w:val="0"/>
                <w:sz w:val="24"/>
                <w:szCs w:val="24"/>
                <w:lang w:val="en-US" w:eastAsia="zh-CN"/>
              </w:rPr>
              <w:t>8、</w:t>
            </w:r>
            <w:r>
              <w:rPr>
                <w:rFonts w:ascii="仿宋" w:hAnsi="仿宋" w:eastAsia="仿宋"/>
                <w:b w:val="0"/>
                <w:bCs/>
                <w:color w:val="auto"/>
                <w:sz w:val="24"/>
              </w:rPr>
              <w:t>关联交易风险</w:t>
            </w:r>
          </w:p>
          <w:p>
            <w:pPr>
              <w:spacing w:line="360" w:lineRule="auto"/>
              <w:rPr>
                <w:rFonts w:hint="eastAsia" w:ascii="仿宋" w:hAnsi="仿宋" w:eastAsia="仿宋" w:cs="仿宋"/>
                <w:sz w:val="24"/>
              </w:rPr>
            </w:pPr>
            <w:r>
              <w:rPr>
                <w:rFonts w:hint="eastAsia" w:ascii="仿宋" w:hAnsi="仿宋" w:eastAsia="仿宋" w:cs="仿宋"/>
                <w:sz w:val="24"/>
              </w:rPr>
              <w:t>（1）重大关联交易风险</w:t>
            </w:r>
          </w:p>
          <w:p>
            <w:pPr>
              <w:spacing w:line="360" w:lineRule="auto"/>
              <w:rPr>
                <w:rFonts w:hint="eastAsia" w:ascii="仿宋" w:hAnsi="仿宋" w:eastAsia="仿宋" w:cs="仿宋"/>
                <w:sz w:val="24"/>
              </w:rPr>
            </w:pPr>
            <w:r>
              <w:rPr>
                <w:rFonts w:hint="eastAsia" w:ascii="仿宋" w:hAnsi="仿宋" w:eastAsia="仿宋" w:cs="仿宋"/>
                <w:sz w:val="24"/>
              </w:rPr>
              <w:t>本计划进行重大关联交易时，管理人应遵守法律法规、监管规定、行业自律组织要求、合同约定及管理人相关内控制度，保护投资者的合法权益，但投资者仍有可能面临重大关联交易存在相关投资风险等情况，导致投资者利益受到损害的风险。</w:t>
            </w:r>
          </w:p>
          <w:p>
            <w:pPr>
              <w:spacing w:line="360" w:lineRule="auto"/>
              <w:rPr>
                <w:rFonts w:hint="eastAsia" w:ascii="仿宋" w:hAnsi="仿宋" w:eastAsia="仿宋" w:cs="仿宋"/>
                <w:sz w:val="24"/>
              </w:rPr>
            </w:pPr>
            <w:r>
              <w:rPr>
                <w:rFonts w:hint="eastAsia" w:ascii="仿宋" w:hAnsi="仿宋" w:eastAsia="仿宋" w:cs="仿宋"/>
                <w:sz w:val="24"/>
              </w:rPr>
              <w:t>投资者应充分知悉本合同条款关于重大关联交易的各项机制安排和所涉风险，关注管理人相关公告并及时做出相应安排。</w:t>
            </w:r>
          </w:p>
          <w:p>
            <w:pPr>
              <w:spacing w:line="360" w:lineRule="auto"/>
              <w:rPr>
                <w:rFonts w:hint="eastAsia" w:ascii="仿宋" w:hAnsi="仿宋" w:eastAsia="仿宋" w:cs="仿宋"/>
                <w:sz w:val="24"/>
              </w:rPr>
            </w:pPr>
            <w:r>
              <w:rPr>
                <w:rFonts w:hint="eastAsia" w:ascii="仿宋" w:hAnsi="仿宋" w:eastAsia="仿宋" w:cs="仿宋"/>
                <w:sz w:val="24"/>
              </w:rPr>
              <w:t>（2）一般关联交易风险</w:t>
            </w:r>
          </w:p>
          <w:p>
            <w:pPr>
              <w:spacing w:line="360" w:lineRule="auto"/>
              <w:rPr>
                <w:rFonts w:hint="eastAsia" w:ascii="仿宋" w:hAnsi="仿宋" w:eastAsia="仿宋" w:cs="仿宋"/>
                <w:sz w:val="24"/>
              </w:rPr>
            </w:pPr>
            <w:r>
              <w:rPr>
                <w:rFonts w:hint="eastAsia" w:ascii="仿宋" w:hAnsi="仿宋" w:eastAsia="仿宋" w:cs="仿宋"/>
                <w:sz w:val="24"/>
              </w:rPr>
              <w:t>根据本合同约定：“投资者、托管人在此同意并授权管理人可以将集合计划的资产从事一般关联交易。”管理人虽会采取措施防范利益冲突，保护投资者的合法权益，但投资者仍有可能面临一般关联交易存在相关投资风险、无法事前知悉每笔一般关联交易等情况，导致投资者利益受到损害的风险。</w:t>
            </w:r>
          </w:p>
        </w:tc>
      </w:tr>
    </w:tbl>
    <w:p>
      <w:pPr>
        <w:spacing w:line="360" w:lineRule="auto"/>
        <w:jc w:val="left"/>
        <w:rPr>
          <w:rFonts w:hint="eastAsia" w:ascii="仿宋" w:hAnsi="仿宋" w:eastAsia="仿宋" w:cs="仿宋"/>
          <w:b/>
          <w:bCs/>
          <w:sz w:val="24"/>
        </w:rPr>
        <w:sectPr>
          <w:pgSz w:w="11906" w:h="16838"/>
          <w:pgMar w:top="1440" w:right="1800" w:bottom="1440" w:left="1800" w:header="851" w:footer="992" w:gutter="0"/>
          <w:cols w:space="425" w:num="1"/>
          <w:docGrid w:type="lines" w:linePitch="312" w:charSpace="0"/>
        </w:sectPr>
      </w:pPr>
    </w:p>
    <w:p>
      <w:pPr>
        <w:pStyle w:val="2"/>
        <w:ind w:left="0" w:leftChars="0" w:firstLine="0" w:firstLineChars="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50C7D"/>
    <w:rsid w:val="000137C2"/>
    <w:rsid w:val="0001547A"/>
    <w:rsid w:val="000215BA"/>
    <w:rsid w:val="00072699"/>
    <w:rsid w:val="0007703E"/>
    <w:rsid w:val="000B1455"/>
    <w:rsid w:val="00136C89"/>
    <w:rsid w:val="00197E14"/>
    <w:rsid w:val="001C0B37"/>
    <w:rsid w:val="00265AD7"/>
    <w:rsid w:val="002A7952"/>
    <w:rsid w:val="00302D77"/>
    <w:rsid w:val="00305A8A"/>
    <w:rsid w:val="003D1830"/>
    <w:rsid w:val="003E5081"/>
    <w:rsid w:val="00453E7B"/>
    <w:rsid w:val="00463B97"/>
    <w:rsid w:val="005305A9"/>
    <w:rsid w:val="00550BB6"/>
    <w:rsid w:val="00554D1E"/>
    <w:rsid w:val="0057088F"/>
    <w:rsid w:val="00577ED6"/>
    <w:rsid w:val="005C3406"/>
    <w:rsid w:val="005E35D2"/>
    <w:rsid w:val="006154C2"/>
    <w:rsid w:val="0065214E"/>
    <w:rsid w:val="00654E16"/>
    <w:rsid w:val="007026A1"/>
    <w:rsid w:val="00726205"/>
    <w:rsid w:val="00752706"/>
    <w:rsid w:val="00794A5A"/>
    <w:rsid w:val="007B59A9"/>
    <w:rsid w:val="0086433E"/>
    <w:rsid w:val="00864BB2"/>
    <w:rsid w:val="00887E9D"/>
    <w:rsid w:val="008F4C49"/>
    <w:rsid w:val="00901A2B"/>
    <w:rsid w:val="009135F1"/>
    <w:rsid w:val="00930393"/>
    <w:rsid w:val="00961234"/>
    <w:rsid w:val="009C4670"/>
    <w:rsid w:val="00A20870"/>
    <w:rsid w:val="00A26B03"/>
    <w:rsid w:val="00A62575"/>
    <w:rsid w:val="00A92383"/>
    <w:rsid w:val="00AE5587"/>
    <w:rsid w:val="00AF3A98"/>
    <w:rsid w:val="00B11A9D"/>
    <w:rsid w:val="00BE5AC1"/>
    <w:rsid w:val="00C05419"/>
    <w:rsid w:val="00C3126E"/>
    <w:rsid w:val="00C73750"/>
    <w:rsid w:val="00C73C3B"/>
    <w:rsid w:val="00C94EF1"/>
    <w:rsid w:val="00CA2197"/>
    <w:rsid w:val="00CF5536"/>
    <w:rsid w:val="00D06931"/>
    <w:rsid w:val="00D27EF9"/>
    <w:rsid w:val="00D4741A"/>
    <w:rsid w:val="00DB57C7"/>
    <w:rsid w:val="00DD35DC"/>
    <w:rsid w:val="00DE5F80"/>
    <w:rsid w:val="00E63F3F"/>
    <w:rsid w:val="00E874CA"/>
    <w:rsid w:val="00E94CEA"/>
    <w:rsid w:val="00F242E0"/>
    <w:rsid w:val="00F26D76"/>
    <w:rsid w:val="00F81D97"/>
    <w:rsid w:val="00F8267D"/>
    <w:rsid w:val="00F8617A"/>
    <w:rsid w:val="011B50A9"/>
    <w:rsid w:val="011B52D4"/>
    <w:rsid w:val="01497E2C"/>
    <w:rsid w:val="01953A40"/>
    <w:rsid w:val="01981FFC"/>
    <w:rsid w:val="02261642"/>
    <w:rsid w:val="023B78BF"/>
    <w:rsid w:val="024C5206"/>
    <w:rsid w:val="02551594"/>
    <w:rsid w:val="029A3BBD"/>
    <w:rsid w:val="02BB2949"/>
    <w:rsid w:val="035E1F65"/>
    <w:rsid w:val="04202A97"/>
    <w:rsid w:val="04332F2B"/>
    <w:rsid w:val="04594C1E"/>
    <w:rsid w:val="04A0512A"/>
    <w:rsid w:val="04A4520F"/>
    <w:rsid w:val="04EC7A94"/>
    <w:rsid w:val="052B128D"/>
    <w:rsid w:val="056E49D3"/>
    <w:rsid w:val="05777A24"/>
    <w:rsid w:val="05D8120C"/>
    <w:rsid w:val="05EB1E9D"/>
    <w:rsid w:val="061477F8"/>
    <w:rsid w:val="062E215C"/>
    <w:rsid w:val="062E7AF1"/>
    <w:rsid w:val="06421227"/>
    <w:rsid w:val="068F5875"/>
    <w:rsid w:val="072D2410"/>
    <w:rsid w:val="07F87DD6"/>
    <w:rsid w:val="080E62D4"/>
    <w:rsid w:val="086C1691"/>
    <w:rsid w:val="08986623"/>
    <w:rsid w:val="092F0F64"/>
    <w:rsid w:val="097843A0"/>
    <w:rsid w:val="09A021AB"/>
    <w:rsid w:val="09D1583A"/>
    <w:rsid w:val="09F01E49"/>
    <w:rsid w:val="0A1B033C"/>
    <w:rsid w:val="0A4C41B8"/>
    <w:rsid w:val="0A5D0819"/>
    <w:rsid w:val="0AB33387"/>
    <w:rsid w:val="0BA63834"/>
    <w:rsid w:val="0BAC284F"/>
    <w:rsid w:val="0BCD7AAB"/>
    <w:rsid w:val="0BF86EBB"/>
    <w:rsid w:val="0C15396F"/>
    <w:rsid w:val="0C3B6D71"/>
    <w:rsid w:val="0CC33CBB"/>
    <w:rsid w:val="0D126FCA"/>
    <w:rsid w:val="0D977D91"/>
    <w:rsid w:val="0D9B5591"/>
    <w:rsid w:val="0EB57C71"/>
    <w:rsid w:val="0F681FCA"/>
    <w:rsid w:val="0FC0342F"/>
    <w:rsid w:val="10545663"/>
    <w:rsid w:val="10C4555C"/>
    <w:rsid w:val="10C865F9"/>
    <w:rsid w:val="112B78AA"/>
    <w:rsid w:val="114D12C5"/>
    <w:rsid w:val="117C442A"/>
    <w:rsid w:val="11ED254F"/>
    <w:rsid w:val="12A06510"/>
    <w:rsid w:val="12E429BB"/>
    <w:rsid w:val="13006DC9"/>
    <w:rsid w:val="131E4446"/>
    <w:rsid w:val="13396E6C"/>
    <w:rsid w:val="135571FE"/>
    <w:rsid w:val="13DE6E90"/>
    <w:rsid w:val="13E52956"/>
    <w:rsid w:val="14B066F4"/>
    <w:rsid w:val="14CB4672"/>
    <w:rsid w:val="15473F64"/>
    <w:rsid w:val="154F2E49"/>
    <w:rsid w:val="157A60C6"/>
    <w:rsid w:val="15930917"/>
    <w:rsid w:val="15B228AB"/>
    <w:rsid w:val="15C45DC8"/>
    <w:rsid w:val="15C76300"/>
    <w:rsid w:val="166B358E"/>
    <w:rsid w:val="1685443B"/>
    <w:rsid w:val="169A3681"/>
    <w:rsid w:val="16C2153E"/>
    <w:rsid w:val="16C82A2C"/>
    <w:rsid w:val="16CD45BA"/>
    <w:rsid w:val="16DF34B4"/>
    <w:rsid w:val="17643D0C"/>
    <w:rsid w:val="176542CF"/>
    <w:rsid w:val="17A054CC"/>
    <w:rsid w:val="17B06C91"/>
    <w:rsid w:val="17FF2B2B"/>
    <w:rsid w:val="180A45FE"/>
    <w:rsid w:val="187A6A28"/>
    <w:rsid w:val="18BB1C51"/>
    <w:rsid w:val="19277A10"/>
    <w:rsid w:val="195E4D1C"/>
    <w:rsid w:val="1A332A15"/>
    <w:rsid w:val="1A750C7D"/>
    <w:rsid w:val="1AC62549"/>
    <w:rsid w:val="1AFB16C6"/>
    <w:rsid w:val="1B952183"/>
    <w:rsid w:val="1BEF22C2"/>
    <w:rsid w:val="1C304BF9"/>
    <w:rsid w:val="1CD256DB"/>
    <w:rsid w:val="1D5E5AB2"/>
    <w:rsid w:val="1D8C09EC"/>
    <w:rsid w:val="1DC82F07"/>
    <w:rsid w:val="1DDA1AB0"/>
    <w:rsid w:val="1E111DF3"/>
    <w:rsid w:val="1E856DB8"/>
    <w:rsid w:val="1E95521F"/>
    <w:rsid w:val="1EB409D8"/>
    <w:rsid w:val="1EBF72B6"/>
    <w:rsid w:val="1EC8445A"/>
    <w:rsid w:val="1F6A6FDC"/>
    <w:rsid w:val="1F9F4E40"/>
    <w:rsid w:val="1FC2222C"/>
    <w:rsid w:val="1FF57A82"/>
    <w:rsid w:val="2052785A"/>
    <w:rsid w:val="20660B86"/>
    <w:rsid w:val="20A86747"/>
    <w:rsid w:val="20AA7D19"/>
    <w:rsid w:val="20AB087A"/>
    <w:rsid w:val="21AC2524"/>
    <w:rsid w:val="21F26377"/>
    <w:rsid w:val="222956C3"/>
    <w:rsid w:val="225B28E2"/>
    <w:rsid w:val="22A14A16"/>
    <w:rsid w:val="23183CC4"/>
    <w:rsid w:val="232D47E2"/>
    <w:rsid w:val="2388586B"/>
    <w:rsid w:val="238A32E0"/>
    <w:rsid w:val="23EF13E3"/>
    <w:rsid w:val="245A49E7"/>
    <w:rsid w:val="247F2BBC"/>
    <w:rsid w:val="24840FF5"/>
    <w:rsid w:val="249340B5"/>
    <w:rsid w:val="24FD4352"/>
    <w:rsid w:val="250202D9"/>
    <w:rsid w:val="253B1F46"/>
    <w:rsid w:val="254B6ED4"/>
    <w:rsid w:val="25F95305"/>
    <w:rsid w:val="26922C16"/>
    <w:rsid w:val="26A20DA9"/>
    <w:rsid w:val="26A62881"/>
    <w:rsid w:val="26F45FA5"/>
    <w:rsid w:val="2721475F"/>
    <w:rsid w:val="2756418E"/>
    <w:rsid w:val="27A100DD"/>
    <w:rsid w:val="27A10326"/>
    <w:rsid w:val="27D847AA"/>
    <w:rsid w:val="2864376F"/>
    <w:rsid w:val="288A7A53"/>
    <w:rsid w:val="29007360"/>
    <w:rsid w:val="29594E10"/>
    <w:rsid w:val="296C5833"/>
    <w:rsid w:val="297C1ECE"/>
    <w:rsid w:val="2A496963"/>
    <w:rsid w:val="2A515D95"/>
    <w:rsid w:val="2A695A39"/>
    <w:rsid w:val="2A9A28DD"/>
    <w:rsid w:val="2B8F1971"/>
    <w:rsid w:val="2BBE029D"/>
    <w:rsid w:val="2BD8016E"/>
    <w:rsid w:val="2BD923AC"/>
    <w:rsid w:val="2C076DDA"/>
    <w:rsid w:val="2C254320"/>
    <w:rsid w:val="2C646D27"/>
    <w:rsid w:val="2CC15C44"/>
    <w:rsid w:val="2D494396"/>
    <w:rsid w:val="2D5657BD"/>
    <w:rsid w:val="2DA77D00"/>
    <w:rsid w:val="2DC465AA"/>
    <w:rsid w:val="2DDF5C77"/>
    <w:rsid w:val="2E331D3B"/>
    <w:rsid w:val="2E684185"/>
    <w:rsid w:val="2FE93B75"/>
    <w:rsid w:val="305506E6"/>
    <w:rsid w:val="30AB44E0"/>
    <w:rsid w:val="31235B30"/>
    <w:rsid w:val="318A057B"/>
    <w:rsid w:val="31CD6959"/>
    <w:rsid w:val="3278341D"/>
    <w:rsid w:val="328219D9"/>
    <w:rsid w:val="32A0535C"/>
    <w:rsid w:val="32B50BE9"/>
    <w:rsid w:val="32CF5A09"/>
    <w:rsid w:val="32D30C26"/>
    <w:rsid w:val="32FB227E"/>
    <w:rsid w:val="33144FB7"/>
    <w:rsid w:val="33682E08"/>
    <w:rsid w:val="3406130C"/>
    <w:rsid w:val="34333D64"/>
    <w:rsid w:val="34BF7085"/>
    <w:rsid w:val="34CF5603"/>
    <w:rsid w:val="34F46053"/>
    <w:rsid w:val="34F906F5"/>
    <w:rsid w:val="35311DCF"/>
    <w:rsid w:val="363E53B3"/>
    <w:rsid w:val="371B163E"/>
    <w:rsid w:val="373F352B"/>
    <w:rsid w:val="37A96D8A"/>
    <w:rsid w:val="380B5210"/>
    <w:rsid w:val="388C33AA"/>
    <w:rsid w:val="38990FBA"/>
    <w:rsid w:val="39364782"/>
    <w:rsid w:val="393702CD"/>
    <w:rsid w:val="398063C4"/>
    <w:rsid w:val="39CB4F5C"/>
    <w:rsid w:val="3A734AF4"/>
    <w:rsid w:val="3AA527DB"/>
    <w:rsid w:val="3AC77F84"/>
    <w:rsid w:val="3AE13C33"/>
    <w:rsid w:val="3B9E3C46"/>
    <w:rsid w:val="3BB54FD0"/>
    <w:rsid w:val="3C156229"/>
    <w:rsid w:val="3C5A2A09"/>
    <w:rsid w:val="3DB53A82"/>
    <w:rsid w:val="3E070ECB"/>
    <w:rsid w:val="3E1E3606"/>
    <w:rsid w:val="3E240791"/>
    <w:rsid w:val="3E3A5DC3"/>
    <w:rsid w:val="3EBE0F1C"/>
    <w:rsid w:val="3F057231"/>
    <w:rsid w:val="3F0C3FBF"/>
    <w:rsid w:val="3F377D9C"/>
    <w:rsid w:val="3FA72998"/>
    <w:rsid w:val="402078B8"/>
    <w:rsid w:val="40B61642"/>
    <w:rsid w:val="410B09AB"/>
    <w:rsid w:val="4196544A"/>
    <w:rsid w:val="41B93F19"/>
    <w:rsid w:val="4239318B"/>
    <w:rsid w:val="426D6839"/>
    <w:rsid w:val="429133D9"/>
    <w:rsid w:val="42C467D3"/>
    <w:rsid w:val="42E9548E"/>
    <w:rsid w:val="42F73EAE"/>
    <w:rsid w:val="43182571"/>
    <w:rsid w:val="43645911"/>
    <w:rsid w:val="437D7FA9"/>
    <w:rsid w:val="43E963AE"/>
    <w:rsid w:val="440F2F1A"/>
    <w:rsid w:val="444A6996"/>
    <w:rsid w:val="444E6A2D"/>
    <w:rsid w:val="44913C0A"/>
    <w:rsid w:val="44A603D7"/>
    <w:rsid w:val="44DE5523"/>
    <w:rsid w:val="4530078C"/>
    <w:rsid w:val="4579107F"/>
    <w:rsid w:val="45F03180"/>
    <w:rsid w:val="466D7A72"/>
    <w:rsid w:val="468E44C7"/>
    <w:rsid w:val="46E148B9"/>
    <w:rsid w:val="46EF59D5"/>
    <w:rsid w:val="478B0E63"/>
    <w:rsid w:val="479D1F68"/>
    <w:rsid w:val="47FE5F3A"/>
    <w:rsid w:val="483A7DD5"/>
    <w:rsid w:val="48591BC5"/>
    <w:rsid w:val="48832868"/>
    <w:rsid w:val="488C7C6D"/>
    <w:rsid w:val="48A722A0"/>
    <w:rsid w:val="490E01FB"/>
    <w:rsid w:val="496E5CBC"/>
    <w:rsid w:val="497335B2"/>
    <w:rsid w:val="4B1B6427"/>
    <w:rsid w:val="4B6D65EA"/>
    <w:rsid w:val="4B8206A1"/>
    <w:rsid w:val="4BD1306A"/>
    <w:rsid w:val="4BF53CF7"/>
    <w:rsid w:val="4C5D7719"/>
    <w:rsid w:val="4C7259F4"/>
    <w:rsid w:val="4C7F2D71"/>
    <w:rsid w:val="4C9724E0"/>
    <w:rsid w:val="4CA12261"/>
    <w:rsid w:val="4D064D54"/>
    <w:rsid w:val="4D4E15AB"/>
    <w:rsid w:val="4D5604EE"/>
    <w:rsid w:val="4D7D0286"/>
    <w:rsid w:val="4D88757B"/>
    <w:rsid w:val="4EB94B45"/>
    <w:rsid w:val="4EE92274"/>
    <w:rsid w:val="4F302D1F"/>
    <w:rsid w:val="4F550180"/>
    <w:rsid w:val="4F74786F"/>
    <w:rsid w:val="4FA43DB5"/>
    <w:rsid w:val="4FBF2441"/>
    <w:rsid w:val="4FC36F54"/>
    <w:rsid w:val="50352D78"/>
    <w:rsid w:val="503817D1"/>
    <w:rsid w:val="504412AE"/>
    <w:rsid w:val="509C3D6D"/>
    <w:rsid w:val="511D158D"/>
    <w:rsid w:val="51B04A42"/>
    <w:rsid w:val="51D20302"/>
    <w:rsid w:val="51FC22FF"/>
    <w:rsid w:val="52056BB3"/>
    <w:rsid w:val="522B69C6"/>
    <w:rsid w:val="52363473"/>
    <w:rsid w:val="52552ABF"/>
    <w:rsid w:val="525A62C5"/>
    <w:rsid w:val="526D38CC"/>
    <w:rsid w:val="52795258"/>
    <w:rsid w:val="528A4E15"/>
    <w:rsid w:val="52B51459"/>
    <w:rsid w:val="52D51EFD"/>
    <w:rsid w:val="52FB1B3D"/>
    <w:rsid w:val="53884F6E"/>
    <w:rsid w:val="53C96F92"/>
    <w:rsid w:val="54612E7C"/>
    <w:rsid w:val="55112A62"/>
    <w:rsid w:val="55296E3A"/>
    <w:rsid w:val="556C5B1B"/>
    <w:rsid w:val="55F33211"/>
    <w:rsid w:val="55FA0AE7"/>
    <w:rsid w:val="56535B15"/>
    <w:rsid w:val="569B3D95"/>
    <w:rsid w:val="56AE348B"/>
    <w:rsid w:val="56CE7FEC"/>
    <w:rsid w:val="570A7B48"/>
    <w:rsid w:val="57280354"/>
    <w:rsid w:val="57EE63AA"/>
    <w:rsid w:val="5838638A"/>
    <w:rsid w:val="58C67952"/>
    <w:rsid w:val="58E94226"/>
    <w:rsid w:val="59053F77"/>
    <w:rsid w:val="59917E3D"/>
    <w:rsid w:val="59B80CB5"/>
    <w:rsid w:val="5A096621"/>
    <w:rsid w:val="5AED3807"/>
    <w:rsid w:val="5B51070C"/>
    <w:rsid w:val="5B6D2D3B"/>
    <w:rsid w:val="5B88629F"/>
    <w:rsid w:val="5BB3040A"/>
    <w:rsid w:val="5BE42063"/>
    <w:rsid w:val="5C3612F8"/>
    <w:rsid w:val="5C6B22A0"/>
    <w:rsid w:val="5CA21A54"/>
    <w:rsid w:val="5CBE6FDB"/>
    <w:rsid w:val="5CF47F1C"/>
    <w:rsid w:val="5D1E0634"/>
    <w:rsid w:val="5D2119C0"/>
    <w:rsid w:val="5DC32BB4"/>
    <w:rsid w:val="5DE93E3C"/>
    <w:rsid w:val="5DF30454"/>
    <w:rsid w:val="5E0C491D"/>
    <w:rsid w:val="5E14144D"/>
    <w:rsid w:val="5E7779E4"/>
    <w:rsid w:val="5E8D10BB"/>
    <w:rsid w:val="5ECF5F33"/>
    <w:rsid w:val="5EFA5C0A"/>
    <w:rsid w:val="5F576601"/>
    <w:rsid w:val="5F682F66"/>
    <w:rsid w:val="5F772744"/>
    <w:rsid w:val="5FD3108B"/>
    <w:rsid w:val="608B531D"/>
    <w:rsid w:val="609767D3"/>
    <w:rsid w:val="60A84BF1"/>
    <w:rsid w:val="60C8769D"/>
    <w:rsid w:val="6108444A"/>
    <w:rsid w:val="614B0E4B"/>
    <w:rsid w:val="614F184D"/>
    <w:rsid w:val="61590D97"/>
    <w:rsid w:val="61AE175E"/>
    <w:rsid w:val="6203397D"/>
    <w:rsid w:val="621002FB"/>
    <w:rsid w:val="625D6FDF"/>
    <w:rsid w:val="62986EE9"/>
    <w:rsid w:val="62BE6B2C"/>
    <w:rsid w:val="63066374"/>
    <w:rsid w:val="635D388B"/>
    <w:rsid w:val="63656426"/>
    <w:rsid w:val="63847287"/>
    <w:rsid w:val="64250D5C"/>
    <w:rsid w:val="642C1A3C"/>
    <w:rsid w:val="64813F54"/>
    <w:rsid w:val="64D82BDC"/>
    <w:rsid w:val="64E42E01"/>
    <w:rsid w:val="651E24E6"/>
    <w:rsid w:val="653C5C58"/>
    <w:rsid w:val="6581037C"/>
    <w:rsid w:val="65B2165E"/>
    <w:rsid w:val="65DB152A"/>
    <w:rsid w:val="661F5F35"/>
    <w:rsid w:val="6642747F"/>
    <w:rsid w:val="66582752"/>
    <w:rsid w:val="66752DCB"/>
    <w:rsid w:val="66CE7B16"/>
    <w:rsid w:val="6711457E"/>
    <w:rsid w:val="675B07E7"/>
    <w:rsid w:val="67A247D3"/>
    <w:rsid w:val="6800373D"/>
    <w:rsid w:val="6841498A"/>
    <w:rsid w:val="68EB0045"/>
    <w:rsid w:val="69186866"/>
    <w:rsid w:val="69234847"/>
    <w:rsid w:val="69474823"/>
    <w:rsid w:val="6950583F"/>
    <w:rsid w:val="69FC18B1"/>
    <w:rsid w:val="6A1700E0"/>
    <w:rsid w:val="6AA50565"/>
    <w:rsid w:val="6ACB1055"/>
    <w:rsid w:val="6BB02403"/>
    <w:rsid w:val="6BCE18ED"/>
    <w:rsid w:val="6BFA3918"/>
    <w:rsid w:val="6C312287"/>
    <w:rsid w:val="6C995194"/>
    <w:rsid w:val="6C9D32A2"/>
    <w:rsid w:val="6CC62832"/>
    <w:rsid w:val="6CE36B4F"/>
    <w:rsid w:val="6D22625A"/>
    <w:rsid w:val="6D416985"/>
    <w:rsid w:val="6D513DB8"/>
    <w:rsid w:val="6D7310EB"/>
    <w:rsid w:val="6D806C6F"/>
    <w:rsid w:val="6DB4099E"/>
    <w:rsid w:val="6E425BA2"/>
    <w:rsid w:val="6E78098B"/>
    <w:rsid w:val="6E9B6736"/>
    <w:rsid w:val="6EB26FAE"/>
    <w:rsid w:val="6EC9138B"/>
    <w:rsid w:val="6F2A6803"/>
    <w:rsid w:val="6F9B6C1A"/>
    <w:rsid w:val="6FD548A5"/>
    <w:rsid w:val="6FE42A8A"/>
    <w:rsid w:val="708D599B"/>
    <w:rsid w:val="70E13EDE"/>
    <w:rsid w:val="71721596"/>
    <w:rsid w:val="725334EA"/>
    <w:rsid w:val="730F6743"/>
    <w:rsid w:val="731B7649"/>
    <w:rsid w:val="732E2168"/>
    <w:rsid w:val="736748DE"/>
    <w:rsid w:val="736C6A99"/>
    <w:rsid w:val="738559C1"/>
    <w:rsid w:val="740611F8"/>
    <w:rsid w:val="75007A3E"/>
    <w:rsid w:val="7560309D"/>
    <w:rsid w:val="767505F0"/>
    <w:rsid w:val="76AA2675"/>
    <w:rsid w:val="770C62B8"/>
    <w:rsid w:val="781970E8"/>
    <w:rsid w:val="784D4C74"/>
    <w:rsid w:val="78DE723A"/>
    <w:rsid w:val="79B96BCA"/>
    <w:rsid w:val="79ED72B6"/>
    <w:rsid w:val="7A921B2D"/>
    <w:rsid w:val="7A9B5CC5"/>
    <w:rsid w:val="7B2B577C"/>
    <w:rsid w:val="7C0024A4"/>
    <w:rsid w:val="7C8F3AA6"/>
    <w:rsid w:val="7C937C25"/>
    <w:rsid w:val="7C996618"/>
    <w:rsid w:val="7C9A59D7"/>
    <w:rsid w:val="7CED4FD4"/>
    <w:rsid w:val="7CF05143"/>
    <w:rsid w:val="7D737EFE"/>
    <w:rsid w:val="7DFA5D05"/>
    <w:rsid w:val="7E0E5270"/>
    <w:rsid w:val="7EA64500"/>
    <w:rsid w:val="7EDC484A"/>
    <w:rsid w:val="7EE12831"/>
    <w:rsid w:val="7EEB1258"/>
    <w:rsid w:val="7F351098"/>
    <w:rsid w:val="7F6C7C34"/>
    <w:rsid w:val="7FE408EA"/>
    <w:rsid w:val="7FE43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引文目录1"/>
    <w:basedOn w:val="1"/>
    <w:next w:val="1"/>
    <w:qFormat/>
    <w:uiPriority w:val="0"/>
    <w:pPr>
      <w:ind w:left="420" w:leftChars="200"/>
    </w:pPr>
  </w:style>
  <w:style w:type="paragraph" w:styleId="4">
    <w:name w:val="Normal Indent"/>
    <w:basedOn w:val="1"/>
    <w:qFormat/>
    <w:uiPriority w:val="0"/>
    <w:pPr>
      <w:ind w:firstLine="420" w:firstLineChars="200"/>
    </w:pPr>
    <w:rPr>
      <w:szCs w:val="20"/>
    </w:rPr>
  </w:style>
  <w:style w:type="paragraph" w:styleId="5">
    <w:name w:val="annotation text"/>
    <w:basedOn w:val="1"/>
    <w:qFormat/>
    <w:uiPriority w:val="0"/>
    <w:pPr>
      <w:jc w:val="left"/>
    </w:pPr>
  </w:style>
  <w:style w:type="paragraph" w:styleId="6">
    <w:name w:val="Body Text Indent"/>
    <w:basedOn w:val="1"/>
    <w:qFormat/>
    <w:uiPriority w:val="99"/>
    <w:pPr>
      <w:spacing w:line="360" w:lineRule="auto"/>
      <w:ind w:firstLine="480"/>
    </w:pPr>
    <w:rPr>
      <w:rFonts w:ascii="仿宋_GB2312" w:hAnsi="宋体" w:eastAsia="仿宋_GB2312"/>
      <w:sz w:val="28"/>
      <w:szCs w:val="20"/>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99"/>
    <w:pPr>
      <w:tabs>
        <w:tab w:val="left" w:pos="955"/>
        <w:tab w:val="left" w:pos="1146"/>
      </w:tabs>
      <w:ind w:firstLine="560" w:firstLineChars="200"/>
    </w:pPr>
    <w:rPr>
      <w:rFonts w:eastAsia="仿宋_GB2312"/>
      <w:sz w:val="28"/>
      <w:szCs w:val="20"/>
    </w:rPr>
  </w:style>
  <w:style w:type="paragraph" w:styleId="10">
    <w:name w:val="Normal (Web)"/>
    <w:basedOn w:val="1"/>
    <w:unhideWhenUsed/>
    <w:qFormat/>
    <w:uiPriority w:val="99"/>
    <w:pPr>
      <w:jc w:val="left"/>
    </w:pPr>
    <w:rPr>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basedOn w:val="13"/>
    <w:qFormat/>
    <w:uiPriority w:val="99"/>
    <w:rPr>
      <w:color w:val="0000FF"/>
      <w:u w:val="single"/>
    </w:rPr>
  </w:style>
  <w:style w:type="character" w:styleId="15">
    <w:name w:val="annotation reference"/>
    <w:qFormat/>
    <w:uiPriority w:val="99"/>
    <w:rPr>
      <w:sz w:val="21"/>
      <w:szCs w:val="21"/>
    </w:rPr>
  </w:style>
  <w:style w:type="paragraph" w:customStyle="1" w:styleId="16">
    <w:name w:val="列表段落1"/>
    <w:basedOn w:val="1"/>
    <w:qFormat/>
    <w:uiPriority w:val="99"/>
    <w:pPr>
      <w:ind w:firstLine="420" w:firstLineChars="200"/>
    </w:pPr>
  </w:style>
  <w:style w:type="character" w:customStyle="1" w:styleId="17">
    <w:name w:val="页眉 字符"/>
    <w:basedOn w:val="13"/>
    <w:link w:val="8"/>
    <w:qFormat/>
    <w:uiPriority w:val="0"/>
    <w:rPr>
      <w:rFonts w:asciiTheme="minorHAnsi" w:hAnsiTheme="minorHAnsi" w:eastAsiaTheme="minorEastAsia" w:cstheme="minorBidi"/>
      <w:kern w:val="2"/>
      <w:sz w:val="18"/>
      <w:szCs w:val="18"/>
    </w:rPr>
  </w:style>
  <w:style w:type="character" w:customStyle="1" w:styleId="18">
    <w:name w:val="页脚 字符"/>
    <w:basedOn w:val="13"/>
    <w:link w:val="7"/>
    <w:qFormat/>
    <w:uiPriority w:val="0"/>
    <w:rPr>
      <w:rFonts w:asciiTheme="minorHAnsi" w:hAnsiTheme="minorHAnsi" w:eastAsiaTheme="minorEastAsia" w:cstheme="minorBidi"/>
      <w:kern w:val="2"/>
      <w:sz w:val="18"/>
      <w:szCs w:val="18"/>
    </w:rPr>
  </w:style>
  <w:style w:type="paragraph" w:customStyle="1" w:styleId="19">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0">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729</Words>
  <Characters>4159</Characters>
  <Lines>34</Lines>
  <Paragraphs>9</Paragraphs>
  <TotalTime>14</TotalTime>
  <ScaleCrop>false</ScaleCrop>
  <LinksUpToDate>false</LinksUpToDate>
  <CharactersWithSpaces>4879</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2023-03-28T06:40:00Z</dcterms:created>
  <dc:creator>User</dc:creator>
  <cp:lastModifiedBy>陈欣</cp:lastModifiedBy>
  <dcterms:modified xsi:type="dcterms:W3CDTF">2023-04-07T03:31:30Z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