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rPr>
      </w:pPr>
      <w:r>
        <w:rPr>
          <w:rFonts w:hint="eastAsia" w:ascii="微软雅黑" w:hAnsi="微软雅黑" w:eastAsia="微软雅黑" w:cs="方正黑体简体"/>
          <w:b/>
          <w:bCs/>
          <w:iCs/>
          <w:sz w:val="30"/>
          <w:szCs w:val="30"/>
        </w:rPr>
        <w:t>南方全球精选债券型发起式证券投资基金</w:t>
      </w:r>
      <w:r>
        <w:rPr>
          <w:rFonts w:hint="eastAsia" w:ascii="微软雅黑" w:hAnsi="微软雅黑" w:eastAsia="微软雅黑" w:cs="方正黑体简体"/>
          <w:b/>
          <w:bCs/>
          <w:iCs/>
          <w:sz w:val="30"/>
          <w:szCs w:val="30"/>
          <w:lang w:eastAsia="zh-CN"/>
        </w:rPr>
        <w:t>（</w:t>
      </w:r>
      <w:r>
        <w:rPr>
          <w:rFonts w:ascii="微软雅黑" w:hAnsi="微软雅黑" w:eastAsia="微软雅黑" w:cs="方正黑体简体"/>
          <w:b/>
          <w:bCs/>
          <w:iCs/>
          <w:sz w:val="30"/>
          <w:szCs w:val="30"/>
        </w:rPr>
        <w:t>QDII</w:t>
      </w:r>
      <w:r>
        <w:rPr>
          <w:rFonts w:hint="eastAsia" w:ascii="微软雅黑" w:hAnsi="微软雅黑" w:eastAsia="微软雅黑" w:cs="方正黑体简体"/>
          <w:b/>
          <w:bCs/>
          <w:iCs/>
          <w:sz w:val="30"/>
          <w:szCs w:val="30"/>
          <w:lang w:eastAsia="zh-CN"/>
        </w:rPr>
        <w:t>）</w:t>
      </w:r>
      <w:r>
        <w:rPr>
          <w:rFonts w:hint="eastAsia" w:ascii="微软雅黑" w:hAnsi="微软雅黑" w:eastAsia="微软雅黑" w:cs="方正黑体简体"/>
          <w:b/>
          <w:bCs/>
          <w:iCs/>
          <w:sz w:val="30"/>
          <w:szCs w:val="30"/>
        </w:rPr>
        <w:t>清算报告</w:t>
      </w: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spacing w:line="420" w:lineRule="exact"/>
        <w:jc w:val="center"/>
        <w:rPr>
          <w:rFonts w:ascii="方正黑体简体" w:hAnsi="方正黑体简体" w:eastAsia="方正黑体简体" w:cs="方正黑体简体"/>
          <w:bCs/>
          <w:iCs/>
          <w:sz w:val="36"/>
          <w:szCs w:val="36"/>
        </w:rPr>
      </w:pPr>
    </w:p>
    <w:p>
      <w:pPr>
        <w:rPr>
          <w:rFonts w:ascii="方正黑体简体" w:hAnsi="方正黑体简体" w:eastAsia="方正黑体简体" w:cs="方正黑体简体"/>
          <w:bCs/>
          <w:iCs/>
          <w:sz w:val="36"/>
          <w:szCs w:val="36"/>
        </w:rPr>
      </w:pPr>
    </w:p>
    <w:p>
      <w:pPr>
        <w:jc w:val="center"/>
        <w:rPr>
          <w:rFonts w:ascii="微软雅黑" w:hAnsi="微软雅黑" w:eastAsia="微软雅黑"/>
          <w:b/>
          <w:bCs/>
          <w:szCs w:val="21"/>
        </w:rPr>
      </w:pPr>
      <w:r>
        <w:rPr>
          <w:rFonts w:hint="eastAsia" w:ascii="微软雅黑" w:hAnsi="微软雅黑" w:eastAsia="微软雅黑"/>
          <w:b/>
          <w:bCs/>
          <w:szCs w:val="21"/>
        </w:rPr>
        <w:t>基金管理人：南方基金管理股份有限公司</w:t>
      </w:r>
    </w:p>
    <w:p>
      <w:pPr>
        <w:jc w:val="center"/>
        <w:rPr>
          <w:rFonts w:ascii="微软雅黑" w:hAnsi="微软雅黑" w:eastAsia="微软雅黑"/>
          <w:b/>
          <w:bCs/>
          <w:szCs w:val="21"/>
        </w:rPr>
      </w:pPr>
      <w:r>
        <w:rPr>
          <w:rFonts w:hint="eastAsia" w:ascii="微软雅黑" w:hAnsi="微软雅黑" w:eastAsia="微软雅黑"/>
          <w:b/>
          <w:bCs/>
          <w:szCs w:val="21"/>
        </w:rPr>
        <w:t>基金托管人：招商银行股份有限公司</w:t>
      </w:r>
    </w:p>
    <w:p>
      <w:pPr>
        <w:ind w:right="-55" w:rightChars="-26"/>
        <w:jc w:val="center"/>
        <w:rPr>
          <w:rFonts w:ascii="微软雅黑" w:hAnsi="微软雅黑" w:eastAsia="微软雅黑"/>
          <w:b/>
          <w:szCs w:val="21"/>
        </w:rPr>
      </w:pPr>
      <w:r>
        <w:rPr>
          <w:rFonts w:hint="eastAsia" w:ascii="微软雅黑" w:hAnsi="微软雅黑" w:eastAsia="微软雅黑"/>
          <w:b/>
          <w:szCs w:val="21"/>
        </w:rPr>
        <w:t>报告出具日：</w:t>
      </w:r>
      <w:r>
        <w:rPr>
          <w:rFonts w:ascii="微软雅黑" w:hAnsi="微软雅黑" w:eastAsia="微软雅黑"/>
          <w:b/>
          <w:szCs w:val="21"/>
        </w:rPr>
        <w:t>2022年08月31日</w:t>
      </w:r>
    </w:p>
    <w:p>
      <w:pPr>
        <w:ind w:right="-55" w:rightChars="-26"/>
        <w:jc w:val="center"/>
        <w:rPr>
          <w:rFonts w:ascii="微软雅黑" w:hAnsi="微软雅黑" w:eastAsia="微软雅黑"/>
          <w:b/>
          <w:szCs w:val="21"/>
        </w:rPr>
      </w:pPr>
      <w:r>
        <w:rPr>
          <w:rFonts w:hint="eastAsia" w:ascii="微软雅黑" w:hAnsi="微软雅黑" w:eastAsia="微软雅黑"/>
          <w:b/>
          <w:szCs w:val="21"/>
        </w:rPr>
        <w:t>报告</w:t>
      </w:r>
      <w:r>
        <w:rPr>
          <w:rFonts w:hint="eastAsia" w:ascii="微软雅黑" w:hAnsi="微软雅黑" w:eastAsia="微软雅黑"/>
          <w:b/>
          <w:szCs w:val="21"/>
          <w:lang w:eastAsia="zh-CN"/>
        </w:rPr>
        <w:t>送出日</w:t>
      </w:r>
      <w:r>
        <w:rPr>
          <w:rFonts w:hint="eastAsia" w:ascii="微软雅黑" w:hAnsi="微软雅黑" w:eastAsia="微软雅黑"/>
          <w:b/>
          <w:szCs w:val="21"/>
        </w:rPr>
        <w:t>：</w:t>
      </w:r>
      <w:r>
        <w:rPr>
          <w:rFonts w:ascii="微软雅黑" w:hAnsi="微软雅黑" w:eastAsia="微软雅黑"/>
          <w:b/>
          <w:szCs w:val="21"/>
        </w:rPr>
        <w:t>2022年</w:t>
      </w:r>
      <w:r>
        <w:rPr>
          <w:rFonts w:hint="eastAsia" w:ascii="微软雅黑" w:hAnsi="微软雅黑" w:eastAsia="微软雅黑"/>
          <w:b/>
          <w:szCs w:val="21"/>
          <w:lang w:val="en-US" w:eastAsia="zh-CN"/>
        </w:rPr>
        <w:t>09</w:t>
      </w:r>
      <w:r>
        <w:rPr>
          <w:rFonts w:ascii="微软雅黑" w:hAnsi="微软雅黑" w:eastAsia="微软雅黑"/>
          <w:b/>
          <w:szCs w:val="21"/>
        </w:rPr>
        <w:t>月</w:t>
      </w:r>
      <w:r>
        <w:rPr>
          <w:rFonts w:hint="eastAsia" w:ascii="微软雅黑" w:hAnsi="微软雅黑" w:eastAsia="微软雅黑"/>
          <w:b/>
          <w:szCs w:val="21"/>
          <w:lang w:val="en-US" w:eastAsia="zh-CN"/>
        </w:rPr>
        <w:t>08</w:t>
      </w:r>
      <w:bookmarkStart w:id="0" w:name="_GoBack"/>
      <w:bookmarkEnd w:id="0"/>
      <w:r>
        <w:rPr>
          <w:rFonts w:ascii="微软雅黑" w:hAnsi="微软雅黑" w:eastAsia="微软雅黑"/>
          <w:b/>
          <w:szCs w:val="21"/>
        </w:rPr>
        <w:t>日</w:t>
      </w:r>
    </w:p>
    <w:p>
      <w:pPr>
        <w:ind w:right="-55" w:rightChars="-26"/>
        <w:jc w:val="center"/>
        <w:rPr>
          <w:rFonts w:ascii="微软雅黑" w:hAnsi="微软雅黑" w:eastAsia="微软雅黑"/>
          <w:b/>
          <w:szCs w:val="21"/>
        </w:rPr>
      </w:pPr>
    </w:p>
    <w:p>
      <w:pPr>
        <w:widowControl/>
        <w:jc w:val="left"/>
        <w:rPr>
          <w:rFonts w:ascii="微软雅黑" w:hAnsi="微软雅黑" w:eastAsia="微软雅黑"/>
          <w:b/>
          <w:bCs/>
          <w:szCs w:val="21"/>
        </w:rPr>
      </w:pPr>
      <w:r>
        <w:rPr>
          <w:rFonts w:ascii="微软雅黑" w:hAnsi="微软雅黑" w:eastAsia="微软雅黑"/>
          <w:b/>
          <w:bCs/>
          <w:szCs w:val="21"/>
        </w:rPr>
        <w:br w:type="page"/>
      </w:r>
    </w:p>
    <w:p>
      <w:pPr>
        <w:pStyle w:val="25"/>
        <w:rPr>
          <w:rFonts w:hint="eastAsia"/>
        </w:rPr>
      </w:pPr>
      <w:r>
        <w:t xml:space="preserve"> </w:t>
      </w:r>
      <w:r>
        <w:rPr>
          <w:rFonts w:hint="eastAsia"/>
        </w:rPr>
        <w:t>一、基金情况</w:t>
      </w:r>
    </w:p>
    <w:p>
      <w:pPr>
        <w:pStyle w:val="22"/>
        <w:rPr>
          <w:rFonts w:hint="eastAsia"/>
        </w:rPr>
      </w:pPr>
      <w:r>
        <w:rPr>
          <w:rFonts w:hint="eastAsia"/>
        </w:rPr>
        <w:t>（一）、基本信息</w:t>
      </w:r>
    </w:p>
    <w:p>
      <w:pPr>
        <w:pStyle w:val="27"/>
        <w:rPr>
          <w:rFonts w:hint="eastAsia"/>
        </w:rPr>
      </w:pPr>
      <w:r>
        <w:rPr>
          <w:rFonts w:hint="eastAsia"/>
        </w:rPr>
        <w:t>1、基本信息</w:t>
      </w:r>
    </w:p>
    <w:tbl>
      <w:tblPr>
        <w:tblStyle w:val="38"/>
        <w:tblW w:w="83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基金名称</w:t>
            </w:r>
          </w:p>
        </w:tc>
        <w:tc>
          <w:tcPr>
            <w:tcW w:w="5538" w:type="dxa"/>
            <w:gridSpan w:val="2"/>
          </w:tcPr>
          <w:p>
            <w:pPr>
              <w:jc w:val="left"/>
              <w:rPr>
                <w:rFonts w:hint="eastAsia" w:eastAsia="宋体"/>
                <w:lang w:val="en-US" w:eastAsia="zh-CN"/>
              </w:rPr>
            </w:pPr>
            <w:r>
              <w:rPr>
                <w:rFonts w:hint="eastAsia"/>
              </w:rPr>
              <w:t>南方全球精选债券型发起式证券投资基金</w:t>
            </w:r>
            <w:r>
              <w:rPr>
                <w:rFonts w:hint="eastAsia"/>
                <w:lang w:eastAsia="zh-CN"/>
              </w:rPr>
              <w:t>（</w:t>
            </w:r>
            <w:r>
              <w:rPr>
                <w:rFonts w:hint="eastAsia"/>
              </w:rPr>
              <w:t>QDII</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基金简称</w:t>
            </w:r>
          </w:p>
        </w:tc>
        <w:tc>
          <w:tcPr>
            <w:tcW w:w="5538" w:type="dxa"/>
            <w:gridSpan w:val="2"/>
          </w:tcPr>
          <w:p>
            <w:pPr>
              <w:jc w:val="left"/>
              <w:rPr>
                <w:rFonts w:hint="eastAsia"/>
              </w:rPr>
            </w:pPr>
            <w:r>
              <w:rPr>
                <w:rFonts w:hint="eastAsia"/>
              </w:rPr>
              <w:t>南方全球精选债券发起（QDII）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基金主代码</w:t>
            </w:r>
          </w:p>
        </w:tc>
        <w:tc>
          <w:tcPr>
            <w:tcW w:w="5538" w:type="dxa"/>
            <w:gridSpan w:val="2"/>
          </w:tcPr>
          <w:p>
            <w:pPr>
              <w:jc w:val="left"/>
              <w:rPr>
                <w:rFonts w:hint="eastAsia"/>
              </w:rPr>
            </w:pPr>
            <w:r>
              <w:t>007628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8" w:type="dxa"/>
          </w:tcPr>
          <w:p>
            <w:pPr>
              <w:jc w:val="left"/>
              <w:rPr>
                <w:rFonts w:hint="eastAsia"/>
              </w:rPr>
            </w:pPr>
            <w:r>
              <w:rPr>
                <w:rFonts w:hint="eastAsia"/>
              </w:rPr>
              <w:t>基金运作方式</w:t>
            </w:r>
          </w:p>
        </w:tc>
        <w:tc>
          <w:tcPr>
            <w:tcW w:w="5538" w:type="dxa"/>
            <w:gridSpan w:val="2"/>
          </w:tcPr>
          <w:p>
            <w:pPr>
              <w:jc w:val="left"/>
              <w:rPr>
                <w:rFonts w:hint="eastAsia"/>
              </w:rPr>
            </w:pPr>
            <w:r>
              <w:rPr>
                <w:rFonts w:hint="eastAsia"/>
              </w:rPr>
              <w:t>契约型开放式、发起式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基金合同生效日</w:t>
            </w:r>
          </w:p>
        </w:tc>
        <w:tc>
          <w:tcPr>
            <w:tcW w:w="5538" w:type="dxa"/>
            <w:gridSpan w:val="2"/>
          </w:tcPr>
          <w:p>
            <w:pPr>
              <w:jc w:val="left"/>
              <w:rPr>
                <w:rFonts w:hint="eastAsia"/>
              </w:rPr>
            </w:pPr>
            <w:r>
              <w:rPr>
                <w:rFonts w:hint="eastAsia"/>
              </w:rPr>
              <w:t>2019年</w:t>
            </w:r>
            <w:r>
              <w:rPr>
                <w:rFonts w:hint="eastAsia"/>
                <w:lang w:val="en-US" w:eastAsia="zh-CN"/>
              </w:rPr>
              <w:t>0</w:t>
            </w:r>
            <w:r>
              <w:rPr>
                <w:rFonts w:hint="eastAsia"/>
              </w:rPr>
              <w:t>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最后运作日基金份额总额</w:t>
            </w:r>
          </w:p>
        </w:tc>
        <w:tc>
          <w:tcPr>
            <w:tcW w:w="5538" w:type="dxa"/>
            <w:gridSpan w:val="2"/>
          </w:tcPr>
          <w:p>
            <w:pPr>
              <w:jc w:val="left"/>
              <w:rPr>
                <w:rFonts w:hint="eastAsia"/>
              </w:rPr>
            </w:pPr>
            <w:r>
              <w:rPr>
                <w:rFonts w:hint="eastAsia"/>
              </w:rPr>
              <w:t>62,178,325.36份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投资目标</w:t>
            </w:r>
          </w:p>
        </w:tc>
        <w:tc>
          <w:tcPr>
            <w:tcW w:w="5538" w:type="dxa"/>
            <w:gridSpan w:val="2"/>
          </w:tcPr>
          <w:p>
            <w:pPr>
              <w:jc w:val="left"/>
              <w:rPr>
                <w:rFonts w:hint="eastAsia"/>
              </w:rPr>
            </w:pPr>
            <w:r>
              <w:rPr>
                <w:rFonts w:hint="eastAsia"/>
              </w:rPr>
              <w:t>本基金通过分析全球各个国家和地区的宏观经济状况以及发债主体的微观基本面，寻找各类债券的投资机会，在谨慎前提下力争实现长期稳定的投资回报。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8" w:type="dxa"/>
          </w:tcPr>
          <w:p>
            <w:pPr>
              <w:jc w:val="left"/>
              <w:rPr>
                <w:rFonts w:hint="eastAsia"/>
              </w:rPr>
            </w:pPr>
            <w:r>
              <w:rPr>
                <w:rFonts w:hint="eastAsia"/>
              </w:rPr>
              <w:t>投资策略</w:t>
            </w:r>
          </w:p>
        </w:tc>
        <w:tc>
          <w:tcPr>
            <w:tcW w:w="5538" w:type="dxa"/>
            <w:gridSpan w:val="2"/>
          </w:tcPr>
          <w:p>
            <w:pPr>
              <w:jc w:val="left"/>
              <w:rPr>
                <w:rFonts w:hint="eastAsia"/>
              </w:rPr>
            </w:pPr>
            <w:r>
              <w:rPr>
                <w:rFonts w:hint="eastAsia"/>
              </w:rPr>
              <w:t>本基金通过分析全球各个国家和地区的宏观经济状况以及发债主体的微观基本面，对经济周期及其变化趋势等特征的研究和判断；根据对政府债券、信用债、可转债等不同债券板块之间的相对投资价值分析，确定不同经济周期阶段下的债券类属配置并寻找各类债券的投资机会，在谨慎前提下力争实现长期稳定的投资回报。</w:t>
            </w:r>
          </w:p>
          <w:p>
            <w:pPr>
              <w:jc w:val="left"/>
              <w:rPr>
                <w:rFonts w:hint="eastAsia"/>
              </w:rPr>
            </w:pPr>
            <w:r>
              <w:rPr>
                <w:rFonts w:hint="eastAsia"/>
              </w:rPr>
              <w:t>本基金将以投资组合避险或有效管理为目标，在基金风险承受能力许可的范围内，本着谨慎原则，适度参与衍生品投资，包括远期、期权、期货等，以更好地进行组合风险管理，提高组合运作效率，实现投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业绩比较基准</w:t>
            </w:r>
          </w:p>
        </w:tc>
        <w:tc>
          <w:tcPr>
            <w:tcW w:w="5538" w:type="dxa"/>
            <w:gridSpan w:val="2"/>
          </w:tcPr>
          <w:p>
            <w:pPr>
              <w:jc w:val="left"/>
              <w:rPr>
                <w:rFonts w:hint="eastAsia"/>
              </w:rPr>
            </w:pPr>
            <w:r>
              <w:rPr>
                <w:rFonts w:hint="eastAsia"/>
              </w:rPr>
              <w:t>巴克莱全球债券指数（Barclay Global Aggregate Index）*95%+同期人民币一年定期存款利率（税后）*5%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基金管理人</w:t>
            </w:r>
          </w:p>
        </w:tc>
        <w:tc>
          <w:tcPr>
            <w:tcW w:w="5538" w:type="dxa"/>
            <w:gridSpan w:val="2"/>
          </w:tcPr>
          <w:p>
            <w:pPr>
              <w:jc w:val="left"/>
              <w:rPr>
                <w:rFonts w:hint="eastAsia"/>
              </w:rPr>
            </w:pPr>
            <w:r>
              <w:rPr>
                <w:rFonts w:hint="eastAsia"/>
              </w:rPr>
              <w:t>南方基金管理股份有限公司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基金托管人</w:t>
            </w:r>
          </w:p>
        </w:tc>
        <w:tc>
          <w:tcPr>
            <w:tcW w:w="5538" w:type="dxa"/>
            <w:gridSpan w:val="2"/>
          </w:tcPr>
          <w:p>
            <w:pPr>
              <w:jc w:val="left"/>
              <w:rPr>
                <w:rFonts w:hint="eastAsia"/>
              </w:rPr>
            </w:pPr>
            <w:r>
              <w:rPr>
                <w:rFonts w:hint="eastAsia"/>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8" w:type="dxa"/>
          </w:tcPr>
          <w:p>
            <w:pPr>
              <w:jc w:val="left"/>
              <w:rPr>
                <w:rFonts w:hint="eastAsia"/>
              </w:rPr>
            </w:pPr>
            <w:r>
              <w:rPr>
                <w:rFonts w:hint="eastAsia"/>
              </w:rPr>
              <w:t>下属分级基金的基金简称</w:t>
            </w:r>
          </w:p>
        </w:tc>
        <w:tc>
          <w:tcPr>
            <w:tcW w:w="2769" w:type="dxa"/>
          </w:tcPr>
          <w:p>
            <w:pPr>
              <w:jc w:val="left"/>
              <w:rPr>
                <w:rFonts w:hint="eastAsia"/>
              </w:rPr>
            </w:pPr>
            <w:r>
              <w:rPr>
                <w:rFonts w:hint="eastAsia"/>
              </w:rPr>
              <w:t>南方全球精选债券发起（QDII）A</w:t>
            </w:r>
          </w:p>
        </w:tc>
        <w:tc>
          <w:tcPr>
            <w:tcW w:w="2769" w:type="dxa"/>
          </w:tcPr>
          <w:p>
            <w:pPr>
              <w:jc w:val="left"/>
              <w:rPr>
                <w:rFonts w:hint="eastAsia"/>
              </w:rPr>
            </w:pPr>
            <w:r>
              <w:rPr>
                <w:rFonts w:hint="eastAsia"/>
              </w:rPr>
              <w:t>南方全球精选债券发起（QDII）C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下属分级基金的交易代码</w:t>
            </w:r>
          </w:p>
        </w:tc>
        <w:tc>
          <w:tcPr>
            <w:tcW w:w="2769" w:type="dxa"/>
          </w:tcPr>
          <w:p>
            <w:pPr>
              <w:jc w:val="left"/>
              <w:rPr>
                <w:rFonts w:hint="default" w:eastAsia="宋体"/>
                <w:lang w:val="en-US" w:eastAsia="zh-CN"/>
              </w:rPr>
            </w:pPr>
            <w:r>
              <w:t>007628</w:t>
            </w:r>
            <w:r>
              <w:rPr>
                <w:rFonts w:hint="eastAsia"/>
                <w:lang w:val="en-US" w:eastAsia="zh-CN"/>
              </w:rPr>
              <w:t>/007630</w:t>
            </w:r>
          </w:p>
        </w:tc>
        <w:tc>
          <w:tcPr>
            <w:tcW w:w="2769" w:type="dxa"/>
          </w:tcPr>
          <w:p>
            <w:pPr>
              <w:jc w:val="left"/>
              <w:rPr>
                <w:rFonts w:hint="default" w:eastAsia="宋体"/>
                <w:lang w:val="en-US" w:eastAsia="zh-CN"/>
              </w:rPr>
            </w:pPr>
            <w:r>
              <w:t>007629</w:t>
            </w:r>
            <w:r>
              <w:rPr>
                <w:rFonts w:hint="eastAsia"/>
                <w:lang w:val="en-US" w:eastAsia="zh-CN"/>
              </w:rPr>
              <w:t>/007631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jc w:val="left"/>
              <w:rPr>
                <w:rFonts w:hint="eastAsia"/>
              </w:rPr>
            </w:pPr>
            <w:r>
              <w:rPr>
                <w:rFonts w:hint="eastAsia"/>
              </w:rPr>
              <w:t>最后运作日下属分级基金的份额总额</w:t>
            </w:r>
          </w:p>
        </w:tc>
        <w:tc>
          <w:tcPr>
            <w:tcW w:w="2769" w:type="dxa"/>
          </w:tcPr>
          <w:p>
            <w:pPr>
              <w:jc w:val="left"/>
              <w:rPr>
                <w:rFonts w:hint="eastAsia"/>
              </w:rPr>
            </w:pPr>
            <w:r>
              <w:t>48,881,094.13</w:t>
            </w:r>
          </w:p>
        </w:tc>
        <w:tc>
          <w:tcPr>
            <w:tcW w:w="2769" w:type="dxa"/>
          </w:tcPr>
          <w:p>
            <w:pPr>
              <w:jc w:val="left"/>
              <w:rPr>
                <w:rFonts w:hint="eastAsia"/>
              </w:rPr>
            </w:pPr>
            <w:r>
              <w:t>13,297,231.23</w:t>
            </w:r>
          </w:p>
        </w:tc>
      </w:tr>
    </w:tbl>
    <w:p>
      <w:pPr>
        <w:pStyle w:val="27"/>
        <w:rPr>
          <w:rFonts w:hint="eastAsia"/>
        </w:rPr>
      </w:pPr>
      <w:r>
        <w:rPr>
          <w:rFonts w:hint="eastAsia"/>
        </w:rPr>
        <w:t>2、基金运作情况</w:t>
      </w:r>
    </w:p>
    <w:p>
      <w:pPr>
        <w:pStyle w:val="17"/>
        <w:spacing w:before="62"/>
        <w:ind w:firstLine="420"/>
        <w:rPr>
          <w:rFonts w:hint="eastAsia"/>
        </w:rPr>
      </w:pPr>
      <w:r>
        <w:rPr>
          <w:rFonts w:hint="eastAsia"/>
        </w:rPr>
        <w:t>南方全球精选债券型发起式证券投资基金</w:t>
      </w:r>
      <w:r>
        <w:rPr>
          <w:rFonts w:hint="eastAsia"/>
          <w:lang w:eastAsia="zh-CN"/>
        </w:rPr>
        <w:t>（</w:t>
      </w:r>
      <w:r>
        <w:rPr>
          <w:rFonts w:hint="eastAsia"/>
        </w:rPr>
        <w:t>QDII</w:t>
      </w:r>
      <w:r>
        <w:rPr>
          <w:rFonts w:hint="eastAsia"/>
          <w:lang w:eastAsia="zh-CN"/>
        </w:rPr>
        <w:t>）</w:t>
      </w:r>
      <w:r>
        <w:rPr>
          <w:rFonts w:hint="eastAsia"/>
        </w:rPr>
        <w:t>(以下简称“本基金”)经中国证券监督管理委员会(以下简称“中国证监会”)证监许可[2019]1071号《关于准予南方全球精选债券型发起式证券投资基金</w:t>
      </w:r>
      <w:r>
        <w:rPr>
          <w:rFonts w:hint="eastAsia"/>
          <w:lang w:eastAsia="zh-CN"/>
        </w:rPr>
        <w:t>（</w:t>
      </w:r>
      <w:r>
        <w:rPr>
          <w:rFonts w:hint="eastAsia"/>
        </w:rPr>
        <w:t>QDII</w:t>
      </w:r>
      <w:r>
        <w:rPr>
          <w:rFonts w:hint="eastAsia"/>
          <w:lang w:eastAsia="zh-CN"/>
        </w:rPr>
        <w:t>）</w:t>
      </w:r>
      <w:r>
        <w:rPr>
          <w:rFonts w:hint="eastAsia"/>
        </w:rPr>
        <w:t>注册的批复》注册，由南方基金管理股份有限公司依照《中华人民共和国证券投资基金法》和《南方全球精选债券型发起式证券投资基金</w:t>
      </w:r>
      <w:r>
        <w:rPr>
          <w:rFonts w:hint="eastAsia"/>
          <w:lang w:eastAsia="zh-CN"/>
        </w:rPr>
        <w:t>（</w:t>
      </w:r>
      <w:r>
        <w:rPr>
          <w:rFonts w:hint="eastAsia"/>
        </w:rPr>
        <w:t>QDII</w:t>
      </w:r>
      <w:r>
        <w:rPr>
          <w:rFonts w:hint="eastAsia"/>
          <w:lang w:eastAsia="zh-CN"/>
        </w:rPr>
        <w:t>）</w:t>
      </w:r>
      <w:r>
        <w:rPr>
          <w:rFonts w:hint="eastAsia"/>
        </w:rPr>
        <w:t>基金合同》负责公开募集。本基金为契约型开放式</w:t>
      </w:r>
      <w:r>
        <w:rPr>
          <w:rFonts w:hint="eastAsia"/>
          <w:lang w:eastAsia="zh-CN"/>
        </w:rPr>
        <w:t>基金</w:t>
      </w:r>
      <w:r>
        <w:rPr>
          <w:rFonts w:hint="eastAsia"/>
        </w:rPr>
        <w:t>，存续期限不定，首次设立募集不包括认购资金利息共募集287,222,587.27</w:t>
      </w:r>
      <w:r>
        <w:rPr>
          <w:rFonts w:hint="eastAsia"/>
          <w:lang w:eastAsia="zh-CN"/>
        </w:rPr>
        <w:t>人民币</w:t>
      </w:r>
      <w:r>
        <w:rPr>
          <w:rFonts w:hint="eastAsia"/>
        </w:rPr>
        <w:t>元、38,072,308.38</w:t>
      </w:r>
      <w:r>
        <w:rPr>
          <w:rFonts w:hint="eastAsia"/>
          <w:lang w:eastAsia="zh-CN"/>
        </w:rPr>
        <w:t>美</w:t>
      </w:r>
      <w:r>
        <w:rPr>
          <w:rFonts w:hint="eastAsia"/>
        </w:rPr>
        <w:t>元(按照募集期最后一日中国人民银行最新公布的人民币对美元汇率中间价折算为人民币267,737,752.41元)，业经普华永道中天会计师事务所(特殊普通合伙)普华永道中天验字(2019)第0441号验资报告予以验证。经向中国证监会备案，《南方全球精选债券型发起式证券投资基金</w:t>
      </w:r>
      <w:r>
        <w:rPr>
          <w:rFonts w:hint="eastAsia"/>
          <w:lang w:eastAsia="zh-CN"/>
        </w:rPr>
        <w:t>（</w:t>
      </w:r>
      <w:r>
        <w:rPr>
          <w:rFonts w:hint="eastAsia"/>
        </w:rPr>
        <w:t>QDII</w:t>
      </w:r>
      <w:r>
        <w:rPr>
          <w:rFonts w:hint="eastAsia"/>
          <w:lang w:eastAsia="zh-CN"/>
        </w:rPr>
        <w:t>）</w:t>
      </w:r>
      <w:r>
        <w:rPr>
          <w:rFonts w:hint="eastAsia"/>
        </w:rPr>
        <w:t>基金合同》于2019年8月21日正式生效，基金合同生效日的基金份额总额为555,056,973.33份基金份额，其中认购资金利息折合96,633.65份基金份额。本基金的基金管理人为南方基金管理股份有限公司，基金托管人为招商银行股份有限公司，境外资产托管人为布朗兄弟哈里曼银行。</w:t>
      </w:r>
    </w:p>
    <w:p>
      <w:pPr>
        <w:pStyle w:val="17"/>
        <w:spacing w:before="62"/>
        <w:ind w:firstLine="420"/>
        <w:rPr>
          <w:rFonts w:hint="eastAsia"/>
        </w:rPr>
      </w:pPr>
      <w:r>
        <w:rPr>
          <w:rFonts w:hint="eastAsia"/>
        </w:rPr>
        <w:t>根据《南方全球精选债券型发起式证券投资基金</w:t>
      </w:r>
      <w:r>
        <w:rPr>
          <w:rFonts w:hint="eastAsia"/>
          <w:lang w:eastAsia="zh-CN"/>
        </w:rPr>
        <w:t>（QDII）</w:t>
      </w:r>
      <w:r>
        <w:rPr>
          <w:rFonts w:hint="eastAsia"/>
        </w:rPr>
        <w:t>基金合同》和《南方全球精选债券型发起式证券投资基金</w:t>
      </w:r>
      <w:r>
        <w:rPr>
          <w:rFonts w:hint="eastAsia"/>
          <w:lang w:eastAsia="zh-CN"/>
        </w:rPr>
        <w:t>（QDII）</w:t>
      </w:r>
      <w:r>
        <w:rPr>
          <w:rFonts w:hint="eastAsia"/>
        </w:rPr>
        <w:t>招募说明书》的规定，本基金根据认购费、申购费、销售服务费收取方式的不同，将基金份额分为不同的类别。在投资者认购、申购时收取认购、申购费用，在赎回时根据持有期限收取赎回费用，但不从本类别基金资产中计提销售服务费的基金份额，称为A类基金份额；从本类别基金资产中计提销售服务费而不收取认购/申购费用、在赎回时根据持有期限收取赎回费用的基金份额，称为C类基金份额。在每一份额类别内，根据认购、申购、赎回计价币种的不同，分为人民币销售和美元销售。A类基金份额包括A类人民币基金份额和A类美元基金份额。C类基金份额包括C类人民币基金份额和C类美元基金份额。本基金美元份额的基金份额净值以人民币份额的基金份额净值为基础，按照估值日的估值汇率进行折算。</w:t>
      </w:r>
    </w:p>
    <w:p>
      <w:pPr>
        <w:pStyle w:val="17"/>
        <w:spacing w:before="62"/>
        <w:ind w:firstLine="420"/>
        <w:rPr>
          <w:rFonts w:hint="eastAsia"/>
        </w:rPr>
      </w:pPr>
      <w:r>
        <w:rPr>
          <w:rFonts w:hint="eastAsia"/>
        </w:rPr>
        <w:t>根据《中华人民共和国证券投资基金法》和《南方全球精选债券型发起式证券投资基金</w:t>
      </w:r>
      <w:r>
        <w:rPr>
          <w:rFonts w:hint="eastAsia"/>
          <w:lang w:eastAsia="zh-CN"/>
        </w:rPr>
        <w:t>（QDII）</w:t>
      </w:r>
      <w:r>
        <w:rPr>
          <w:rFonts w:hint="eastAsia"/>
        </w:rPr>
        <w:t>基金合同》的有关规定，本基金投资于境内境外市场。针对境外投资，本基金可投资于下列金融产品或工具：境外政府债券、公司债券(包括公司发行的金融债券)、可转换债券、住房按揭支持证券、资产支持证券等，以及中国证监会认可的国际金融组织发行的证券；在已与中国证监会签署双边监管合作谅解备忘录的国家或地区证券监管机构登记注册的优先股、境外固定收益型及货币型公募基金(包括ETF)；银行存款、可转让存单、商业票据、回购协议、短期政府债券等货币市场工具；远期合约、互换及经中国证监会认可的境外交易所上市交易的权证、期权、期货等金融衍生产品、与固定收益、股权、信用、商品指数、基金等标的物挂钩的境外结构性投资产品；以及中国证监会允许基金投资的其他金融工具。针对境内投资，本基金可投资于具有良好流动性的金融工具，包括债券(包括国债、金融债、政府支持债券、政府支持机构债券、地方政府债、企业债、公司债、央行票据、中期票据、短期融资券、超短期融资券、公开发行的次级债、可分离交易可转债的纯债部分、可分离交易可交换债的纯债部分)、资产支持证券、债券回购、同业存单、货币市场工具、银行存款、国债期货以及法律法规或中国证监会允许基金投资的其他金融工具(但须符合中国证监会相关规定)。本基金不主动参与股票等权益类资产的投资，包括不直接从二级市场买入股票等权益类资产，不参与一级市场的新股申购或增发新股。本基金的投资组合比例为：投资于债券资产比例不低于基金资产的80%。其中，投资于境外发行的债券资产占非现金基金资产的比例不低于80%。每个交易日日终在扣除金融衍生品合约需缴纳的交易保证金后，现金或者到期日在一年以内的政府债券比例合计不低于基金资产净值的5%，其中现金不包括结算备付金、存出保证金、应收申购款等。本基金的业绩比较基准为：巴克莱全球债券指数(Barclay Global Aggregate Index)x95%+同期人民币一年定期存款利率(税后)x5%。</w:t>
      </w:r>
    </w:p>
    <w:p>
      <w:pPr>
        <w:pStyle w:val="17"/>
        <w:spacing w:before="62"/>
        <w:ind w:firstLine="420"/>
        <w:rPr>
          <w:rFonts w:hint="eastAsia"/>
        </w:rPr>
      </w:pPr>
      <w:r>
        <w:rPr>
          <w:rFonts w:hint="eastAsia"/>
        </w:rPr>
        <w:t>根据《南方全球精选债券型发起式证券投资基金</w:t>
      </w:r>
      <w:r>
        <w:rPr>
          <w:rFonts w:hint="eastAsia"/>
          <w:lang w:eastAsia="zh-CN"/>
        </w:rPr>
        <w:t>（QDII）</w:t>
      </w:r>
      <w:r>
        <w:rPr>
          <w:rFonts w:hint="eastAsia"/>
        </w:rPr>
        <w:t>基金合同》以及南方基金管理股份有限公司于2022年</w:t>
      </w:r>
      <w:r>
        <w:rPr>
          <w:rFonts w:hint="eastAsia"/>
          <w:lang w:val="en-US" w:eastAsia="zh-CN"/>
        </w:rPr>
        <w:t>0</w:t>
      </w:r>
      <w:r>
        <w:rPr>
          <w:rFonts w:hint="eastAsia"/>
        </w:rPr>
        <w:t>8月22日发布的《关于南方全球精选债券型发起式证券投资基金</w:t>
      </w:r>
      <w:r>
        <w:rPr>
          <w:rFonts w:hint="eastAsia"/>
          <w:lang w:eastAsia="zh-CN"/>
        </w:rPr>
        <w:t>（QDII）</w:t>
      </w:r>
      <w:r>
        <w:rPr>
          <w:rFonts w:hint="eastAsia"/>
        </w:rPr>
        <w:t>基金合同终止及基金财产清算的公告》，本基金自2022年</w:t>
      </w:r>
      <w:r>
        <w:rPr>
          <w:rFonts w:hint="eastAsia"/>
          <w:lang w:val="en-US" w:eastAsia="zh-CN"/>
        </w:rPr>
        <w:t>0</w:t>
      </w:r>
      <w:r>
        <w:rPr>
          <w:rFonts w:hint="eastAsia"/>
        </w:rPr>
        <w:t>8月23日起进入基金财产清算程序。</w:t>
      </w:r>
    </w:p>
    <w:p>
      <w:pPr>
        <w:pStyle w:val="22"/>
        <w:rPr>
          <w:rFonts w:hint="eastAsia"/>
        </w:rPr>
      </w:pPr>
      <w:r>
        <w:rPr>
          <w:rFonts w:hint="eastAsia"/>
        </w:rPr>
        <w:t>（二）、清算原因</w:t>
      </w:r>
    </w:p>
    <w:p>
      <w:pPr>
        <w:pStyle w:val="17"/>
        <w:spacing w:before="62"/>
        <w:ind w:firstLine="420"/>
      </w:pPr>
      <w:r>
        <w:rPr>
          <w:rFonts w:hint="eastAsia"/>
        </w:rPr>
        <w:t>根据《南方全球精选债券型发起式证券投资基金</w:t>
      </w:r>
      <w:r>
        <w:rPr>
          <w:rFonts w:hint="eastAsia"/>
          <w:lang w:eastAsia="zh-CN"/>
        </w:rPr>
        <w:t>（QDII）</w:t>
      </w:r>
      <w:r>
        <w:rPr>
          <w:rFonts w:hint="eastAsia"/>
        </w:rPr>
        <w:t>基金合同》“第五部分 基金的备案”之“三、基金存续期内的基金份额持有人数量和资产规模”中约定：“基金合同生效之日起 3 年后的对应日，若基金资产净值低于 2 亿元人民币（美元折算为人民币），基金合同自动终止，且不得通过召开基金份额持有人大会延续基金合同期限。”</w:t>
      </w:r>
    </w:p>
    <w:p>
      <w:pPr>
        <w:pStyle w:val="17"/>
        <w:spacing w:before="62"/>
        <w:ind w:firstLine="420"/>
        <w:rPr>
          <w:rFonts w:hint="eastAsia"/>
        </w:rPr>
      </w:pPr>
      <w:r>
        <w:rPr>
          <w:rFonts w:hint="eastAsia"/>
        </w:rPr>
        <w:t>截至本基金基金合同生效之日起3年后的对应日（2022年08月21日）日终，本基金基金资产净值低于2亿元人民币，触发上述《基金合同》约定的自动终止情形。本基金管理人于2022年08月22日发布《关于南方全球精选债券型发起式证券投资基金（QDII）基金合同终止及基金财产清算的公告》。</w:t>
      </w:r>
    </w:p>
    <w:p>
      <w:pPr>
        <w:pStyle w:val="17"/>
        <w:spacing w:before="62"/>
        <w:ind w:firstLine="420"/>
        <w:rPr>
          <w:rFonts w:hint="eastAsia"/>
        </w:rPr>
      </w:pPr>
      <w:r>
        <w:rPr>
          <w:rFonts w:hint="eastAsia"/>
        </w:rPr>
        <w:t>基金管理人、基金托管人、普华永道中天会计师事务所（特殊普通合伙）和上海市通力律师事务所于2</w:t>
      </w:r>
      <w:r>
        <w:t>022年</w:t>
      </w:r>
      <w:r>
        <w:rPr>
          <w:rFonts w:hint="eastAsia"/>
        </w:rPr>
        <w:t>08月</w:t>
      </w:r>
      <w:r>
        <w:t>23日</w:t>
      </w:r>
      <w:r>
        <w:rPr>
          <w:rFonts w:hint="eastAsia"/>
        </w:rPr>
        <w:t>成立基金财产清算小组履行基金财产清算程序，并由普华永道中天会计师事务所（特殊普通合伙）对本基金进行清算审计，上海市通力律师事务所对清算报告出具法律意见。</w:t>
      </w:r>
    </w:p>
    <w:p>
      <w:pPr>
        <w:pStyle w:val="22"/>
        <w:rPr>
          <w:rFonts w:hint="eastAsia"/>
        </w:rPr>
      </w:pPr>
      <w:r>
        <w:rPr>
          <w:rFonts w:hint="eastAsia"/>
        </w:rPr>
        <w:t>（三）、最后运作日及清算期间</w:t>
      </w:r>
    </w:p>
    <w:p>
      <w:pPr>
        <w:pStyle w:val="17"/>
        <w:spacing w:before="62"/>
        <w:ind w:firstLine="420"/>
        <w:rPr>
          <w:rFonts w:hint="eastAsia"/>
        </w:rPr>
      </w:pPr>
      <w:r>
        <w:rPr>
          <w:rFonts w:hint="eastAsia"/>
        </w:rPr>
        <w:t>本基金最后运作日为2022年08月22日，清算期为2022年08月23日至2022年08月31日。</w:t>
      </w:r>
    </w:p>
    <w:p>
      <w:pPr>
        <w:pStyle w:val="17"/>
        <w:spacing w:before="62"/>
        <w:ind w:firstLine="420"/>
        <w:rPr>
          <w:rFonts w:hint="eastAsia"/>
        </w:rPr>
      </w:pPr>
    </w:p>
    <w:p>
      <w:pPr>
        <w:pStyle w:val="17"/>
        <w:spacing w:before="62"/>
        <w:ind w:firstLine="420"/>
        <w:rPr>
          <w:rFonts w:hint="eastAsia"/>
        </w:rPr>
      </w:pPr>
    </w:p>
    <w:p>
      <w:pPr>
        <w:pStyle w:val="17"/>
        <w:spacing w:before="62"/>
        <w:ind w:left="0" w:leftChars="0" w:firstLine="0" w:firstLineChars="0"/>
        <w:rPr>
          <w:rFonts w:hint="eastAsia"/>
        </w:rPr>
      </w:pPr>
    </w:p>
    <w:p>
      <w:pPr>
        <w:pStyle w:val="25"/>
        <w:rPr>
          <w:rFonts w:hint="eastAsia"/>
        </w:rPr>
      </w:pPr>
      <w:r>
        <w:rPr>
          <w:rFonts w:hint="eastAsia"/>
        </w:rPr>
        <w:t>二、清算报表编制基础</w:t>
      </w:r>
    </w:p>
    <w:p>
      <w:pPr>
        <w:pStyle w:val="17"/>
        <w:spacing w:before="62"/>
        <w:ind w:firstLine="420"/>
      </w:pPr>
      <w:r>
        <w:rPr>
          <w:rFonts w:hint="eastAsia"/>
        </w:rPr>
        <w:t>本基金自2022年8月23日起</w:t>
      </w:r>
      <w:r>
        <w:t>进入清算程序</w:t>
      </w:r>
      <w:r>
        <w:rPr>
          <w:rFonts w:hint="eastAsia"/>
        </w:rPr>
        <w:t>，</w:t>
      </w:r>
      <w:r>
        <w:t>因此本基金的财务报表</w:t>
      </w:r>
      <w:r>
        <w:rPr>
          <w:rFonts w:hint="eastAsia"/>
        </w:rPr>
        <w:t>以</w:t>
      </w:r>
      <w:r>
        <w:t>清算基础编制。</w:t>
      </w:r>
    </w:p>
    <w:p>
      <w:pPr>
        <w:pStyle w:val="17"/>
        <w:spacing w:before="62"/>
        <w:ind w:firstLine="420"/>
      </w:pPr>
      <w:r>
        <w:rPr>
          <w:rFonts w:hint="eastAsia"/>
        </w:rPr>
        <w:t>自本基金最后运作日起，所有资产以可收回的金额与原账面价值孰低计量，负债以预计需要清偿的金额计量。由于报告性质所致，本清算报表并无比较期间的相关数据列示。</w:t>
      </w:r>
    </w:p>
    <w:p>
      <w:pPr>
        <w:pStyle w:val="17"/>
        <w:spacing w:before="62"/>
        <w:ind w:firstLine="420"/>
      </w:pPr>
      <w:r>
        <w:rPr>
          <w:rFonts w:hint="eastAsia"/>
        </w:rPr>
        <w:t>此外</w:t>
      </w:r>
      <w:r>
        <w:t>，</w:t>
      </w:r>
      <w:r>
        <w:rPr>
          <w:rFonts w:hint="eastAsia"/>
        </w:rPr>
        <w:t>本基金财务报表按照财政部颁布的《资产管理产品相关会计处理规定》、中国证券投资基金业协会(以下简称“中国基金业协会”)颁布的《证券投资基金会计核算业务指引》、《南方全球精选债券型发起式证券投资基金(QDII)基金合同》约定的资产估值和会计核算方法及在财务报表所列示的中国证监会、中国基金业协会发布的有关规定及允许的基金行业实务操作编制。</w:t>
      </w:r>
    </w:p>
    <w:p>
      <w:pPr>
        <w:pStyle w:val="25"/>
        <w:rPr>
          <w:rFonts w:hint="eastAsia"/>
        </w:rPr>
      </w:pPr>
      <w:r>
        <w:rPr>
          <w:rFonts w:hint="eastAsia"/>
        </w:rPr>
        <w:t>三、财务报告</w:t>
      </w:r>
    </w:p>
    <w:p>
      <w:pPr>
        <w:pStyle w:val="17"/>
        <w:spacing w:before="62"/>
        <w:ind w:firstLine="420"/>
        <w:rPr>
          <w:rFonts w:hint="eastAsia"/>
        </w:rPr>
      </w:pPr>
      <w:r>
        <w:rPr>
          <w:rFonts w:hint="eastAsia"/>
        </w:rPr>
        <w:t>资产负债表</w:t>
      </w:r>
    </w:p>
    <w:p>
      <w:pPr>
        <w:pStyle w:val="17"/>
        <w:spacing w:before="62"/>
        <w:ind w:firstLine="420"/>
        <w:rPr>
          <w:rFonts w:hint="eastAsia" w:eastAsia="宋体"/>
          <w:lang w:eastAsia="zh-CN"/>
        </w:rPr>
      </w:pPr>
      <w:r>
        <w:rPr>
          <w:rFonts w:hint="eastAsia"/>
        </w:rPr>
        <w:t>会计主体：南方全球精选债券型发起式证券投资基金</w:t>
      </w:r>
      <w:r>
        <w:rPr>
          <w:rFonts w:hint="eastAsia"/>
          <w:lang w:eastAsia="zh-CN"/>
        </w:rPr>
        <w:t>（QDII）</w:t>
      </w:r>
    </w:p>
    <w:p>
      <w:pPr>
        <w:pStyle w:val="17"/>
        <w:spacing w:before="62"/>
        <w:ind w:firstLine="420"/>
        <w:rPr>
          <w:rFonts w:hint="eastAsia" w:eastAsia="宋体"/>
          <w:lang w:eastAsia="zh-CN"/>
        </w:rPr>
      </w:pPr>
      <w:r>
        <w:rPr>
          <w:rFonts w:hint="eastAsia"/>
        </w:rPr>
        <w:t>报告截止日：2022年08月22日</w:t>
      </w:r>
      <w:r>
        <w:rPr>
          <w:rFonts w:hint="eastAsia"/>
          <w:lang w:eastAsia="zh-CN"/>
        </w:rPr>
        <w:t>（最后运作日）</w:t>
      </w:r>
    </w:p>
    <w:p>
      <w:pPr>
        <w:pStyle w:val="17"/>
        <w:spacing w:before="62"/>
        <w:ind w:firstLine="420"/>
        <w:jc w:val="right"/>
        <w:rPr>
          <w:rFonts w:hint="eastAsia"/>
        </w:rPr>
      </w:pPr>
      <w:r>
        <w:rPr>
          <w:rFonts w:hint="eastAsia"/>
        </w:rPr>
        <w:t>单位：人民币元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shd w:val="clear" w:color="auto" w:fill="BFBFBF"/>
            <w:vAlign w:val="center"/>
          </w:tcPr>
          <w:p>
            <w:pPr>
              <w:jc w:val="center"/>
              <w:rPr>
                <w:rFonts w:hint="eastAsia"/>
              </w:rPr>
            </w:pPr>
            <w:r>
              <w:rPr>
                <w:rFonts w:hint="eastAsia"/>
              </w:rPr>
              <w:t>资产</w:t>
            </w:r>
          </w:p>
        </w:tc>
        <w:tc>
          <w:tcPr>
            <w:tcW w:w="4153" w:type="dxa"/>
            <w:shd w:val="clear" w:color="auto" w:fill="BFBFBF"/>
            <w:vAlign w:val="center"/>
          </w:tcPr>
          <w:p>
            <w:pPr>
              <w:jc w:val="center"/>
              <w:rPr>
                <w:rFonts w:hint="eastAsia"/>
              </w:rPr>
            </w:pPr>
            <w:r>
              <w:rPr>
                <w:rFonts w:hint="eastAsia"/>
              </w:rPr>
              <w:t>本期末2022年08月22日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资产：</w:t>
            </w:r>
          </w:p>
        </w:tc>
        <w:tc>
          <w:tcPr>
            <w:tcW w:w="4153" w:type="dxa"/>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银行存款</w:t>
            </w:r>
          </w:p>
        </w:tc>
        <w:tc>
          <w:tcPr>
            <w:tcW w:w="4153" w:type="dxa"/>
          </w:tcPr>
          <w:p>
            <w:pPr>
              <w:jc w:val="right"/>
              <w:rPr>
                <w:rFonts w:hint="eastAsia"/>
              </w:rPr>
            </w:pPr>
            <w:r>
              <w:t>18,491,099.95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结算备付金</w:t>
            </w:r>
          </w:p>
        </w:tc>
        <w:tc>
          <w:tcPr>
            <w:tcW w:w="4153" w:type="dxa"/>
          </w:tcPr>
          <w:p>
            <w:pPr>
              <w:jc w:val="right"/>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存出保证金</w:t>
            </w:r>
          </w:p>
        </w:tc>
        <w:tc>
          <w:tcPr>
            <w:tcW w:w="4153" w:type="dxa"/>
          </w:tcPr>
          <w:p>
            <w:pPr>
              <w:jc w:val="right"/>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交易性金融资产</w:t>
            </w:r>
          </w:p>
        </w:tc>
        <w:tc>
          <w:tcPr>
            <w:tcW w:w="4153" w:type="dxa"/>
          </w:tcPr>
          <w:p>
            <w:pPr>
              <w:jc w:val="right"/>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其中：股票投资</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ind w:firstLine="630" w:firstLineChars="300"/>
              <w:jc w:val="left"/>
              <w:rPr>
                <w:rFonts w:hint="eastAsia"/>
              </w:rPr>
            </w:pPr>
            <w:r>
              <w:rPr>
                <w:rFonts w:hint="eastAsia"/>
              </w:rPr>
              <w:t>债券投资</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买入返售金融资产</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应收证券清算款</w:t>
            </w:r>
          </w:p>
        </w:tc>
        <w:tc>
          <w:tcPr>
            <w:tcW w:w="4153" w:type="dxa"/>
          </w:tcPr>
          <w:p>
            <w:pPr>
              <w:jc w:val="right"/>
              <w:rPr>
                <w:rFonts w:hint="eastAsia"/>
              </w:rPr>
            </w:pPr>
            <w:r>
              <w:t>80,929,826.59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应收申购款</w:t>
            </w:r>
          </w:p>
        </w:tc>
        <w:tc>
          <w:tcPr>
            <w:tcW w:w="4153" w:type="dxa"/>
            <w:vAlign w:val="top"/>
          </w:tcPr>
          <w:p>
            <w:pPr>
              <w:jc w:val="right"/>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应收利息</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资产总计</w:t>
            </w:r>
          </w:p>
        </w:tc>
        <w:tc>
          <w:tcPr>
            <w:tcW w:w="4153" w:type="dxa"/>
          </w:tcPr>
          <w:p>
            <w:pPr>
              <w:jc w:val="right"/>
              <w:rPr>
                <w:rFonts w:hint="eastAsia"/>
              </w:rPr>
            </w:pPr>
            <w:r>
              <w:t>99,420,926.54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eastAsia="宋体"/>
                <w:lang w:eastAsia="zh-CN"/>
              </w:rPr>
            </w:pPr>
            <w:r>
              <w:rPr>
                <w:rFonts w:hint="eastAsia"/>
              </w:rPr>
              <w:t>负债和</w:t>
            </w:r>
            <w:r>
              <w:rPr>
                <w:rFonts w:hint="eastAsia"/>
                <w:lang w:eastAsia="zh-CN"/>
              </w:rPr>
              <w:t>净资产</w:t>
            </w:r>
          </w:p>
        </w:tc>
        <w:tc>
          <w:tcPr>
            <w:tcW w:w="4153" w:type="dxa"/>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负债：</w:t>
            </w:r>
          </w:p>
        </w:tc>
        <w:tc>
          <w:tcPr>
            <w:tcW w:w="4153" w:type="dxa"/>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应付清算款</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应付赎回款</w:t>
            </w:r>
          </w:p>
        </w:tc>
        <w:tc>
          <w:tcPr>
            <w:tcW w:w="4153" w:type="dxa"/>
          </w:tcPr>
          <w:p>
            <w:pPr>
              <w:jc w:val="right"/>
              <w:rPr>
                <w:rFonts w:hint="eastAsia"/>
              </w:rPr>
            </w:pPr>
            <w:r>
              <w:t>51,774,110.09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应付管理人报酬</w:t>
            </w:r>
          </w:p>
        </w:tc>
        <w:tc>
          <w:tcPr>
            <w:tcW w:w="4153" w:type="dxa"/>
          </w:tcPr>
          <w:p>
            <w:pPr>
              <w:jc w:val="right"/>
              <w:rPr>
                <w:rFonts w:hint="eastAsia"/>
              </w:rPr>
            </w:pPr>
            <w:r>
              <w:t>48,325.36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应付托管费</w:t>
            </w:r>
          </w:p>
        </w:tc>
        <w:tc>
          <w:tcPr>
            <w:tcW w:w="4153" w:type="dxa"/>
          </w:tcPr>
          <w:p>
            <w:pPr>
              <w:jc w:val="right"/>
              <w:rPr>
                <w:rFonts w:hint="eastAsia"/>
              </w:rPr>
            </w:pPr>
            <w:r>
              <w:t>13,289.46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应付销售服务费</w:t>
            </w:r>
          </w:p>
        </w:tc>
        <w:tc>
          <w:tcPr>
            <w:tcW w:w="4153" w:type="dxa"/>
          </w:tcPr>
          <w:p>
            <w:pPr>
              <w:jc w:val="right"/>
              <w:rPr>
                <w:rFonts w:hint="eastAsia"/>
              </w:rPr>
            </w:pPr>
            <w:r>
              <w:t>4,338.65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应交税费</w:t>
            </w:r>
          </w:p>
        </w:tc>
        <w:tc>
          <w:tcPr>
            <w:tcW w:w="4153" w:type="dxa"/>
          </w:tcPr>
          <w:p>
            <w:pPr>
              <w:jc w:val="right"/>
              <w:rPr>
                <w:rFonts w:hint="eastAsia"/>
              </w:rPr>
            </w:pPr>
            <w:r>
              <w:t>5,007.85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其他负债</w:t>
            </w:r>
          </w:p>
        </w:tc>
        <w:tc>
          <w:tcPr>
            <w:tcW w:w="4153" w:type="dxa"/>
          </w:tcPr>
          <w:p>
            <w:pPr>
              <w:jc w:val="right"/>
              <w:rPr>
                <w:rFonts w:hint="eastAsia"/>
              </w:rPr>
            </w:pPr>
            <w:r>
              <w:t>77,646.89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负债合计</w:t>
            </w:r>
          </w:p>
        </w:tc>
        <w:tc>
          <w:tcPr>
            <w:tcW w:w="4153" w:type="dxa"/>
          </w:tcPr>
          <w:p>
            <w:pPr>
              <w:jc w:val="right"/>
              <w:rPr>
                <w:rFonts w:hint="eastAsia"/>
              </w:rPr>
            </w:pPr>
            <w:r>
              <w:t>51,922,718.30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lang w:eastAsia="zh-CN"/>
              </w:rPr>
              <w:t>净资产</w:t>
            </w:r>
            <w:r>
              <w:rPr>
                <w:rFonts w:hint="eastAsia"/>
              </w:rPr>
              <w:t>：</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实收基金</w:t>
            </w:r>
          </w:p>
        </w:tc>
        <w:tc>
          <w:tcPr>
            <w:tcW w:w="4153" w:type="dxa"/>
          </w:tcPr>
          <w:p>
            <w:pPr>
              <w:jc w:val="right"/>
              <w:rPr>
                <w:rFonts w:hint="eastAsia"/>
              </w:rPr>
            </w:pPr>
            <w:r>
              <w:t>62,178,325.36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未分配利润</w:t>
            </w:r>
          </w:p>
        </w:tc>
        <w:tc>
          <w:tcPr>
            <w:tcW w:w="4153" w:type="dxa"/>
          </w:tcPr>
          <w:p>
            <w:pPr>
              <w:jc w:val="right"/>
              <w:rPr>
                <w:rFonts w:hint="eastAsia"/>
              </w:rPr>
            </w:pPr>
            <w:r>
              <w:t>-14,680,117.12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lang w:eastAsia="zh-CN"/>
              </w:rPr>
              <w:t>净资产</w:t>
            </w:r>
            <w:r>
              <w:rPr>
                <w:rFonts w:hint="eastAsia"/>
              </w:rPr>
              <w:t>合计</w:t>
            </w:r>
          </w:p>
        </w:tc>
        <w:tc>
          <w:tcPr>
            <w:tcW w:w="4153" w:type="dxa"/>
          </w:tcPr>
          <w:p>
            <w:pPr>
              <w:jc w:val="right"/>
              <w:rPr>
                <w:rFonts w:hint="eastAsia"/>
              </w:rPr>
            </w:pPr>
            <w:r>
              <w:t>47,498,208.24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负债和</w:t>
            </w:r>
            <w:r>
              <w:rPr>
                <w:rFonts w:hint="eastAsia"/>
                <w:lang w:eastAsia="zh-CN"/>
              </w:rPr>
              <w:t>净资产</w:t>
            </w:r>
            <w:r>
              <w:rPr>
                <w:rFonts w:hint="eastAsia"/>
              </w:rPr>
              <w:t>总计</w:t>
            </w:r>
          </w:p>
        </w:tc>
        <w:tc>
          <w:tcPr>
            <w:tcW w:w="4153" w:type="dxa"/>
          </w:tcPr>
          <w:p>
            <w:pPr>
              <w:jc w:val="right"/>
              <w:rPr>
                <w:rFonts w:hint="eastAsia"/>
              </w:rPr>
            </w:pPr>
            <w:r>
              <w:t>99,420,926.54</w:t>
            </w:r>
          </w:p>
        </w:tc>
      </w:tr>
    </w:tbl>
    <w:p>
      <w:pPr>
        <w:pStyle w:val="39"/>
        <w:spacing w:before="62"/>
        <w:rPr>
          <w:rFonts w:hint="eastAsia"/>
        </w:rPr>
      </w:pPr>
      <w:r>
        <w:rPr>
          <w:rFonts w:hint="eastAsia"/>
        </w:rPr>
        <w:t>注：1.报告截止日2022年</w:t>
      </w:r>
      <w:r>
        <w:rPr>
          <w:rFonts w:hint="eastAsia"/>
          <w:lang w:val="en-US" w:eastAsia="zh-CN"/>
        </w:rPr>
        <w:t>0</w:t>
      </w:r>
      <w:r>
        <w:rPr>
          <w:rFonts w:hint="eastAsia"/>
        </w:rPr>
        <w:t>8月22日(基金最后运作日)，基金份额总额62,178,325.36份，其中南方全球精选债券型发起式证券投资基金</w:t>
      </w:r>
      <w:r>
        <w:rPr>
          <w:rFonts w:hint="eastAsia"/>
          <w:lang w:eastAsia="zh-CN"/>
        </w:rPr>
        <w:t>（QDII）</w:t>
      </w:r>
      <w:r>
        <w:rPr>
          <w:rFonts w:hint="eastAsia"/>
        </w:rPr>
        <w:t>A类(人民币)基金份额总额为16,815,261.86份，基金份额净值0.7657元；南方全球精选债券型发起式证券投资基金</w:t>
      </w:r>
      <w:r>
        <w:rPr>
          <w:rFonts w:hint="eastAsia"/>
          <w:lang w:eastAsia="zh-CN"/>
        </w:rPr>
        <w:t>（QDII）</w:t>
      </w:r>
      <w:r>
        <w:rPr>
          <w:rFonts w:hint="eastAsia"/>
        </w:rPr>
        <w:t>A类(美元现汇)基金份额总额为32,065,832.27份，基金份额净值0.1123美元；南方全球精选债券型发起式证券投资基金</w:t>
      </w:r>
      <w:r>
        <w:rPr>
          <w:rFonts w:hint="eastAsia"/>
          <w:lang w:eastAsia="zh-CN"/>
        </w:rPr>
        <w:t>（QDII）</w:t>
      </w:r>
      <w:r>
        <w:rPr>
          <w:rFonts w:hint="eastAsia"/>
        </w:rPr>
        <w:t>C类(人民币)基金份额总额为1,620,987.92份，基金份额净值0.7574元；南方全球精选债券型发起式证券投资基金</w:t>
      </w:r>
      <w:r>
        <w:rPr>
          <w:rFonts w:hint="eastAsia"/>
          <w:lang w:eastAsia="zh-CN"/>
        </w:rPr>
        <w:t>（QDII）</w:t>
      </w:r>
      <w:r>
        <w:rPr>
          <w:rFonts w:hint="eastAsia"/>
        </w:rPr>
        <w:t>C类(美元现汇)基金份额总额为11,676,243.31份，基金份额净值0.1111美元。</w:t>
      </w:r>
    </w:p>
    <w:p>
      <w:pPr>
        <w:pStyle w:val="25"/>
        <w:rPr>
          <w:rFonts w:hint="eastAsia"/>
        </w:rPr>
      </w:pPr>
      <w:r>
        <w:rPr>
          <w:rFonts w:hint="eastAsia"/>
        </w:rPr>
        <w:t>四、清算情况</w:t>
      </w:r>
    </w:p>
    <w:p>
      <w:pPr>
        <w:pStyle w:val="17"/>
        <w:spacing w:before="62"/>
        <w:ind w:firstLine="420"/>
        <w:rPr>
          <w:rFonts w:hint="eastAsia"/>
        </w:rPr>
      </w:pPr>
      <w:r>
        <w:rPr>
          <w:rFonts w:hint="eastAsia"/>
        </w:rPr>
        <w:t>自2022年08月23日至2022年08月31日止为本基金清算报告期，基金财产清算小组按照法律法规及《南方全球精选债券型发起式证券投资基金</w:t>
      </w:r>
      <w:r>
        <w:rPr>
          <w:rFonts w:hint="eastAsia"/>
          <w:lang w:eastAsia="zh-CN"/>
        </w:rPr>
        <w:t>（QDII）</w:t>
      </w:r>
      <w:r>
        <w:rPr>
          <w:rFonts w:hint="eastAsia"/>
        </w:rPr>
        <w:t>基金合同》的规定履行基金财产清算程序，全部工作按清算原则和清算手续进行。具体清算情况如下：</w:t>
      </w:r>
    </w:p>
    <w:p>
      <w:pPr>
        <w:pStyle w:val="22"/>
        <w:rPr>
          <w:rFonts w:hint="eastAsia"/>
        </w:rPr>
      </w:pPr>
      <w:r>
        <w:rPr>
          <w:rFonts w:hint="eastAsia"/>
        </w:rPr>
        <w:t>（一）、清算费用</w:t>
      </w:r>
    </w:p>
    <w:p>
      <w:pPr>
        <w:pStyle w:val="17"/>
        <w:spacing w:before="62"/>
        <w:ind w:firstLine="420"/>
        <w:rPr>
          <w:rFonts w:hint="eastAsia"/>
        </w:rPr>
      </w:pPr>
      <w:r>
        <w:rPr>
          <w:rFonts w:hint="eastAsia"/>
        </w:rPr>
        <w:t>清算费用是指基金财产清算小组在进行基金清算过程中发生的所有合理费用。本基金的清算相关费用由</w:t>
      </w:r>
      <w:r>
        <w:rPr>
          <w:rFonts w:hint="eastAsia"/>
          <w:lang w:eastAsia="zh-CN"/>
        </w:rPr>
        <w:t>基金管理人</w:t>
      </w:r>
      <w:r>
        <w:rPr>
          <w:rFonts w:hint="eastAsia"/>
        </w:rPr>
        <w:t>承担。</w:t>
      </w:r>
    </w:p>
    <w:p>
      <w:pPr>
        <w:pStyle w:val="22"/>
        <w:rPr>
          <w:rFonts w:hint="eastAsia"/>
        </w:rPr>
      </w:pPr>
      <w:r>
        <w:rPr>
          <w:rFonts w:hint="eastAsia"/>
        </w:rPr>
        <w:t>（二）、最后运作日资产处置情况</w:t>
      </w:r>
    </w:p>
    <w:p>
      <w:pPr>
        <w:pStyle w:val="17"/>
        <w:spacing w:before="62"/>
        <w:ind w:firstLine="420"/>
      </w:pPr>
      <w:r>
        <w:rPr>
          <w:rFonts w:hint="eastAsia"/>
        </w:rPr>
        <w:t>1、本基金最后运作日应收活期存款利息为573.67元，将由基金管理人南方基金管理股份有限公司先行垫付。</w:t>
      </w:r>
    </w:p>
    <w:p>
      <w:pPr>
        <w:pStyle w:val="17"/>
        <w:spacing w:before="62"/>
        <w:ind w:firstLine="420"/>
        <w:rPr>
          <w:rFonts w:hint="eastAsia"/>
        </w:rPr>
      </w:pPr>
      <w:r>
        <w:rPr>
          <w:rFonts w:hint="eastAsia"/>
        </w:rPr>
        <w:t>2、本基金最后运作日证券清算款11,866,891.49美元（折合人民币80,929,826.59元），该款项已于2022年08月30日划入</w:t>
      </w:r>
      <w:r>
        <w:rPr>
          <w:rFonts w:hint="eastAsia"/>
          <w:lang w:eastAsia="zh-CN"/>
        </w:rPr>
        <w:t>基金</w:t>
      </w:r>
      <w:r>
        <w:rPr>
          <w:rFonts w:hint="eastAsia"/>
        </w:rPr>
        <w:t>托管户。</w:t>
      </w:r>
    </w:p>
    <w:p>
      <w:pPr>
        <w:pStyle w:val="17"/>
        <w:spacing w:before="62"/>
        <w:ind w:firstLine="420"/>
        <w:rPr>
          <w:rFonts w:hint="eastAsia"/>
        </w:rPr>
      </w:pPr>
    </w:p>
    <w:p>
      <w:pPr>
        <w:pStyle w:val="17"/>
        <w:spacing w:before="62"/>
        <w:ind w:firstLine="420"/>
        <w:rPr>
          <w:rFonts w:hint="eastAsia"/>
        </w:rPr>
      </w:pPr>
    </w:p>
    <w:p>
      <w:pPr>
        <w:pStyle w:val="22"/>
        <w:rPr>
          <w:rFonts w:hint="eastAsia"/>
        </w:rPr>
      </w:pPr>
      <w:r>
        <w:rPr>
          <w:rFonts w:hint="eastAsia"/>
        </w:rPr>
        <w:t>（三）、最后运作日负债清偿情况</w:t>
      </w:r>
    </w:p>
    <w:p>
      <w:pPr>
        <w:pStyle w:val="17"/>
        <w:spacing w:before="62"/>
        <w:ind w:firstLine="420"/>
        <w:rPr>
          <w:rFonts w:hint="eastAsia"/>
        </w:rPr>
      </w:pPr>
      <w:r>
        <w:rPr>
          <w:rFonts w:hint="eastAsia"/>
        </w:rPr>
        <w:t>1、本基金最后运作日应付管理费为48,325.36元，应付托管费为13,289.46元，应付销售服务费为4,338.65元，</w:t>
      </w:r>
      <w:r>
        <w:rPr>
          <w:rFonts w:hint="eastAsia"/>
          <w:lang w:eastAsia="zh-CN"/>
        </w:rPr>
        <w:t>前述</w:t>
      </w:r>
      <w:r>
        <w:rPr>
          <w:rFonts w:hint="eastAsia"/>
        </w:rPr>
        <w:t>款项已于2022年08月26日支付。</w:t>
      </w:r>
    </w:p>
    <w:p>
      <w:pPr>
        <w:pStyle w:val="17"/>
        <w:spacing w:before="62"/>
        <w:ind w:firstLine="420"/>
        <w:rPr>
          <w:rFonts w:hint="eastAsia"/>
        </w:rPr>
      </w:pPr>
      <w:r>
        <w:rPr>
          <w:rFonts w:hint="eastAsia"/>
        </w:rPr>
        <w:t>2、本基金最后运作日应</w:t>
      </w:r>
      <w:r>
        <w:rPr>
          <w:rFonts w:hint="eastAsia"/>
          <w:lang w:eastAsia="zh-CN"/>
        </w:rPr>
        <w:t>交</w:t>
      </w:r>
      <w:r>
        <w:rPr>
          <w:rFonts w:hint="eastAsia"/>
        </w:rPr>
        <w:t>税费为5,007.85元，该款项已于2022年08月26日支付。</w:t>
      </w:r>
    </w:p>
    <w:p>
      <w:pPr>
        <w:pStyle w:val="17"/>
        <w:spacing w:before="62"/>
        <w:ind w:firstLine="420"/>
        <w:rPr>
          <w:rFonts w:hint="eastAsia"/>
        </w:rPr>
      </w:pPr>
      <w:r>
        <w:rPr>
          <w:rFonts w:hint="eastAsia"/>
        </w:rPr>
        <w:t>3、本基金最后运作日应付信息披露费为76,932.18元，该款项已于2022年08月29日支付。</w:t>
      </w:r>
    </w:p>
    <w:p>
      <w:pPr>
        <w:pStyle w:val="17"/>
        <w:spacing w:before="62"/>
        <w:ind w:firstLine="420"/>
        <w:rPr>
          <w:rFonts w:hint="default"/>
          <w:lang w:val="en-US" w:eastAsia="zh-CN"/>
        </w:rPr>
      </w:pPr>
      <w:r>
        <w:rPr>
          <w:rFonts w:hint="eastAsia"/>
          <w:lang w:val="en-US" w:eastAsia="zh-CN"/>
        </w:rPr>
        <w:t>4、本基金最后运作日应付赎回款51,774,110.09元，应付赎回费714.71元，上述款项已于2022年08月30日支付。</w:t>
      </w:r>
    </w:p>
    <w:p>
      <w:pPr>
        <w:pStyle w:val="22"/>
        <w:rPr>
          <w:rFonts w:hint="eastAsia"/>
        </w:rPr>
      </w:pPr>
      <w:r>
        <w:rPr>
          <w:rFonts w:hint="eastAsia"/>
        </w:rPr>
        <w:t>（四）、停止运作后的清算损益情况说明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shd w:val="clear" w:color="auto" w:fill="BFBFBF"/>
            <w:vAlign w:val="center"/>
          </w:tcPr>
          <w:p>
            <w:pPr>
              <w:jc w:val="center"/>
              <w:rPr>
                <w:rFonts w:hint="eastAsia"/>
              </w:rPr>
            </w:pPr>
            <w:r>
              <w:rPr>
                <w:rFonts w:hint="eastAsia"/>
              </w:rPr>
              <w:t>项目</w:t>
            </w:r>
          </w:p>
        </w:tc>
        <w:tc>
          <w:tcPr>
            <w:tcW w:w="4153" w:type="dxa"/>
            <w:shd w:val="clear" w:color="auto" w:fill="BFBFBF"/>
            <w:vAlign w:val="center"/>
          </w:tcPr>
          <w:p>
            <w:pPr>
              <w:jc w:val="center"/>
              <w:rPr>
                <w:rFonts w:hint="eastAsia"/>
              </w:rPr>
            </w:pPr>
            <w:r>
              <w:rPr>
                <w:rFonts w:hint="eastAsia"/>
              </w:rPr>
              <w:t>清算报告期间：2022年08月23日至2022年08月31日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一、营业总收入</w:t>
            </w:r>
          </w:p>
        </w:tc>
        <w:tc>
          <w:tcPr>
            <w:tcW w:w="4153" w:type="dxa"/>
          </w:tcPr>
          <w:p>
            <w:pPr>
              <w:jc w:val="right"/>
              <w:rPr>
                <w:rFonts w:hint="eastAsia"/>
              </w:rPr>
            </w:pPr>
            <w:r>
              <w:t>423,558.88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1.利息收入</w:t>
            </w:r>
          </w:p>
        </w:tc>
        <w:tc>
          <w:tcPr>
            <w:tcW w:w="4153" w:type="dxa"/>
          </w:tcPr>
          <w:p>
            <w:pPr>
              <w:jc w:val="right"/>
              <w:rPr>
                <w:rFonts w:hint="eastAsia"/>
              </w:rPr>
            </w:pPr>
            <w:r>
              <w:t>682.49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其中：存款利息收入</w:t>
            </w:r>
          </w:p>
        </w:tc>
        <w:tc>
          <w:tcPr>
            <w:tcW w:w="4153" w:type="dxa"/>
          </w:tcPr>
          <w:p>
            <w:pPr>
              <w:jc w:val="right"/>
              <w:rPr>
                <w:rFonts w:hint="eastAsia"/>
              </w:rPr>
            </w:pPr>
            <w:r>
              <w:t>682.49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债券利息收入</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资产支持证券利息收入</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买入返售金融资产收入</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证券出借利息收入</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其他利息收入</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2.投资收益（损失以“-”填列）</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其中：股票投资收益</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基金投资收益</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债券投资收益</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衍生工具收益</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股利收益</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以摊余成本计量的金融资产终止确认产生的收益</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其他投资收益</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3.公允价值变动收益（损失以“-”号填列）</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4.汇兑收益（损失以“－”号填列）</w:t>
            </w:r>
          </w:p>
        </w:tc>
        <w:tc>
          <w:tcPr>
            <w:tcW w:w="4153" w:type="dxa"/>
          </w:tcPr>
          <w:p>
            <w:pPr>
              <w:jc w:val="right"/>
              <w:rPr>
                <w:rFonts w:hint="eastAsia"/>
              </w:rPr>
            </w:pPr>
            <w:r>
              <w:t>422,062.51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5.其他收入（损失以“-”号填列）</w:t>
            </w:r>
          </w:p>
        </w:tc>
        <w:tc>
          <w:tcPr>
            <w:tcW w:w="4153" w:type="dxa"/>
          </w:tcPr>
          <w:p>
            <w:pPr>
              <w:jc w:val="right"/>
              <w:rPr>
                <w:rFonts w:hint="eastAsia"/>
              </w:rPr>
            </w:pPr>
            <w:r>
              <w:t>813.88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减：二、营业总支出</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1.管理人报酬</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2.托管费</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3.销售服务费</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4.投资顾问费</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5.利息支出</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其中：卖出回购金融资产支出</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6.信用减值损失</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7.税金及附加</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8.其他费用</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三、利润总额（亏损总额以“-”号填列）</w:t>
            </w:r>
          </w:p>
        </w:tc>
        <w:tc>
          <w:tcPr>
            <w:tcW w:w="4153" w:type="dxa"/>
          </w:tcPr>
          <w:p>
            <w:pPr>
              <w:jc w:val="right"/>
              <w:rPr>
                <w:rFonts w:hint="eastAsia"/>
              </w:rPr>
            </w:pPr>
            <w:r>
              <w:t>423,558.88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减：所得税费用</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四、净利润（净亏损以“-”号填列）</w:t>
            </w:r>
          </w:p>
        </w:tc>
        <w:tc>
          <w:tcPr>
            <w:tcW w:w="4153" w:type="dxa"/>
          </w:tcPr>
          <w:p>
            <w:pPr>
              <w:jc w:val="right"/>
              <w:rPr>
                <w:rFonts w:hint="eastAsia"/>
              </w:rPr>
            </w:pPr>
            <w:r>
              <w:t>423,558.88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五、其他综合收益的税后净额</w:t>
            </w:r>
          </w:p>
        </w:tc>
        <w:tc>
          <w:tcPr>
            <w:tcW w:w="4153" w:type="dxa"/>
          </w:tcPr>
          <w:p>
            <w:pPr>
              <w:jc w:val="righ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六、综合收益总额</w:t>
            </w:r>
          </w:p>
        </w:tc>
        <w:tc>
          <w:tcPr>
            <w:tcW w:w="4153" w:type="dxa"/>
          </w:tcPr>
          <w:p>
            <w:pPr>
              <w:jc w:val="right"/>
              <w:rPr>
                <w:rFonts w:hint="eastAsia"/>
              </w:rPr>
            </w:pPr>
            <w:r>
              <w:t>423,558.88</w:t>
            </w:r>
          </w:p>
        </w:tc>
      </w:tr>
    </w:tbl>
    <w:p>
      <w:pPr>
        <w:pStyle w:val="17"/>
        <w:spacing w:before="62"/>
        <w:ind w:firstLine="420"/>
        <w:rPr>
          <w:rFonts w:hint="eastAsia"/>
        </w:rPr>
      </w:pPr>
      <w:r>
        <w:rPr>
          <w:rFonts w:hint="eastAsia"/>
        </w:rPr>
        <w:t>1、汇兑损益为清算期间持有外币资产由于汇率变动而产生的损益。</w:t>
      </w:r>
    </w:p>
    <w:p>
      <w:pPr>
        <w:pStyle w:val="17"/>
        <w:spacing w:before="62"/>
        <w:ind w:firstLine="420"/>
        <w:rPr>
          <w:rFonts w:hint="eastAsia"/>
        </w:rPr>
      </w:pPr>
      <w:r>
        <w:rPr>
          <w:rFonts w:hint="eastAsia"/>
        </w:rPr>
        <w:t>2、其他收入为清算期间归入基金资产的基金赎回费收入及境外CSDR罚息收入。</w:t>
      </w:r>
    </w:p>
    <w:p>
      <w:pPr>
        <w:pStyle w:val="22"/>
        <w:rPr>
          <w:rFonts w:hint="eastAsia"/>
        </w:rPr>
      </w:pPr>
      <w:r>
        <w:rPr>
          <w:rFonts w:hint="eastAsia"/>
        </w:rPr>
        <w:t>（五）、剩余资产分配情况说明</w:t>
      </w:r>
    </w:p>
    <w:p>
      <w:pPr>
        <w:pStyle w:val="17"/>
        <w:spacing w:before="62"/>
        <w:ind w:firstLine="420"/>
        <w:jc w:val="right"/>
        <w:rPr>
          <w:rFonts w:hint="eastAsia"/>
        </w:rPr>
      </w:pPr>
      <w:r>
        <w:rPr>
          <w:rFonts w:hint="eastAsia"/>
        </w:rPr>
        <w:t>单位：人民币元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shd w:val="clear" w:color="auto" w:fill="BFBFBF"/>
            <w:vAlign w:val="center"/>
          </w:tcPr>
          <w:p>
            <w:pPr>
              <w:jc w:val="center"/>
              <w:rPr>
                <w:rFonts w:hint="eastAsia"/>
              </w:rPr>
            </w:pPr>
            <w:r>
              <w:rPr>
                <w:rFonts w:hint="eastAsia"/>
              </w:rPr>
              <w:t>项目</w:t>
            </w:r>
          </w:p>
        </w:tc>
        <w:tc>
          <w:tcPr>
            <w:tcW w:w="4153" w:type="dxa"/>
            <w:shd w:val="clear" w:color="auto" w:fill="BFBFBF"/>
            <w:vAlign w:val="center"/>
          </w:tcPr>
          <w:p>
            <w:pPr>
              <w:jc w:val="center"/>
              <w:rPr>
                <w:rFonts w:hint="eastAsia"/>
              </w:rPr>
            </w:pPr>
            <w:r>
              <w:rPr>
                <w:rFonts w:hint="eastAsi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一、最后运作日2022年08月22日基金净资产</w:t>
            </w:r>
          </w:p>
        </w:tc>
        <w:tc>
          <w:tcPr>
            <w:tcW w:w="4153" w:type="dxa"/>
          </w:tcPr>
          <w:p>
            <w:pPr>
              <w:jc w:val="right"/>
              <w:rPr>
                <w:rFonts w:hint="eastAsia"/>
              </w:rPr>
            </w:pPr>
            <w:r>
              <w:t>47,498,208.24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加：清算报告期间净收益</w:t>
            </w:r>
          </w:p>
        </w:tc>
        <w:tc>
          <w:tcPr>
            <w:tcW w:w="4153" w:type="dxa"/>
          </w:tcPr>
          <w:p>
            <w:pPr>
              <w:jc w:val="right"/>
              <w:rPr>
                <w:rFonts w:hint="eastAsia"/>
              </w:rPr>
            </w:pPr>
            <w:r>
              <w:t>423,558.88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jc w:val="left"/>
              <w:rPr>
                <w:rFonts w:hint="eastAsia"/>
              </w:rPr>
            </w:pPr>
            <w:r>
              <w:rPr>
                <w:rFonts w:hint="eastAsia"/>
              </w:rPr>
              <w:t>减：赎回金额（含费用）</w:t>
            </w:r>
          </w:p>
        </w:tc>
        <w:tc>
          <w:tcPr>
            <w:tcW w:w="4153" w:type="dxa"/>
          </w:tcPr>
          <w:p>
            <w:pPr>
              <w:jc w:val="right"/>
              <w:rPr>
                <w:rFonts w:hint="eastAsia"/>
              </w:rPr>
            </w:pPr>
            <w:r>
              <w:t>24,914,212.35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jc w:val="left"/>
              <w:rPr>
                <w:rFonts w:hint="eastAsia"/>
              </w:rPr>
            </w:pPr>
            <w:r>
              <w:rPr>
                <w:rFonts w:hint="eastAsia"/>
              </w:rPr>
              <w:t>二、2022年08月31日基金净资产</w:t>
            </w:r>
          </w:p>
        </w:tc>
        <w:tc>
          <w:tcPr>
            <w:tcW w:w="4153" w:type="dxa"/>
          </w:tcPr>
          <w:p>
            <w:pPr>
              <w:jc w:val="right"/>
              <w:rPr>
                <w:rFonts w:hint="eastAsia"/>
              </w:rPr>
            </w:pPr>
            <w:r>
              <w:t>23,007,554.77</w:t>
            </w:r>
          </w:p>
        </w:tc>
      </w:tr>
    </w:tbl>
    <w:p>
      <w:pPr>
        <w:pStyle w:val="17"/>
        <w:spacing w:before="62"/>
        <w:ind w:firstLine="420"/>
        <w:rPr>
          <w:rFonts w:hint="eastAsia"/>
        </w:rPr>
      </w:pPr>
      <w:r>
        <w:rPr>
          <w:rFonts w:hint="eastAsia"/>
        </w:rPr>
        <w:t>资产处置及负债清偿后，截止本基金清算报告期结束日2022年08月31日，本基金剩余财产为23,007,554.77元。自本次清算期结束日次日2022年09月01日至清算款项支付日前一日的银行存款利息归基金份额持有人所有，为保护基金份额持有人利益，加快清盘速度，基金管理人将以自有资金先行垫付该笔款项（该金额可能与实际结息金额存在略微差异），供清盘分配使用。基金管理人垫付的资金以及垫付资金到账日起孳生的利息将于清算期后返还给基金管理人。</w:t>
      </w:r>
    </w:p>
    <w:p>
      <w:pPr>
        <w:pStyle w:val="22"/>
        <w:rPr>
          <w:rFonts w:hint="eastAsia"/>
        </w:rPr>
      </w:pPr>
      <w:r>
        <w:rPr>
          <w:rFonts w:hint="eastAsia"/>
        </w:rPr>
        <w:t>（六）、基金清算报告的告知及剩余财产分配安排</w:t>
      </w:r>
    </w:p>
    <w:p>
      <w:pPr>
        <w:pStyle w:val="17"/>
        <w:spacing w:before="62"/>
        <w:ind w:firstLine="420"/>
        <w:rPr>
          <w:rFonts w:hint="eastAsia"/>
        </w:rPr>
      </w:pPr>
      <w:r>
        <w:rPr>
          <w:rFonts w:hint="eastAsia"/>
        </w:rPr>
        <w:t>本清算报告已经基金托管人复核，将与会计师事务所出具的清算审计报告、律师事务所出具的法律意见书一并报中国证监会备案后向基金份额持有人公告。清算报告公告后，基金管理人将遵照法律法规、基金合同等规定及时进行分配。</w:t>
      </w:r>
    </w:p>
    <w:p>
      <w:pPr>
        <w:pStyle w:val="25"/>
        <w:rPr>
          <w:rFonts w:hint="eastAsia"/>
        </w:rPr>
      </w:pPr>
      <w:r>
        <w:rPr>
          <w:rFonts w:hint="eastAsia"/>
        </w:rPr>
        <w:t>五、备查文件目录</w:t>
      </w:r>
    </w:p>
    <w:p>
      <w:pPr>
        <w:pStyle w:val="22"/>
        <w:rPr>
          <w:rFonts w:hint="eastAsia"/>
        </w:rPr>
      </w:pPr>
      <w:r>
        <w:rPr>
          <w:rFonts w:hint="eastAsia"/>
        </w:rPr>
        <w:t>（一）、备查文件目录</w:t>
      </w:r>
    </w:p>
    <w:p>
      <w:pPr>
        <w:pStyle w:val="17"/>
        <w:spacing w:before="62"/>
        <w:ind w:firstLine="420"/>
        <w:rPr>
          <w:rFonts w:hint="eastAsia"/>
        </w:rPr>
      </w:pPr>
      <w:r>
        <w:rPr>
          <w:rFonts w:hint="eastAsia"/>
        </w:rPr>
        <w:t>（1）南方全球精选债券型发起式证券投资基金</w:t>
      </w:r>
      <w:r>
        <w:rPr>
          <w:rFonts w:hint="eastAsia"/>
          <w:lang w:eastAsia="zh-CN"/>
        </w:rPr>
        <w:t>（QDII）</w:t>
      </w:r>
      <w:r>
        <w:rPr>
          <w:rFonts w:hint="eastAsia"/>
        </w:rPr>
        <w:t>2022年01月01日至2022年08月22日（最后运作日）止期间的财务报表及审计报告；</w:t>
      </w:r>
    </w:p>
    <w:p>
      <w:pPr>
        <w:pStyle w:val="17"/>
        <w:spacing w:before="62"/>
        <w:ind w:firstLine="420"/>
        <w:rPr>
          <w:rFonts w:hint="eastAsia"/>
        </w:rPr>
      </w:pPr>
      <w:r>
        <w:rPr>
          <w:rFonts w:hint="eastAsia"/>
        </w:rPr>
        <w:t>（2）关于南方全球精选债券型发起式证券投资基金</w:t>
      </w:r>
      <w:r>
        <w:rPr>
          <w:rFonts w:hint="eastAsia"/>
          <w:lang w:eastAsia="zh-CN"/>
        </w:rPr>
        <w:t>（QDII）</w:t>
      </w:r>
      <w:r>
        <w:rPr>
          <w:rFonts w:hint="eastAsia"/>
        </w:rPr>
        <w:t>清算</w:t>
      </w:r>
      <w:r>
        <w:rPr>
          <w:rFonts w:hint="eastAsia"/>
          <w:lang w:eastAsia="zh-CN"/>
        </w:rPr>
        <w:t>报告</w:t>
      </w:r>
      <w:r>
        <w:rPr>
          <w:rFonts w:hint="eastAsia"/>
        </w:rPr>
        <w:t>的法律意见书。</w:t>
      </w:r>
    </w:p>
    <w:p>
      <w:pPr>
        <w:pStyle w:val="22"/>
        <w:rPr>
          <w:rFonts w:hint="eastAsia"/>
        </w:rPr>
      </w:pPr>
      <w:r>
        <w:rPr>
          <w:rFonts w:hint="eastAsia"/>
        </w:rPr>
        <w:t>（二）、存放地点</w:t>
      </w:r>
    </w:p>
    <w:p>
      <w:pPr>
        <w:pStyle w:val="17"/>
        <w:spacing w:before="62"/>
        <w:ind w:firstLine="420"/>
        <w:rPr>
          <w:rFonts w:hint="eastAsia"/>
        </w:rPr>
      </w:pPr>
      <w:r>
        <w:rPr>
          <w:rFonts w:hint="eastAsia"/>
        </w:rPr>
        <w:t>基金管理人的办公场所。</w:t>
      </w:r>
    </w:p>
    <w:p>
      <w:pPr>
        <w:pStyle w:val="22"/>
        <w:rPr>
          <w:rFonts w:hint="eastAsia"/>
        </w:rPr>
      </w:pPr>
      <w:r>
        <w:rPr>
          <w:rFonts w:hint="eastAsia"/>
        </w:rPr>
        <w:t>（三）、查阅方式</w:t>
      </w:r>
    </w:p>
    <w:p>
      <w:pPr>
        <w:pStyle w:val="17"/>
        <w:spacing w:before="62"/>
        <w:ind w:firstLine="420"/>
        <w:rPr>
          <w:rFonts w:hint="eastAsia"/>
        </w:rPr>
      </w:pPr>
      <w:r>
        <w:rPr>
          <w:rFonts w:hint="eastAsia"/>
        </w:rPr>
        <w:t>投资者可在营业时间内至基金管理人的办公场所免费查阅。</w:t>
      </w:r>
    </w:p>
    <w:p>
      <w:pPr>
        <w:rPr>
          <w:rFonts w:hint="eastAsia"/>
        </w:rPr>
      </w:pPr>
    </w:p>
    <w:p>
      <w:pPr>
        <w:snapToGrid w:val="0"/>
        <w:spacing w:line="360" w:lineRule="auto"/>
        <w:jc w:val="righ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南方全球精选债券型发起式证券投资基金</w:t>
      </w:r>
      <w:r>
        <w:rPr>
          <w:rFonts w:hint="eastAsia" w:asciiTheme="minorEastAsia" w:hAnsiTheme="minorEastAsia" w:eastAsiaTheme="minorEastAsia"/>
          <w:szCs w:val="21"/>
          <w:lang w:eastAsia="zh-CN"/>
        </w:rPr>
        <w:t>（QDII）</w:t>
      </w:r>
      <w:r>
        <w:rPr>
          <w:rFonts w:hint="eastAsia" w:asciiTheme="minorEastAsia" w:hAnsiTheme="minorEastAsia" w:eastAsiaTheme="minorEastAsia"/>
          <w:szCs w:val="21"/>
        </w:rPr>
        <w:t>基金财产</w:t>
      </w:r>
      <w:r>
        <w:rPr>
          <w:rFonts w:asciiTheme="minorEastAsia" w:hAnsiTheme="minorEastAsia" w:eastAsiaTheme="minorEastAsia"/>
          <w:szCs w:val="21"/>
        </w:rPr>
        <w:t>清算小组</w:t>
      </w:r>
    </w:p>
    <w:p>
      <w:pPr>
        <w:snapToGrid w:val="0"/>
        <w:spacing w:line="360" w:lineRule="auto"/>
        <w:jc w:val="right"/>
        <w:rPr>
          <w:rFonts w:asciiTheme="minorEastAsia" w:hAnsiTheme="minorEastAsia" w:eastAsiaTheme="minorEastAsia"/>
          <w:szCs w:val="21"/>
        </w:rPr>
      </w:pPr>
      <w:r>
        <w:rPr>
          <w:rFonts w:asciiTheme="minorEastAsia" w:hAnsiTheme="minorEastAsia" w:eastAsiaTheme="minorEastAsia"/>
          <w:szCs w:val="21"/>
        </w:rPr>
        <w:t>2022年08月31日</w:t>
      </w:r>
    </w:p>
    <w:p>
      <w:pPr>
        <w:jc w:val="left"/>
      </w:pPr>
    </w:p>
    <w:p>
      <w:pPr>
        <w:jc w:val="lef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黑体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lang w:eastAsia="zh-CN"/>
      </w:rPr>
      <w:t>南方全球精选债券型发起式证券投资基金（QDII）清算报告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ODBhZTU3MjgzMjA0NDQzNjY3YjljNjZjZDA0YzMifQ=="/>
  </w:docVars>
  <w:rsids>
    <w:rsidRoot w:val="00E46AD4"/>
    <w:rsid w:val="0001706E"/>
    <w:rsid w:val="00045B9C"/>
    <w:rsid w:val="00072F8F"/>
    <w:rsid w:val="00073A17"/>
    <w:rsid w:val="00092E24"/>
    <w:rsid w:val="000E7519"/>
    <w:rsid w:val="00100924"/>
    <w:rsid w:val="00102B95"/>
    <w:rsid w:val="001064E3"/>
    <w:rsid w:val="00152D6B"/>
    <w:rsid w:val="00175E81"/>
    <w:rsid w:val="00181325"/>
    <w:rsid w:val="00187B2C"/>
    <w:rsid w:val="0019575F"/>
    <w:rsid w:val="001B05E6"/>
    <w:rsid w:val="001B4F59"/>
    <w:rsid w:val="002073CE"/>
    <w:rsid w:val="00210038"/>
    <w:rsid w:val="00214F81"/>
    <w:rsid w:val="00215EE8"/>
    <w:rsid w:val="00225A93"/>
    <w:rsid w:val="0023093B"/>
    <w:rsid w:val="00296BEC"/>
    <w:rsid w:val="00322CF3"/>
    <w:rsid w:val="003273A3"/>
    <w:rsid w:val="00330517"/>
    <w:rsid w:val="003347B0"/>
    <w:rsid w:val="00362863"/>
    <w:rsid w:val="0039043B"/>
    <w:rsid w:val="003A31A8"/>
    <w:rsid w:val="003D279E"/>
    <w:rsid w:val="003E5CB4"/>
    <w:rsid w:val="00412878"/>
    <w:rsid w:val="00414556"/>
    <w:rsid w:val="00427E43"/>
    <w:rsid w:val="00440E3F"/>
    <w:rsid w:val="00465118"/>
    <w:rsid w:val="004935F1"/>
    <w:rsid w:val="004B1A87"/>
    <w:rsid w:val="004B34D7"/>
    <w:rsid w:val="004C06E8"/>
    <w:rsid w:val="00524C44"/>
    <w:rsid w:val="00543191"/>
    <w:rsid w:val="00544E9D"/>
    <w:rsid w:val="005C29BB"/>
    <w:rsid w:val="005E2B6A"/>
    <w:rsid w:val="005F606D"/>
    <w:rsid w:val="006014C5"/>
    <w:rsid w:val="00606D95"/>
    <w:rsid w:val="006175A8"/>
    <w:rsid w:val="00620626"/>
    <w:rsid w:val="00624C8B"/>
    <w:rsid w:val="006255DD"/>
    <w:rsid w:val="00665FED"/>
    <w:rsid w:val="00666D53"/>
    <w:rsid w:val="00694FE3"/>
    <w:rsid w:val="006B012F"/>
    <w:rsid w:val="006C778B"/>
    <w:rsid w:val="006F182B"/>
    <w:rsid w:val="00717C16"/>
    <w:rsid w:val="00723AF7"/>
    <w:rsid w:val="007379A3"/>
    <w:rsid w:val="007475A0"/>
    <w:rsid w:val="007638C7"/>
    <w:rsid w:val="007745B9"/>
    <w:rsid w:val="00774801"/>
    <w:rsid w:val="007B5088"/>
    <w:rsid w:val="007C71B7"/>
    <w:rsid w:val="007F478E"/>
    <w:rsid w:val="00800FA0"/>
    <w:rsid w:val="00821D94"/>
    <w:rsid w:val="00826598"/>
    <w:rsid w:val="008B15A4"/>
    <w:rsid w:val="008C33E1"/>
    <w:rsid w:val="008C4B46"/>
    <w:rsid w:val="008F4325"/>
    <w:rsid w:val="009308A0"/>
    <w:rsid w:val="00945B9D"/>
    <w:rsid w:val="009751D7"/>
    <w:rsid w:val="00997F4E"/>
    <w:rsid w:val="009A69BD"/>
    <w:rsid w:val="00A05139"/>
    <w:rsid w:val="00A065F8"/>
    <w:rsid w:val="00A150DC"/>
    <w:rsid w:val="00A54828"/>
    <w:rsid w:val="00A84177"/>
    <w:rsid w:val="00AA5DFE"/>
    <w:rsid w:val="00AA75A2"/>
    <w:rsid w:val="00AD3026"/>
    <w:rsid w:val="00AD7920"/>
    <w:rsid w:val="00B12045"/>
    <w:rsid w:val="00B21D69"/>
    <w:rsid w:val="00B54C2A"/>
    <w:rsid w:val="00B652A8"/>
    <w:rsid w:val="00BA533C"/>
    <w:rsid w:val="00BB4D04"/>
    <w:rsid w:val="00BC2145"/>
    <w:rsid w:val="00C04636"/>
    <w:rsid w:val="00C06F04"/>
    <w:rsid w:val="00C359DD"/>
    <w:rsid w:val="00C9694E"/>
    <w:rsid w:val="00C975C3"/>
    <w:rsid w:val="00CE07B7"/>
    <w:rsid w:val="00CE5671"/>
    <w:rsid w:val="00D15F45"/>
    <w:rsid w:val="00D65B9C"/>
    <w:rsid w:val="00D928F8"/>
    <w:rsid w:val="00D92B0B"/>
    <w:rsid w:val="00DC7415"/>
    <w:rsid w:val="00DE07F5"/>
    <w:rsid w:val="00E04FA5"/>
    <w:rsid w:val="00E063EF"/>
    <w:rsid w:val="00E43A74"/>
    <w:rsid w:val="00E46AD4"/>
    <w:rsid w:val="00F03A80"/>
    <w:rsid w:val="00F27944"/>
    <w:rsid w:val="00F45ADF"/>
    <w:rsid w:val="00F56A67"/>
    <w:rsid w:val="00F719C8"/>
    <w:rsid w:val="00F730E1"/>
    <w:rsid w:val="00F73C89"/>
    <w:rsid w:val="00F76D55"/>
    <w:rsid w:val="00FA097D"/>
    <w:rsid w:val="00FA1FAB"/>
    <w:rsid w:val="00FD08D1"/>
    <w:rsid w:val="00FF4E4A"/>
    <w:rsid w:val="11024AF4"/>
    <w:rsid w:val="11343241"/>
    <w:rsid w:val="16433FC2"/>
    <w:rsid w:val="18F403C1"/>
    <w:rsid w:val="24A26C0C"/>
    <w:rsid w:val="2B3E144B"/>
    <w:rsid w:val="302113B9"/>
    <w:rsid w:val="36B24C02"/>
    <w:rsid w:val="3A033A73"/>
    <w:rsid w:val="3B5125BF"/>
    <w:rsid w:val="41880C9B"/>
    <w:rsid w:val="7668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b/>
      <w:bCs/>
      <w:kern w:val="0"/>
      <w:sz w:val="18"/>
      <w:szCs w:val="18"/>
      <w:lang w:val="zh-CN"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2"/>
    <w:qFormat/>
    <w:uiPriority w:val="0"/>
    <w:rPr>
      <w:rFonts w:ascii="宋体"/>
      <w:sz w:val="18"/>
      <w:szCs w:val="18"/>
      <w:lang w:val="zh-CN" w:eastAsia="zh-CN"/>
    </w:rPr>
  </w:style>
  <w:style w:type="paragraph" w:styleId="5">
    <w:name w:val="annotation text"/>
    <w:basedOn w:val="1"/>
    <w:qFormat/>
    <w:uiPriority w:val="0"/>
    <w:pPr>
      <w:jc w:val="left"/>
    </w:pPr>
  </w:style>
  <w:style w:type="paragraph" w:styleId="6">
    <w:name w:val="footer"/>
    <w:basedOn w:val="1"/>
    <w:link w:val="31"/>
    <w:qFormat/>
    <w:uiPriority w:val="99"/>
    <w:pPr>
      <w:tabs>
        <w:tab w:val="center" w:pos="4153"/>
        <w:tab w:val="right" w:pos="8306"/>
      </w:tabs>
      <w:snapToGrid w:val="0"/>
      <w:jc w:val="left"/>
    </w:pPr>
    <w:rPr>
      <w:sz w:val="18"/>
      <w:szCs w:val="18"/>
      <w:lang w:val="zh-CN" w:eastAsia="zh-CN"/>
    </w:rPr>
  </w:style>
  <w:style w:type="paragraph" w:styleId="7">
    <w:name w:val="header"/>
    <w:basedOn w:val="1"/>
    <w:link w:val="30"/>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link w:val="19"/>
    <w:unhideWhenUsed/>
    <w:qFormat/>
    <w:uiPriority w:val="99"/>
    <w:pPr>
      <w:widowControl/>
      <w:spacing w:before="100" w:beforeAutospacing="1" w:after="100" w:afterAutospacing="1"/>
      <w:jc w:val="left"/>
    </w:pPr>
    <w:rPr>
      <w:rFonts w:ascii="宋体" w:hAnsi="宋体"/>
      <w:kern w:val="0"/>
      <w:sz w:val="24"/>
      <w:lang w:val="zh-CN" w:eastAsia="zh-CN"/>
    </w:rPr>
  </w:style>
  <w:style w:type="paragraph" w:styleId="11">
    <w:name w:val="Title"/>
    <w:basedOn w:val="1"/>
    <w:next w:val="1"/>
    <w:link w:val="33"/>
    <w:qFormat/>
    <w:uiPriority w:val="0"/>
    <w:pPr>
      <w:spacing w:before="240" w:after="60"/>
      <w:jc w:val="center"/>
      <w:outlineLvl w:val="0"/>
    </w:pPr>
    <w:rPr>
      <w:rFonts w:ascii="Cambria" w:hAnsi="Cambria"/>
      <w:b/>
      <w:bCs/>
      <w:sz w:val="32"/>
      <w:szCs w:val="32"/>
      <w:lang w:val="zh-CN" w:eastAsia="zh-CN"/>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basedOn w:val="14"/>
    <w:qFormat/>
    <w:uiPriority w:val="0"/>
    <w:rPr>
      <w:sz w:val="21"/>
      <w:szCs w:val="21"/>
    </w:rPr>
  </w:style>
  <w:style w:type="paragraph" w:customStyle="1" w:styleId="17">
    <w:name w:val="模板-正文"/>
    <w:basedOn w:val="10"/>
    <w:link w:val="20"/>
    <w:qFormat/>
    <w:uiPriority w:val="0"/>
    <w:pPr>
      <w:shd w:val="clear" w:color="auto" w:fill="FFFFFF"/>
      <w:snapToGrid w:val="0"/>
      <w:spacing w:before="20" w:beforeLines="20" w:beforeAutospacing="0" w:after="0" w:afterAutospacing="0" w:line="360" w:lineRule="auto"/>
      <w:ind w:firstLine="200" w:firstLineChars="200"/>
      <w:jc w:val="both"/>
    </w:pPr>
    <w:rPr>
      <w:color w:val="222222"/>
      <w:sz w:val="21"/>
      <w:szCs w:val="21"/>
    </w:rPr>
  </w:style>
  <w:style w:type="character" w:customStyle="1" w:styleId="18">
    <w:name w:val="标题 2 字符"/>
    <w:link w:val="3"/>
    <w:qFormat/>
    <w:uiPriority w:val="9"/>
    <w:rPr>
      <w:rFonts w:ascii="宋体" w:hAnsi="宋体" w:cs="宋体"/>
      <w:b/>
      <w:bCs/>
      <w:sz w:val="18"/>
      <w:szCs w:val="18"/>
    </w:rPr>
  </w:style>
  <w:style w:type="character" w:customStyle="1" w:styleId="19">
    <w:name w:val="普通(网站) 字符"/>
    <w:link w:val="10"/>
    <w:qFormat/>
    <w:uiPriority w:val="99"/>
    <w:rPr>
      <w:rFonts w:ascii="宋体" w:hAnsi="宋体" w:cs="宋体"/>
      <w:sz w:val="24"/>
      <w:szCs w:val="24"/>
    </w:rPr>
  </w:style>
  <w:style w:type="character" w:customStyle="1" w:styleId="20">
    <w:name w:val="模板-正文 Char"/>
    <w:link w:val="17"/>
    <w:qFormat/>
    <w:uiPriority w:val="0"/>
    <w:rPr>
      <w:rFonts w:ascii="宋体" w:hAnsi="宋体"/>
      <w:color w:val="222222"/>
      <w:sz w:val="21"/>
      <w:szCs w:val="21"/>
      <w:shd w:val="clear" w:color="auto" w:fill="FFFFFF"/>
      <w:lang w:val="zh-CN" w:eastAsia="zh-CN"/>
    </w:rPr>
  </w:style>
  <w:style w:type="character" w:customStyle="1" w:styleId="21">
    <w:name w:val="doc_order_no"/>
    <w:qFormat/>
    <w:uiPriority w:val="0"/>
  </w:style>
  <w:style w:type="paragraph" w:customStyle="1" w:styleId="22">
    <w:name w:val="模板-标题 2"/>
    <w:basedOn w:val="3"/>
    <w:link w:val="23"/>
    <w:qFormat/>
    <w:uiPriority w:val="0"/>
    <w:pPr>
      <w:shd w:val="clear" w:color="auto" w:fill="FFFFFF"/>
      <w:spacing w:line="480" w:lineRule="atLeast"/>
    </w:pPr>
    <w:rPr>
      <w:color w:val="222222"/>
      <w:sz w:val="24"/>
    </w:rPr>
  </w:style>
  <w:style w:type="character" w:customStyle="1" w:styleId="23">
    <w:name w:val="模板-标题 2 Char"/>
    <w:link w:val="22"/>
    <w:qFormat/>
    <w:uiPriority w:val="0"/>
    <w:rPr>
      <w:rFonts w:ascii="宋体" w:hAnsi="宋体"/>
      <w:b/>
      <w:bCs/>
      <w:color w:val="222222"/>
      <w:sz w:val="24"/>
      <w:szCs w:val="18"/>
      <w:shd w:val="clear" w:color="auto" w:fill="FFFFFF"/>
      <w:lang w:val="zh-CN" w:eastAsia="zh-CN"/>
    </w:rPr>
  </w:style>
  <w:style w:type="character" w:customStyle="1" w:styleId="24">
    <w:name w:val="标题 1 字符"/>
    <w:link w:val="2"/>
    <w:qFormat/>
    <w:uiPriority w:val="9"/>
    <w:rPr>
      <w:b/>
      <w:bCs/>
      <w:kern w:val="44"/>
      <w:sz w:val="44"/>
      <w:szCs w:val="44"/>
    </w:rPr>
  </w:style>
  <w:style w:type="paragraph" w:customStyle="1" w:styleId="25">
    <w:name w:val="模板-标题 1"/>
    <w:basedOn w:val="2"/>
    <w:link w:val="26"/>
    <w:qFormat/>
    <w:uiPriority w:val="0"/>
    <w:pPr>
      <w:keepNext w:val="0"/>
      <w:keepLines w:val="0"/>
      <w:widowControl/>
      <w:shd w:val="clear" w:color="auto" w:fill="FFFFFF"/>
      <w:spacing w:before="100" w:beforeAutospacing="1" w:after="100" w:afterAutospacing="1" w:line="480" w:lineRule="atLeast"/>
      <w:jc w:val="left"/>
    </w:pPr>
    <w:rPr>
      <w:rFonts w:ascii="宋体" w:hAnsi="宋体"/>
      <w:color w:val="222222"/>
      <w:kern w:val="36"/>
      <w:sz w:val="28"/>
      <w:szCs w:val="24"/>
    </w:rPr>
  </w:style>
  <w:style w:type="character" w:customStyle="1" w:styleId="26">
    <w:name w:val="模板-标题 1 Char"/>
    <w:link w:val="25"/>
    <w:qFormat/>
    <w:uiPriority w:val="0"/>
    <w:rPr>
      <w:rFonts w:ascii="宋体" w:hAnsi="宋体"/>
      <w:b/>
      <w:bCs/>
      <w:color w:val="222222"/>
      <w:kern w:val="36"/>
      <w:sz w:val="28"/>
      <w:szCs w:val="24"/>
      <w:shd w:val="clear" w:color="auto" w:fill="FFFFFF"/>
      <w:lang w:val="zh-CN" w:eastAsia="zh-CN"/>
    </w:rPr>
  </w:style>
  <w:style w:type="paragraph" w:customStyle="1" w:styleId="27">
    <w:name w:val="模板-标题 3"/>
    <w:basedOn w:val="1"/>
    <w:link w:val="28"/>
    <w:qFormat/>
    <w:uiPriority w:val="0"/>
    <w:pPr>
      <w:spacing w:before="100" w:beforeAutospacing="1" w:after="100" w:afterAutospacing="1" w:line="480" w:lineRule="atLeast"/>
    </w:pPr>
    <w:rPr>
      <w:b/>
      <w:color w:val="222222"/>
      <w:sz w:val="24"/>
      <w:szCs w:val="18"/>
      <w:lang w:val="zh-CN" w:eastAsia="zh-CN"/>
    </w:rPr>
  </w:style>
  <w:style w:type="character" w:customStyle="1" w:styleId="28">
    <w:name w:val="模板-标题 3 Char"/>
    <w:link w:val="27"/>
    <w:qFormat/>
    <w:uiPriority w:val="0"/>
    <w:rPr>
      <w:b/>
      <w:color w:val="222222"/>
      <w:kern w:val="2"/>
      <w:sz w:val="24"/>
      <w:szCs w:val="18"/>
      <w:lang w:val="zh-CN" w:eastAsia="zh-CN"/>
    </w:rPr>
  </w:style>
  <w:style w:type="table" w:customStyle="1" w:styleId="29">
    <w:name w:val="模板-表格"/>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FBFBF"/>
      </w:tcPr>
    </w:tblStylePr>
  </w:style>
  <w:style w:type="character" w:customStyle="1" w:styleId="30">
    <w:name w:val="页眉 字符"/>
    <w:link w:val="7"/>
    <w:qFormat/>
    <w:uiPriority w:val="99"/>
    <w:rPr>
      <w:kern w:val="2"/>
      <w:sz w:val="18"/>
      <w:szCs w:val="18"/>
    </w:rPr>
  </w:style>
  <w:style w:type="character" w:customStyle="1" w:styleId="31">
    <w:name w:val="页脚 字符"/>
    <w:link w:val="6"/>
    <w:qFormat/>
    <w:uiPriority w:val="99"/>
    <w:rPr>
      <w:kern w:val="2"/>
      <w:sz w:val="18"/>
      <w:szCs w:val="18"/>
    </w:rPr>
  </w:style>
  <w:style w:type="character" w:customStyle="1" w:styleId="32">
    <w:name w:val="文档结构图 字符"/>
    <w:link w:val="4"/>
    <w:qFormat/>
    <w:uiPriority w:val="0"/>
    <w:rPr>
      <w:rFonts w:ascii="宋体"/>
      <w:kern w:val="2"/>
      <w:sz w:val="18"/>
      <w:szCs w:val="18"/>
    </w:rPr>
  </w:style>
  <w:style w:type="character" w:customStyle="1" w:styleId="33">
    <w:name w:val="标题 字符"/>
    <w:link w:val="11"/>
    <w:qFormat/>
    <w:uiPriority w:val="0"/>
    <w:rPr>
      <w:rFonts w:ascii="Cambria" w:hAnsi="Cambria" w:cs="Times New Roman"/>
      <w:b/>
      <w:bCs/>
      <w:kern w:val="2"/>
      <w:sz w:val="32"/>
      <w:szCs w:val="32"/>
    </w:rPr>
  </w:style>
  <w:style w:type="paragraph" w:customStyle="1" w:styleId="34">
    <w:name w:val="模板-标题"/>
    <w:basedOn w:val="11"/>
    <w:qFormat/>
    <w:uiPriority w:val="0"/>
    <w:pPr>
      <w:outlineLvl w:val="9"/>
    </w:pPr>
    <w:rPr>
      <w:sz w:val="28"/>
    </w:rPr>
  </w:style>
  <w:style w:type="paragraph" w:customStyle="1" w:styleId="35">
    <w:name w:val="模板-标题 4"/>
    <w:basedOn w:val="1"/>
    <w:qFormat/>
    <w:uiPriority w:val="0"/>
    <w:rPr>
      <w:b/>
      <w:sz w:val="24"/>
    </w:rPr>
  </w:style>
  <w:style w:type="paragraph" w:customStyle="1" w:styleId="36">
    <w:name w:val="模板-标题 5"/>
    <w:basedOn w:val="35"/>
    <w:qFormat/>
    <w:uiPriority w:val="0"/>
  </w:style>
  <w:style w:type="paragraph" w:customStyle="1" w:styleId="37">
    <w:name w:val="模板-标题 6"/>
    <w:basedOn w:val="36"/>
    <w:qFormat/>
    <w:uiPriority w:val="0"/>
  </w:style>
  <w:style w:type="table" w:customStyle="1" w:styleId="38">
    <w:name w:val="模板-表格_noheader"/>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模板-正文无缩进"/>
    <w:basedOn w:val="17"/>
    <w:link w:val="40"/>
    <w:qFormat/>
    <w:uiPriority w:val="0"/>
    <w:pPr>
      <w:ind w:firstLine="0" w:firstLineChars="0"/>
    </w:pPr>
  </w:style>
  <w:style w:type="character" w:customStyle="1" w:styleId="40">
    <w:name w:val="模板-正文无缩进 字符"/>
    <w:basedOn w:val="20"/>
    <w:link w:val="39"/>
    <w:qFormat/>
    <w:uiPriority w:val="0"/>
    <w:rPr>
      <w:rFonts w:ascii="宋体" w:hAnsi="宋体"/>
      <w:color w:val="222222"/>
      <w:sz w:val="21"/>
      <w:szCs w:val="21"/>
      <w:shd w:val="clear" w:color="auto" w:fill="FFFFFF"/>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2534-652A-485E-BD2A-E26A93C1CEC6}">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Pages>
  <Words>950</Words>
  <Characters>5421</Characters>
  <Lines>45</Lines>
  <Paragraphs>12</Paragraphs>
  <TotalTime>0</TotalTime>
  <ScaleCrop>false</ScaleCrop>
  <LinksUpToDate>false</LinksUpToDate>
  <CharactersWithSpaces>6359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2022-08-31T08:38:00Z</dcterms:created>
  <dc:creator>Administrator</dc:creator>
  <cp:lastModifiedBy>Doris</cp:lastModifiedBy>
  <dcterms:modified xsi:type="dcterms:W3CDTF">2022-09-07T02:25:41Z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9CFECA94C22D4B05952F4724F6186238</vt:lpwstr>
  </property>
</Properties>
</file>