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BB16" w14:textId="0B47AA8B" w:rsidR="0087732F" w:rsidRPr="0073706A" w:rsidRDefault="00522DA0" w:rsidP="0087732F">
      <w:pPr>
        <w:jc w:val="center"/>
        <w:rPr>
          <w:rFonts w:ascii="宋体"/>
          <w:b/>
          <w:bCs/>
          <w:sz w:val="32"/>
          <w:szCs w:val="32"/>
        </w:rPr>
      </w:pPr>
      <w:r w:rsidRPr="00522DA0">
        <w:rPr>
          <w:rFonts w:ascii="宋体" w:cs="宋体"/>
          <w:b/>
          <w:bCs/>
          <w:sz w:val="32"/>
          <w:szCs w:val="32"/>
        </w:rPr>
        <w:t>易方达财信FOF1号单一资产管理计划</w:t>
      </w:r>
    </w:p>
    <w:p w14:paraId="673520BE" w14:textId="4EA5FE08" w:rsidR="0087732F" w:rsidRPr="0073706A" w:rsidRDefault="00522DA0" w:rsidP="0087732F">
      <w:pPr>
        <w:jc w:val="center"/>
        <w:rPr>
          <w:rFonts w:ascii="宋体"/>
          <w:b/>
          <w:bCs/>
          <w:sz w:val="32"/>
          <w:szCs w:val="32"/>
        </w:rPr>
      </w:pPr>
      <w:r w:rsidRPr="00522DA0">
        <w:rPr>
          <w:rFonts w:ascii="宋体"/>
          <w:b/>
          <w:bCs/>
          <w:kern w:val="0"/>
          <w:sz w:val="32"/>
          <w:szCs w:val="32"/>
        </w:rPr>
        <w:t>2022年第1季度投资组合报告</w:t>
      </w:r>
    </w:p>
    <w:p w14:paraId="7C360C7C" w14:textId="77777777" w:rsidR="0087732F" w:rsidRDefault="0087732F" w:rsidP="00CC1887">
      <w:pPr>
        <w:spacing w:beforeLines="20" w:before="62" w:afterLines="10" w:after="31" w:line="360" w:lineRule="auto"/>
        <w:rPr>
          <w:rFonts w:ascii="宋体"/>
        </w:rPr>
      </w:pPr>
    </w:p>
    <w:p w14:paraId="4089EDBA" w14:textId="6FB6BAEC" w:rsidR="0087732F" w:rsidRDefault="0087732F" w:rsidP="00CC1887">
      <w:pPr>
        <w:spacing w:beforeLines="20" w:before="62" w:afterLines="10" w:after="31"/>
        <w:rPr>
          <w:rFonts w:ascii="宋体" w:hAnsi="宋体" w:cs="宋体"/>
        </w:rPr>
      </w:pPr>
      <w:r w:rsidRPr="00DE6800">
        <w:rPr>
          <w:rFonts w:ascii="宋体" w:hAnsi="宋体" w:cs="宋体" w:hint="eastAsia"/>
        </w:rPr>
        <w:t>填制机构：易方达基金管理有限公司</w:t>
      </w:r>
    </w:p>
    <w:p w14:paraId="02752430" w14:textId="77777777" w:rsidR="00522DA0" w:rsidRPr="00C10BA9" w:rsidRDefault="00522DA0" w:rsidP="00522DA0">
      <w:pPr>
        <w:spacing w:beforeLines="20" w:before="62" w:afterLines="10" w:after="31"/>
        <w:rPr>
          <w:rFonts w:ascii="宋体" w:hAnsi="宋体" w:cs="宋体"/>
        </w:rPr>
      </w:pPr>
      <w:r w:rsidRPr="00C10BA9">
        <w:rPr>
          <w:rFonts w:ascii="宋体" w:hAnsi="宋体" w:cs="宋体" w:hint="eastAsia"/>
        </w:rPr>
        <w:t>报告期间：2022年01月01日至2022年03月31日</w:t>
      </w:r>
    </w:p>
    <w:p w14:paraId="62F9F444" w14:textId="1D1D8EB9" w:rsidR="00522DA0" w:rsidRPr="009303E7" w:rsidRDefault="00522DA0" w:rsidP="00522DA0">
      <w:pPr>
        <w:rPr>
          <w:rFonts w:ascii="宋体" w:hAnsi="宋体" w:cs="宋体"/>
          <w:color w:val="000000"/>
          <w:kern w:val="0"/>
          <w:sz w:val="22"/>
          <w:szCs w:val="22"/>
        </w:rPr>
      </w:pPr>
      <w:r w:rsidRPr="00DE6800">
        <w:rPr>
          <w:rFonts w:ascii="宋体" w:hAnsi="宋体" w:cs="宋体" w:hint="eastAsia"/>
        </w:rPr>
        <w:t>填制日期：2022年04月</w:t>
      </w:r>
    </w:p>
    <w:p w14:paraId="17DE9F25" w14:textId="77777777" w:rsidR="00B30E80" w:rsidRPr="009303E7" w:rsidRDefault="00B30E80" w:rsidP="00C54CEE">
      <w:pPr>
        <w:rPr>
          <w:rFonts w:ascii="宋体" w:hAnsi="宋体" w:cs="宋体"/>
          <w:color w:val="000000"/>
          <w:kern w:val="0"/>
          <w:sz w:val="22"/>
          <w:szCs w:val="22"/>
        </w:rPr>
      </w:pPr>
    </w:p>
    <w:p w14:paraId="1A163853" w14:textId="77777777" w:rsidR="0087732F" w:rsidRDefault="0087732F" w:rsidP="00CC1887">
      <w:pPr>
        <w:spacing w:beforeLines="20" w:before="62" w:afterLines="20" w:after="62"/>
        <w:outlineLvl w:val="0"/>
        <w:rPr>
          <w:rFonts w:ascii="宋体"/>
          <w:sz w:val="24"/>
          <w:szCs w:val="24"/>
        </w:rPr>
      </w:pPr>
      <w:r w:rsidRPr="00015FC8">
        <w:rPr>
          <w:rFonts w:ascii="宋体" w:cs="宋体" w:hint="eastAsia"/>
          <w:b/>
          <w:bCs/>
          <w:sz w:val="24"/>
          <w:szCs w:val="24"/>
        </w:rPr>
        <w:t>一、基本情况</w:t>
      </w:r>
    </w:p>
    <w:tbl>
      <w:tblPr>
        <w:tblStyle w:val="a5"/>
        <w:tblW w:w="5000" w:type="pct"/>
        <w:tblLayout w:type="fixed"/>
        <w:tblLook w:val="01E0" w:firstRow="1" w:lastRow="1" w:firstColumn="1" w:lastColumn="1" w:noHBand="0" w:noVBand="0"/>
      </w:tblPr>
      <w:tblGrid>
        <w:gridCol w:w="3226"/>
        <w:gridCol w:w="5296"/>
      </w:tblGrid>
      <w:tr w:rsidR="00522DA0" w:rsidRPr="00015FC8" w14:paraId="4AC0503C" w14:textId="77777777" w:rsidTr="003D05DD">
        <w:trPr>
          <w:trHeight w:val="285"/>
        </w:trPr>
        <w:tc>
          <w:tcPr>
            <w:tcW w:w="1893" w:type="pct"/>
            <w:noWrap/>
          </w:tcPr>
          <w:p w14:paraId="617B799A" w14:textId="77777777" w:rsidR="00522DA0" w:rsidRPr="00DE6800" w:rsidRDefault="00522DA0" w:rsidP="00522DA0">
            <w:pPr>
              <w:spacing w:beforeLines="20" w:before="62" w:afterLines="10" w:after="31"/>
              <w:rPr>
                <w:rFonts w:ascii="宋体"/>
                <w:kern w:val="2"/>
                <w:sz w:val="21"/>
              </w:rPr>
            </w:pPr>
            <w:r w:rsidRPr="00DE6800">
              <w:rPr>
                <w:rFonts w:ascii="宋体" w:cs="宋体" w:hint="eastAsia"/>
                <w:kern w:val="2"/>
                <w:sz w:val="21"/>
              </w:rPr>
              <w:t>委托人：</w:t>
            </w:r>
          </w:p>
        </w:tc>
        <w:tc>
          <w:tcPr>
            <w:tcW w:w="3107" w:type="pct"/>
            <w:noWrap/>
          </w:tcPr>
          <w:p w14:paraId="58F504A7" w14:textId="56F3567D" w:rsidR="00522DA0" w:rsidRPr="00712BB6" w:rsidRDefault="00320138" w:rsidP="00522DA0">
            <w:pPr>
              <w:spacing w:beforeLines="20" w:before="62" w:afterLines="10" w:after="31"/>
              <w:jc w:val="right"/>
              <w:rPr>
                <w:rFonts w:ascii="宋体"/>
                <w:kern w:val="2"/>
                <w:sz w:val="21"/>
              </w:rPr>
            </w:pPr>
            <w:r w:rsidRPr="004E5048">
              <w:rPr>
                <w:rFonts w:ascii="宋体" w:hAnsi="宋体" w:cs="宋体" w:hint="eastAsia"/>
                <w:sz w:val="21"/>
              </w:rPr>
              <w:t>湖南省财信信托有限责任公司（代表“财信FOF金牛1号集合资金信托计划”）</w:t>
            </w:r>
          </w:p>
        </w:tc>
      </w:tr>
      <w:tr w:rsidR="00522DA0" w:rsidRPr="00015FC8" w14:paraId="111C9696" w14:textId="77777777" w:rsidTr="003D05DD">
        <w:trPr>
          <w:trHeight w:val="285"/>
        </w:trPr>
        <w:tc>
          <w:tcPr>
            <w:tcW w:w="1893" w:type="pct"/>
            <w:noWrap/>
          </w:tcPr>
          <w:p w14:paraId="4ED2F845" w14:textId="3630FDFC" w:rsidR="00522DA0" w:rsidRPr="00DE6800" w:rsidRDefault="008E71FD" w:rsidP="00522DA0">
            <w:pPr>
              <w:spacing w:beforeLines="20" w:before="62" w:afterLines="10" w:after="31"/>
              <w:rPr>
                <w:rFonts w:ascii="宋体"/>
                <w:kern w:val="2"/>
                <w:sz w:val="21"/>
              </w:rPr>
            </w:pPr>
            <w:r>
              <w:rPr>
                <w:rFonts w:ascii="宋体" w:cs="宋体" w:hint="eastAsia"/>
                <w:kern w:val="2"/>
                <w:sz w:val="21"/>
              </w:rPr>
              <w:t>资产</w:t>
            </w:r>
            <w:r w:rsidR="00522DA0" w:rsidRPr="00DE6800">
              <w:rPr>
                <w:rFonts w:ascii="宋体" w:cs="宋体" w:hint="eastAsia"/>
                <w:kern w:val="2"/>
                <w:sz w:val="21"/>
              </w:rPr>
              <w:t>托管人：</w:t>
            </w:r>
          </w:p>
        </w:tc>
        <w:tc>
          <w:tcPr>
            <w:tcW w:w="3107" w:type="pct"/>
            <w:noWrap/>
          </w:tcPr>
          <w:p w14:paraId="0E8B4D2E" w14:textId="7D3348C9" w:rsidR="00522DA0" w:rsidRPr="00AA547A" w:rsidRDefault="00522DA0" w:rsidP="00522DA0">
            <w:pPr>
              <w:spacing w:beforeLines="20" w:before="62" w:afterLines="10" w:after="31"/>
              <w:jc w:val="right"/>
              <w:rPr>
                <w:rFonts w:ascii="宋体" w:hAnsi="宋体" w:cs="宋体"/>
                <w:sz w:val="21"/>
              </w:rPr>
            </w:pPr>
            <w:r w:rsidRPr="004E5048">
              <w:rPr>
                <w:rFonts w:ascii="宋体" w:hAnsi="宋体" w:cs="宋体" w:hint="eastAsia"/>
                <w:sz w:val="21"/>
              </w:rPr>
              <w:t>中国建设银行股份有限公司湖南省分行</w:t>
            </w:r>
          </w:p>
        </w:tc>
      </w:tr>
      <w:tr w:rsidR="00712BB6" w:rsidRPr="00015FC8" w14:paraId="55302023" w14:textId="77777777" w:rsidTr="003D05DD">
        <w:trPr>
          <w:trHeight w:val="285"/>
        </w:trPr>
        <w:tc>
          <w:tcPr>
            <w:tcW w:w="1893" w:type="pct"/>
          </w:tcPr>
          <w:p w14:paraId="10C9A6CD" w14:textId="77777777" w:rsidR="00712BB6" w:rsidRPr="00DE6800" w:rsidRDefault="00712BB6" w:rsidP="00712BB6">
            <w:pPr>
              <w:spacing w:beforeLines="20" w:before="62" w:afterLines="10" w:after="31"/>
              <w:rPr>
                <w:rFonts w:ascii="宋体"/>
                <w:kern w:val="2"/>
                <w:sz w:val="21"/>
              </w:rPr>
            </w:pPr>
            <w:r w:rsidRPr="00DE6800">
              <w:rPr>
                <w:rFonts w:ascii="宋体" w:cs="宋体" w:hint="eastAsia"/>
                <w:kern w:val="2"/>
                <w:sz w:val="21"/>
              </w:rPr>
              <w:t>投资管理人：</w:t>
            </w:r>
          </w:p>
        </w:tc>
        <w:tc>
          <w:tcPr>
            <w:tcW w:w="3107" w:type="pct"/>
            <w:noWrap/>
          </w:tcPr>
          <w:p w14:paraId="2310C3B1" w14:textId="5F43724C" w:rsidR="00712BB6" w:rsidRPr="00712BB6" w:rsidRDefault="00712BB6" w:rsidP="00712BB6">
            <w:pPr>
              <w:spacing w:beforeLines="20" w:before="62" w:afterLines="10" w:after="31"/>
              <w:jc w:val="right"/>
              <w:rPr>
                <w:rFonts w:ascii="宋体"/>
                <w:kern w:val="2"/>
                <w:sz w:val="21"/>
              </w:rPr>
            </w:pPr>
            <w:r w:rsidRPr="00712BB6">
              <w:rPr>
                <w:rFonts w:ascii="宋体" w:cs="宋体" w:hint="eastAsia"/>
                <w:sz w:val="21"/>
              </w:rPr>
              <w:t>易方达基金管理有限公司</w:t>
            </w:r>
          </w:p>
        </w:tc>
      </w:tr>
      <w:tr w:rsidR="00712BB6" w:rsidRPr="00015FC8" w14:paraId="595A410E" w14:textId="77777777" w:rsidTr="003D05DD">
        <w:trPr>
          <w:trHeight w:val="285"/>
        </w:trPr>
        <w:tc>
          <w:tcPr>
            <w:tcW w:w="1893" w:type="pct"/>
          </w:tcPr>
          <w:p w14:paraId="324DB974" w14:textId="77777777" w:rsidR="00712BB6" w:rsidRPr="00DE6800" w:rsidRDefault="00712BB6" w:rsidP="00712BB6">
            <w:pPr>
              <w:spacing w:beforeLines="20" w:before="62" w:afterLines="10" w:after="31"/>
              <w:rPr>
                <w:rFonts w:ascii="宋体"/>
                <w:kern w:val="2"/>
                <w:sz w:val="21"/>
              </w:rPr>
            </w:pPr>
            <w:r w:rsidRPr="00DE6800">
              <w:rPr>
                <w:rFonts w:ascii="宋体" w:cs="宋体" w:hint="eastAsia"/>
                <w:kern w:val="2"/>
                <w:sz w:val="21"/>
              </w:rPr>
              <w:t>投资经理：</w:t>
            </w:r>
          </w:p>
        </w:tc>
        <w:tc>
          <w:tcPr>
            <w:tcW w:w="3107" w:type="pct"/>
            <w:noWrap/>
          </w:tcPr>
          <w:p w14:paraId="6AD06FB4" w14:textId="337C3697" w:rsidR="00712BB6" w:rsidRPr="00AA547A" w:rsidRDefault="00320138" w:rsidP="00712BB6">
            <w:pPr>
              <w:spacing w:beforeLines="20" w:before="62" w:afterLines="10" w:after="31"/>
              <w:jc w:val="right"/>
              <w:rPr>
                <w:rFonts w:ascii="宋体" w:hAnsi="宋体" w:cs="宋体"/>
                <w:sz w:val="21"/>
              </w:rPr>
            </w:pPr>
            <w:r w:rsidRPr="00571BAD">
              <w:rPr>
                <w:rFonts w:ascii="宋体" w:hAnsi="宋体" w:cs="宋体" w:hint="eastAsia"/>
                <w:sz w:val="21"/>
              </w:rPr>
              <w:t>朴一</w:t>
            </w:r>
          </w:p>
        </w:tc>
      </w:tr>
      <w:tr w:rsidR="0072103E" w:rsidRPr="00754FEC" w14:paraId="546DA53C" w14:textId="77777777" w:rsidTr="003D05DD">
        <w:trPr>
          <w:trHeight w:val="285"/>
        </w:trPr>
        <w:tc>
          <w:tcPr>
            <w:tcW w:w="1893" w:type="pct"/>
          </w:tcPr>
          <w:p w14:paraId="767E88E1" w14:textId="77777777" w:rsidR="0072103E" w:rsidRPr="00DE6800" w:rsidRDefault="0072103E" w:rsidP="00CC1887">
            <w:pPr>
              <w:spacing w:beforeLines="20" w:before="62" w:afterLines="10" w:after="31"/>
              <w:rPr>
                <w:rFonts w:ascii="宋体"/>
                <w:kern w:val="2"/>
                <w:sz w:val="21"/>
              </w:rPr>
            </w:pPr>
            <w:r w:rsidRPr="00DE6800">
              <w:rPr>
                <w:rFonts w:ascii="宋体" w:cs="宋体" w:hint="eastAsia"/>
                <w:kern w:val="2"/>
                <w:sz w:val="21"/>
              </w:rPr>
              <w:t>委托资产运作起始日：</w:t>
            </w:r>
          </w:p>
        </w:tc>
        <w:tc>
          <w:tcPr>
            <w:tcW w:w="3107" w:type="pct"/>
            <w:noWrap/>
          </w:tcPr>
          <w:p w14:paraId="6F5614EC" w14:textId="11069D11" w:rsidR="0072103E" w:rsidRPr="004E5048" w:rsidRDefault="00C95D86" w:rsidP="00CC1887">
            <w:pPr>
              <w:spacing w:beforeLines="20" w:before="62" w:afterLines="10" w:after="31"/>
              <w:jc w:val="right"/>
              <w:rPr>
                <w:rFonts w:ascii="宋体"/>
                <w:kern w:val="2"/>
                <w:sz w:val="21"/>
              </w:rPr>
            </w:pPr>
            <w:r w:rsidRPr="00C95D86">
              <w:rPr>
                <w:rFonts w:ascii="宋体" w:hAnsi="宋体" w:cs="宋体"/>
                <w:sz w:val="21"/>
              </w:rPr>
              <w:t>2021-06-01</w:t>
            </w:r>
          </w:p>
        </w:tc>
      </w:tr>
    </w:tbl>
    <w:p w14:paraId="69F5A67F" w14:textId="77777777" w:rsidR="00336544" w:rsidRDefault="00336544" w:rsidP="00CC1887">
      <w:pPr>
        <w:spacing w:beforeLines="20" w:before="62" w:afterLines="20" w:after="62"/>
        <w:rPr>
          <w:rFonts w:ascii="宋体"/>
          <w:b/>
          <w:bCs/>
          <w:sz w:val="24"/>
          <w:szCs w:val="24"/>
        </w:rPr>
      </w:pPr>
    </w:p>
    <w:p w14:paraId="0E85BCA1" w14:textId="77777777" w:rsidR="00F30689" w:rsidRPr="00507453" w:rsidRDefault="00F30689" w:rsidP="00507453">
      <w:pPr>
        <w:spacing w:beforeLines="20" w:before="62" w:afterLines="20" w:after="62"/>
        <w:outlineLvl w:val="0"/>
        <w:rPr>
          <w:rFonts w:ascii="宋体" w:cs="宋体"/>
          <w:b/>
          <w:bCs/>
          <w:sz w:val="24"/>
          <w:szCs w:val="24"/>
        </w:rPr>
      </w:pPr>
      <w:r w:rsidRPr="00507453">
        <w:rPr>
          <w:rFonts w:ascii="宋体" w:cs="宋体" w:hint="eastAsia"/>
          <w:b/>
          <w:bCs/>
          <w:sz w:val="24"/>
          <w:szCs w:val="24"/>
        </w:rPr>
        <w:t>二、主要财务指标</w:t>
      </w:r>
    </w:p>
    <w:p w14:paraId="3BA2268F" w14:textId="77777777" w:rsidR="00F30689" w:rsidRDefault="00F30689" w:rsidP="00F30689">
      <w:pPr>
        <w:snapToGrid w:val="0"/>
        <w:spacing w:line="360" w:lineRule="auto"/>
        <w:ind w:firstLineChars="2789" w:firstLine="5857"/>
        <w:rPr>
          <w:rFonts w:ascii="宋体"/>
        </w:rPr>
      </w:pPr>
      <w:r>
        <w:rPr>
          <w:rFonts w:ascii="宋体" w:hAnsi="宋体" w:cs="宋体" w:hint="eastAsia"/>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5933"/>
      </w:tblGrid>
      <w:tr w:rsidR="00F30689" w14:paraId="38216545" w14:textId="77777777" w:rsidTr="008C06C0">
        <w:trPr>
          <w:trHeight w:val="322"/>
        </w:trPr>
        <w:tc>
          <w:tcPr>
            <w:tcW w:w="1519" w:type="pct"/>
            <w:vAlign w:val="center"/>
          </w:tcPr>
          <w:p w14:paraId="56AE0D05" w14:textId="77777777" w:rsidR="00F30689" w:rsidRDefault="00F30689" w:rsidP="008C06C0">
            <w:pPr>
              <w:snapToGrid w:val="0"/>
              <w:spacing w:line="360" w:lineRule="auto"/>
              <w:jc w:val="center"/>
              <w:rPr>
                <w:rFonts w:ascii="宋体"/>
              </w:rPr>
            </w:pPr>
            <w:bookmarkStart w:id="0" w:name="cwzbfz_table"/>
            <w:bookmarkEnd w:id="0"/>
            <w:r>
              <w:rPr>
                <w:rFonts w:ascii="宋体" w:hAnsi="宋体" w:cs="宋体" w:hint="eastAsia"/>
              </w:rPr>
              <w:t>主要财务指标</w:t>
            </w:r>
          </w:p>
        </w:tc>
        <w:tc>
          <w:tcPr>
            <w:tcW w:w="3481" w:type="pct"/>
            <w:vAlign w:val="center"/>
          </w:tcPr>
          <w:p w14:paraId="6E36672F" w14:textId="77777777" w:rsidR="00F30689" w:rsidRDefault="00F30689" w:rsidP="008C06C0">
            <w:pPr>
              <w:snapToGrid w:val="0"/>
              <w:spacing w:line="360" w:lineRule="auto"/>
              <w:jc w:val="center"/>
              <w:rPr>
                <w:rFonts w:ascii="宋体"/>
              </w:rPr>
            </w:pPr>
            <w:r>
              <w:rPr>
                <w:rFonts w:ascii="宋体" w:hAnsi="宋体" w:cs="宋体" w:hint="eastAsia"/>
              </w:rPr>
              <w:t>本报告期</w:t>
            </w:r>
          </w:p>
        </w:tc>
      </w:tr>
      <w:tr w:rsidR="00DC65B3" w14:paraId="7715E51B" w14:textId="77777777" w:rsidTr="008C06C0">
        <w:trPr>
          <w:trHeight w:val="322"/>
        </w:trPr>
        <w:tc>
          <w:tcPr>
            <w:tcW w:w="1519" w:type="pct"/>
            <w:vAlign w:val="center"/>
          </w:tcPr>
          <w:p w14:paraId="7436D0D2" w14:textId="77777777" w:rsidR="00DC65B3" w:rsidRDefault="00DC65B3" w:rsidP="00DC65B3">
            <w:pPr>
              <w:snapToGrid w:val="0"/>
              <w:spacing w:line="360" w:lineRule="auto"/>
              <w:jc w:val="left"/>
              <w:rPr>
                <w:rFonts w:ascii="宋体"/>
              </w:rPr>
            </w:pPr>
            <w:r>
              <w:rPr>
                <w:rFonts w:ascii="宋体" w:hAnsi="宋体" w:cs="宋体"/>
              </w:rPr>
              <w:t>1.</w:t>
            </w:r>
            <w:r>
              <w:rPr>
                <w:rFonts w:ascii="宋体" w:hAnsi="宋体" w:cs="宋体" w:hint="eastAsia"/>
              </w:rPr>
              <w:t>本期已实现收益</w:t>
            </w:r>
          </w:p>
        </w:tc>
        <w:tc>
          <w:tcPr>
            <w:tcW w:w="3481" w:type="pct"/>
            <w:vAlign w:val="center"/>
          </w:tcPr>
          <w:p w14:paraId="75F5F070" w14:textId="6AC44448" w:rsidR="00DC65B3" w:rsidRPr="00CD3FCF" w:rsidRDefault="00605A92" w:rsidP="00DC65B3">
            <w:pPr>
              <w:snapToGrid w:val="0"/>
              <w:spacing w:line="360" w:lineRule="auto"/>
              <w:jc w:val="right"/>
              <w:rPr>
                <w:rFonts w:ascii="宋体"/>
              </w:rPr>
            </w:pPr>
            <w:r w:rsidRPr="00CD3FCF">
              <w:rPr>
                <w:rFonts w:ascii="宋体" w:hAnsi="宋体" w:cs="宋体" w:hint="eastAsia"/>
              </w:rPr>
              <w:t>55,018.04</w:t>
            </w:r>
          </w:p>
        </w:tc>
      </w:tr>
      <w:tr w:rsidR="00DC65B3" w14:paraId="2F8FCC49" w14:textId="77777777" w:rsidTr="008C06C0">
        <w:trPr>
          <w:trHeight w:val="322"/>
        </w:trPr>
        <w:tc>
          <w:tcPr>
            <w:tcW w:w="1519" w:type="pct"/>
            <w:vAlign w:val="center"/>
          </w:tcPr>
          <w:p w14:paraId="1E0336B8" w14:textId="77777777" w:rsidR="00DC65B3" w:rsidRDefault="00DC65B3" w:rsidP="00DC65B3">
            <w:pPr>
              <w:snapToGrid w:val="0"/>
              <w:spacing w:line="360" w:lineRule="auto"/>
              <w:jc w:val="left"/>
              <w:rPr>
                <w:rFonts w:ascii="宋体" w:hAnsi="宋体" w:cs="宋体"/>
              </w:rPr>
            </w:pPr>
            <w:r>
              <w:rPr>
                <w:rFonts w:ascii="宋体" w:hAnsi="宋体" w:cs="宋体"/>
              </w:rPr>
              <w:t>2.</w:t>
            </w:r>
            <w:r>
              <w:rPr>
                <w:rFonts w:ascii="宋体" w:hAnsi="宋体" w:cs="宋体" w:hint="eastAsia"/>
              </w:rPr>
              <w:t>本期利润</w:t>
            </w:r>
            <w:r>
              <w:rPr>
                <w:rFonts w:ascii="宋体" w:hAnsi="宋体" w:cs="宋体"/>
              </w:rPr>
              <w:t xml:space="preserve"> </w:t>
            </w:r>
          </w:p>
        </w:tc>
        <w:tc>
          <w:tcPr>
            <w:tcW w:w="3481" w:type="pct"/>
            <w:vAlign w:val="center"/>
          </w:tcPr>
          <w:p w14:paraId="7C56F8B2" w14:textId="7B0412C0" w:rsidR="00DC65B3" w:rsidRPr="00CD3FCF" w:rsidRDefault="00605A92" w:rsidP="00DC65B3">
            <w:pPr>
              <w:snapToGrid w:val="0"/>
              <w:spacing w:line="360" w:lineRule="auto"/>
              <w:jc w:val="right"/>
              <w:rPr>
                <w:rFonts w:ascii="宋体"/>
              </w:rPr>
            </w:pPr>
            <w:r w:rsidRPr="00605A92">
              <w:rPr>
                <w:rFonts w:ascii="宋体"/>
              </w:rPr>
              <w:t>-538,007.40</w:t>
            </w:r>
          </w:p>
        </w:tc>
      </w:tr>
      <w:tr w:rsidR="00605A92" w14:paraId="63D35BCA" w14:textId="77777777" w:rsidTr="005B2CC2">
        <w:trPr>
          <w:trHeight w:val="340"/>
        </w:trPr>
        <w:tc>
          <w:tcPr>
            <w:tcW w:w="1519" w:type="pct"/>
            <w:vAlign w:val="center"/>
          </w:tcPr>
          <w:p w14:paraId="3A9CDDAB" w14:textId="77777777" w:rsidR="00605A92" w:rsidRDefault="00605A92" w:rsidP="00605A92">
            <w:pPr>
              <w:snapToGrid w:val="0"/>
              <w:spacing w:line="360" w:lineRule="auto"/>
              <w:jc w:val="left"/>
              <w:rPr>
                <w:rFonts w:ascii="宋体"/>
              </w:rPr>
            </w:pPr>
            <w:r>
              <w:rPr>
                <w:rFonts w:ascii="宋体" w:hAnsi="宋体" w:cs="宋体"/>
              </w:rPr>
              <w:t>3.</w:t>
            </w:r>
            <w:r>
              <w:rPr>
                <w:rFonts w:ascii="宋体" w:hAnsi="宋体" w:cs="宋体" w:hint="eastAsia"/>
              </w:rPr>
              <w:t>期末资产净值</w:t>
            </w:r>
          </w:p>
        </w:tc>
        <w:tc>
          <w:tcPr>
            <w:tcW w:w="3481" w:type="pct"/>
          </w:tcPr>
          <w:p w14:paraId="2EF0B819" w14:textId="3A5A0852" w:rsidR="00605A92" w:rsidRDefault="00605A92" w:rsidP="00605A92">
            <w:pPr>
              <w:snapToGrid w:val="0"/>
              <w:spacing w:line="360" w:lineRule="auto"/>
              <w:jc w:val="right"/>
              <w:rPr>
                <w:rFonts w:ascii="宋体"/>
              </w:rPr>
            </w:pPr>
            <w:r w:rsidRPr="004E5048">
              <w:rPr>
                <w:rFonts w:ascii="宋体" w:hAnsi="宋体" w:cs="宋体" w:hint="eastAsia"/>
              </w:rPr>
              <w:t>16,747,658.27</w:t>
            </w:r>
          </w:p>
        </w:tc>
      </w:tr>
      <w:tr w:rsidR="00605A92" w:rsidRPr="00944974" w14:paraId="79FA7707" w14:textId="77777777" w:rsidTr="005B2CC2">
        <w:trPr>
          <w:trHeight w:val="322"/>
        </w:trPr>
        <w:tc>
          <w:tcPr>
            <w:tcW w:w="1519" w:type="pct"/>
            <w:vAlign w:val="center"/>
          </w:tcPr>
          <w:p w14:paraId="3E7543E0" w14:textId="77777777" w:rsidR="00605A92" w:rsidRDefault="00605A92" w:rsidP="00605A92">
            <w:pPr>
              <w:snapToGrid w:val="0"/>
              <w:spacing w:line="360" w:lineRule="auto"/>
              <w:jc w:val="left"/>
              <w:rPr>
                <w:rFonts w:ascii="宋体"/>
              </w:rPr>
            </w:pPr>
            <w:r>
              <w:rPr>
                <w:rFonts w:ascii="宋体" w:hAnsi="宋体" w:cs="宋体"/>
              </w:rPr>
              <w:t>4.</w:t>
            </w:r>
            <w:r>
              <w:rPr>
                <w:rFonts w:ascii="宋体" w:hAnsi="宋体" w:cs="宋体" w:hint="eastAsia"/>
              </w:rPr>
              <w:t>期末资产份额净值</w:t>
            </w:r>
          </w:p>
        </w:tc>
        <w:tc>
          <w:tcPr>
            <w:tcW w:w="3481" w:type="pct"/>
          </w:tcPr>
          <w:p w14:paraId="33B9CD01" w14:textId="402E51F9" w:rsidR="00605A92" w:rsidRDefault="00605A92" w:rsidP="00605A92">
            <w:pPr>
              <w:snapToGrid w:val="0"/>
              <w:spacing w:line="360" w:lineRule="auto"/>
              <w:jc w:val="right"/>
              <w:rPr>
                <w:rFonts w:ascii="宋体"/>
              </w:rPr>
            </w:pPr>
            <w:r w:rsidRPr="00605A92">
              <w:rPr>
                <w:rFonts w:ascii="宋体" w:hAnsi="宋体" w:cs="宋体"/>
              </w:rPr>
              <w:t xml:space="preserve">0.997　</w:t>
            </w:r>
          </w:p>
        </w:tc>
      </w:tr>
    </w:tbl>
    <w:p w14:paraId="18B53551" w14:textId="77777777" w:rsidR="00F30689" w:rsidRDefault="00F30689" w:rsidP="00F30689">
      <w:pPr>
        <w:autoSpaceDE w:val="0"/>
        <w:autoSpaceDN w:val="0"/>
        <w:adjustRightInd w:val="0"/>
        <w:snapToGrid w:val="0"/>
        <w:spacing w:line="360" w:lineRule="auto"/>
        <w:ind w:left="-180" w:right="114"/>
        <w:rPr>
          <w:rFonts w:ascii="宋体" w:hAnsi="Arial" w:cs="宋体"/>
          <w:color w:val="000000"/>
          <w:kern w:val="0"/>
        </w:rPr>
      </w:pPr>
      <w:r w:rsidRPr="00055992">
        <w:rPr>
          <w:rFonts w:ascii="宋体" w:hAnsi="Arial" w:cs="宋体" w:hint="eastAsia"/>
          <w:color w:val="000000"/>
          <w:kern w:val="0"/>
        </w:rPr>
        <w:t>注：本期已实现收益指基金本期利息收入、投资收益、其他收入（不含公允价值变动收益）扣除相关</w:t>
      </w:r>
      <w:r>
        <w:rPr>
          <w:rFonts w:ascii="宋体" w:hAnsi="Arial" w:cs="宋体" w:hint="eastAsia"/>
          <w:color w:val="000000"/>
          <w:kern w:val="0"/>
        </w:rPr>
        <w:t>费用后的余额，本期利润为本期已实现收益加上本期公允价值变动收益。</w:t>
      </w:r>
    </w:p>
    <w:p w14:paraId="1C635C91" w14:textId="77777777" w:rsidR="00C17185" w:rsidRPr="00055992" w:rsidRDefault="00C17185" w:rsidP="00F30689">
      <w:pPr>
        <w:autoSpaceDE w:val="0"/>
        <w:autoSpaceDN w:val="0"/>
        <w:adjustRightInd w:val="0"/>
        <w:snapToGrid w:val="0"/>
        <w:spacing w:line="360" w:lineRule="auto"/>
        <w:ind w:left="-180" w:right="114"/>
        <w:rPr>
          <w:rFonts w:ascii="宋体" w:hAnsi="Arial"/>
          <w:color w:val="000000"/>
          <w:kern w:val="0"/>
        </w:rPr>
      </w:pPr>
    </w:p>
    <w:p w14:paraId="4B55F919" w14:textId="5CC1BA87" w:rsidR="00C17185" w:rsidRDefault="0034758D" w:rsidP="00C17185">
      <w:pPr>
        <w:spacing w:beforeLines="20" w:before="62" w:afterLines="20" w:after="62" w:line="360" w:lineRule="auto"/>
        <w:outlineLvl w:val="0"/>
        <w:rPr>
          <w:rFonts w:ascii="宋体" w:cs="宋体"/>
          <w:b/>
          <w:bCs/>
          <w:sz w:val="24"/>
          <w:szCs w:val="24"/>
        </w:rPr>
      </w:pPr>
      <w:r>
        <w:rPr>
          <w:rFonts w:ascii="宋体" w:cs="宋体" w:hint="eastAsia"/>
          <w:b/>
          <w:bCs/>
          <w:sz w:val="24"/>
          <w:szCs w:val="24"/>
        </w:rPr>
        <w:t>三</w:t>
      </w:r>
      <w:r w:rsidR="00C17185">
        <w:rPr>
          <w:rFonts w:ascii="宋体" w:cs="宋体"/>
          <w:b/>
          <w:bCs/>
          <w:sz w:val="24"/>
          <w:szCs w:val="24"/>
        </w:rPr>
        <w:t>、</w:t>
      </w:r>
      <w:r w:rsidR="00C17185">
        <w:rPr>
          <w:rFonts w:ascii="宋体" w:cs="宋体" w:hint="eastAsia"/>
          <w:b/>
          <w:bCs/>
          <w:sz w:val="24"/>
          <w:szCs w:val="24"/>
        </w:rPr>
        <w:t>期间组合收益</w:t>
      </w:r>
      <w:r w:rsidR="00C17185" w:rsidRPr="00B30E80">
        <w:rPr>
          <w:rFonts w:ascii="宋体" w:cs="宋体" w:hint="eastAsia"/>
          <w:b/>
          <w:bCs/>
          <w:sz w:val="24"/>
          <w:szCs w:val="24"/>
        </w:rPr>
        <w:t>分配情况</w:t>
      </w:r>
    </w:p>
    <w:p w14:paraId="0A83DD06" w14:textId="77777777" w:rsidR="003D05DD" w:rsidRDefault="003D05DD" w:rsidP="003D05DD">
      <w:pPr>
        <w:snapToGrid w:val="0"/>
        <w:spacing w:line="360" w:lineRule="auto"/>
        <w:ind w:firstLineChars="200" w:firstLine="420"/>
      </w:pPr>
      <w:r>
        <w:rPr>
          <w:rFonts w:hint="eastAsia"/>
        </w:rPr>
        <w:t>本</w:t>
      </w:r>
      <w:r>
        <w:t>报告期内</w:t>
      </w:r>
      <w:r>
        <w:rPr>
          <w:rFonts w:hint="eastAsia"/>
        </w:rPr>
        <w:t>无</w:t>
      </w:r>
      <w:r>
        <w:t>分红。</w:t>
      </w:r>
    </w:p>
    <w:p w14:paraId="6B67F743" w14:textId="77777777" w:rsidR="00F30689" w:rsidRDefault="00F30689" w:rsidP="00CC1887">
      <w:pPr>
        <w:spacing w:beforeLines="20" w:before="62" w:afterLines="20" w:after="62"/>
        <w:rPr>
          <w:rFonts w:ascii="宋体"/>
          <w:b/>
          <w:bCs/>
          <w:sz w:val="24"/>
          <w:szCs w:val="24"/>
        </w:rPr>
      </w:pPr>
    </w:p>
    <w:p w14:paraId="4ACE0947" w14:textId="77777777" w:rsidR="00E12F6C" w:rsidRDefault="00E12F6C" w:rsidP="00ED3882">
      <w:pPr>
        <w:spacing w:beforeLines="20" w:before="62" w:afterLines="20" w:after="62"/>
        <w:outlineLvl w:val="0"/>
        <w:rPr>
          <w:rFonts w:ascii="宋体" w:cs="宋体"/>
          <w:b/>
          <w:bCs/>
          <w:sz w:val="24"/>
          <w:szCs w:val="24"/>
        </w:rPr>
      </w:pPr>
      <w:r w:rsidRPr="00C33303">
        <w:rPr>
          <w:rFonts w:ascii="宋体" w:cs="宋体" w:hint="eastAsia"/>
          <w:b/>
          <w:bCs/>
          <w:sz w:val="24"/>
          <w:szCs w:val="24"/>
        </w:rPr>
        <w:t>四、</w:t>
      </w:r>
      <w:r>
        <w:rPr>
          <w:rFonts w:ascii="宋体" w:cs="宋体" w:hint="eastAsia"/>
          <w:b/>
          <w:bCs/>
          <w:sz w:val="24"/>
          <w:szCs w:val="24"/>
        </w:rPr>
        <w:t>投资</w:t>
      </w:r>
      <w:r>
        <w:rPr>
          <w:rFonts w:ascii="宋体" w:cs="宋体"/>
          <w:b/>
          <w:bCs/>
          <w:sz w:val="24"/>
          <w:szCs w:val="24"/>
        </w:rPr>
        <w:t>表现（</w:t>
      </w:r>
      <w:r w:rsidRPr="00C33303">
        <w:rPr>
          <w:rFonts w:ascii="宋体" w:cs="宋体" w:hint="eastAsia"/>
          <w:b/>
          <w:bCs/>
          <w:sz w:val="24"/>
          <w:szCs w:val="24"/>
        </w:rPr>
        <w:t>投资组合绩效情况</w:t>
      </w:r>
      <w:r>
        <w:rPr>
          <w:rFonts w:ascii="宋体" w:cs="宋体" w:hint="eastAsia"/>
          <w:b/>
          <w:bCs/>
          <w:sz w:val="24"/>
          <w:szCs w:val="24"/>
        </w:rPr>
        <w:t>）</w:t>
      </w:r>
    </w:p>
    <w:p w14:paraId="5D46B31F" w14:textId="77777777" w:rsidR="00E12F6C" w:rsidRPr="00BB7711" w:rsidRDefault="00E12F6C" w:rsidP="00421C17">
      <w:pPr>
        <w:rPr>
          <w:rFonts w:ascii="宋体"/>
          <w:sz w:val="24"/>
          <w:szCs w:val="24"/>
        </w:rPr>
      </w:pPr>
      <w:r w:rsidRPr="004E235D">
        <w:rPr>
          <w:rFonts w:hint="eastAsia"/>
        </w:rPr>
        <w:t>组合收益率及其同期业绩比较基准收益率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1447"/>
        <w:gridCol w:w="1382"/>
        <w:gridCol w:w="1416"/>
        <w:gridCol w:w="1415"/>
        <w:gridCol w:w="1447"/>
      </w:tblGrid>
      <w:tr w:rsidR="00550477" w:rsidRPr="002231B6" w14:paraId="0D025F29" w14:textId="77777777" w:rsidTr="00CE5E01">
        <w:trPr>
          <w:trHeight w:val="255"/>
        </w:trPr>
        <w:tc>
          <w:tcPr>
            <w:tcW w:w="1679" w:type="pct"/>
            <w:gridSpan w:val="2"/>
            <w:noWrap/>
            <w:vAlign w:val="bottom"/>
          </w:tcPr>
          <w:p w14:paraId="0B0FC0B4" w14:textId="3AC7BFA7" w:rsidR="00550477" w:rsidRPr="002231B6" w:rsidRDefault="00550477" w:rsidP="00E12F6C">
            <w:pPr>
              <w:widowControl/>
              <w:spacing w:beforeLines="20" w:before="62" w:afterLines="10" w:after="31"/>
              <w:jc w:val="center"/>
              <w:rPr>
                <w:rFonts w:ascii="宋体"/>
                <w:bCs/>
                <w:kern w:val="0"/>
              </w:rPr>
            </w:pPr>
            <w:r w:rsidRPr="004A1C87">
              <w:rPr>
                <w:rFonts w:ascii="宋体" w:hAnsi="宋体" w:cs="宋体" w:hint="eastAsia"/>
                <w:bCs/>
                <w:kern w:val="0"/>
              </w:rPr>
              <w:t>过去三</w:t>
            </w:r>
            <w:r w:rsidRPr="004A1C87">
              <w:rPr>
                <w:rFonts w:ascii="宋体" w:hAnsi="宋体" w:cs="宋体"/>
                <w:bCs/>
                <w:kern w:val="0"/>
              </w:rPr>
              <w:t>个月</w:t>
            </w:r>
          </w:p>
        </w:tc>
        <w:tc>
          <w:tcPr>
            <w:tcW w:w="1642" w:type="pct"/>
            <w:gridSpan w:val="2"/>
            <w:noWrap/>
            <w:vAlign w:val="bottom"/>
          </w:tcPr>
          <w:p w14:paraId="76607EB2" w14:textId="0565C8C2" w:rsidR="00550477" w:rsidRPr="002231B6" w:rsidRDefault="00550477" w:rsidP="00E12F6C">
            <w:pPr>
              <w:widowControl/>
              <w:spacing w:beforeLines="20" w:before="62" w:afterLines="10" w:after="31"/>
              <w:jc w:val="center"/>
              <w:rPr>
                <w:rFonts w:ascii="宋体"/>
                <w:bCs/>
                <w:kern w:val="0"/>
              </w:rPr>
            </w:pPr>
            <w:r>
              <w:rPr>
                <w:rFonts w:ascii="宋体" w:hAnsi="宋体" w:cs="宋体" w:hint="eastAsia"/>
                <w:bCs/>
                <w:kern w:val="0"/>
              </w:rPr>
              <w:t>今年</w:t>
            </w:r>
            <w:r>
              <w:rPr>
                <w:rFonts w:ascii="宋体" w:hAnsi="宋体" w:cs="宋体"/>
                <w:bCs/>
                <w:kern w:val="0"/>
              </w:rPr>
              <w:t>以来</w:t>
            </w:r>
          </w:p>
        </w:tc>
        <w:tc>
          <w:tcPr>
            <w:tcW w:w="1679" w:type="pct"/>
            <w:gridSpan w:val="2"/>
            <w:noWrap/>
            <w:vAlign w:val="bottom"/>
          </w:tcPr>
          <w:p w14:paraId="6EE9738A" w14:textId="4E605DE0" w:rsidR="00550477" w:rsidRPr="002231B6" w:rsidRDefault="00550477" w:rsidP="00E12F6C">
            <w:pPr>
              <w:widowControl/>
              <w:spacing w:beforeLines="20" w:before="62" w:afterLines="10" w:after="31"/>
              <w:jc w:val="center"/>
              <w:rPr>
                <w:rFonts w:ascii="宋体"/>
                <w:bCs/>
                <w:kern w:val="0"/>
              </w:rPr>
            </w:pPr>
            <w:r>
              <w:rPr>
                <w:rFonts w:ascii="宋体" w:hAnsi="宋体" w:cs="宋体" w:hint="eastAsia"/>
                <w:bCs/>
                <w:kern w:val="0"/>
              </w:rPr>
              <w:t>组合</w:t>
            </w:r>
            <w:r w:rsidRPr="004A1C87">
              <w:rPr>
                <w:rFonts w:ascii="宋体" w:hAnsi="宋体" w:cs="宋体" w:hint="eastAsia"/>
                <w:bCs/>
                <w:kern w:val="0"/>
              </w:rPr>
              <w:t>运作以来</w:t>
            </w:r>
          </w:p>
        </w:tc>
      </w:tr>
      <w:tr w:rsidR="00550477" w:rsidRPr="002231B6" w14:paraId="7269822A" w14:textId="77777777" w:rsidTr="00CE5E01">
        <w:trPr>
          <w:trHeight w:val="255"/>
        </w:trPr>
        <w:tc>
          <w:tcPr>
            <w:tcW w:w="830" w:type="pct"/>
            <w:noWrap/>
            <w:vAlign w:val="bottom"/>
          </w:tcPr>
          <w:p w14:paraId="15259BA2" w14:textId="77777777" w:rsidR="00550477" w:rsidRPr="002231B6" w:rsidRDefault="00550477" w:rsidP="00F41AE4">
            <w:pPr>
              <w:spacing w:beforeLines="20" w:before="62" w:afterLines="10" w:after="31"/>
              <w:jc w:val="center"/>
              <w:rPr>
                <w:rFonts w:ascii="宋体"/>
                <w:bCs/>
              </w:rPr>
            </w:pPr>
            <w:r w:rsidRPr="002231B6">
              <w:rPr>
                <w:rFonts w:ascii="宋体" w:hAnsi="宋体" w:cs="宋体" w:hint="eastAsia"/>
                <w:bCs/>
              </w:rPr>
              <w:t>组合</w:t>
            </w:r>
          </w:p>
        </w:tc>
        <w:tc>
          <w:tcPr>
            <w:tcW w:w="849" w:type="pct"/>
            <w:noWrap/>
            <w:vAlign w:val="bottom"/>
          </w:tcPr>
          <w:p w14:paraId="5ED06426" w14:textId="77777777" w:rsidR="00550477" w:rsidRPr="002231B6" w:rsidRDefault="00550477" w:rsidP="00F41AE4">
            <w:pPr>
              <w:spacing w:beforeLines="20" w:before="62" w:afterLines="10" w:after="31"/>
              <w:jc w:val="center"/>
              <w:rPr>
                <w:rFonts w:ascii="宋体"/>
                <w:bCs/>
              </w:rPr>
            </w:pPr>
            <w:r w:rsidRPr="002231B6">
              <w:rPr>
                <w:rFonts w:ascii="宋体" w:hAnsi="宋体" w:cs="宋体" w:hint="eastAsia"/>
                <w:bCs/>
              </w:rPr>
              <w:t>基准</w:t>
            </w:r>
          </w:p>
        </w:tc>
        <w:tc>
          <w:tcPr>
            <w:tcW w:w="811" w:type="pct"/>
            <w:noWrap/>
            <w:vAlign w:val="bottom"/>
          </w:tcPr>
          <w:p w14:paraId="7B9EFEE3" w14:textId="77777777" w:rsidR="00550477" w:rsidRPr="002231B6" w:rsidRDefault="00550477" w:rsidP="00F41AE4">
            <w:pPr>
              <w:spacing w:beforeLines="20" w:before="62" w:afterLines="10" w:after="31"/>
              <w:jc w:val="center"/>
              <w:rPr>
                <w:rFonts w:ascii="宋体"/>
                <w:bCs/>
              </w:rPr>
            </w:pPr>
            <w:r w:rsidRPr="002231B6">
              <w:rPr>
                <w:rFonts w:ascii="宋体" w:hAnsi="宋体" w:cs="宋体" w:hint="eastAsia"/>
                <w:bCs/>
              </w:rPr>
              <w:t>组合</w:t>
            </w:r>
          </w:p>
        </w:tc>
        <w:tc>
          <w:tcPr>
            <w:tcW w:w="830" w:type="pct"/>
            <w:noWrap/>
            <w:vAlign w:val="bottom"/>
          </w:tcPr>
          <w:p w14:paraId="1DA538B0" w14:textId="77777777" w:rsidR="00550477" w:rsidRPr="002231B6" w:rsidRDefault="00550477" w:rsidP="00F41AE4">
            <w:pPr>
              <w:spacing w:beforeLines="20" w:before="62" w:afterLines="10" w:after="31"/>
              <w:jc w:val="center"/>
              <w:rPr>
                <w:rFonts w:ascii="宋体"/>
                <w:bCs/>
              </w:rPr>
            </w:pPr>
            <w:r w:rsidRPr="002231B6">
              <w:rPr>
                <w:rFonts w:ascii="宋体" w:hAnsi="宋体" w:cs="宋体" w:hint="eastAsia"/>
                <w:bCs/>
              </w:rPr>
              <w:t>基准</w:t>
            </w:r>
          </w:p>
        </w:tc>
        <w:tc>
          <w:tcPr>
            <w:tcW w:w="830" w:type="pct"/>
            <w:noWrap/>
            <w:vAlign w:val="bottom"/>
          </w:tcPr>
          <w:p w14:paraId="667C72E7" w14:textId="77777777" w:rsidR="00550477" w:rsidRPr="002231B6" w:rsidRDefault="00550477" w:rsidP="00F41AE4">
            <w:pPr>
              <w:spacing w:beforeLines="20" w:before="62" w:afterLines="10" w:after="31"/>
              <w:jc w:val="center"/>
              <w:rPr>
                <w:rFonts w:ascii="宋体"/>
                <w:bCs/>
              </w:rPr>
            </w:pPr>
            <w:r w:rsidRPr="002231B6">
              <w:rPr>
                <w:rFonts w:ascii="宋体" w:hAnsi="宋体" w:cs="宋体" w:hint="eastAsia"/>
                <w:bCs/>
              </w:rPr>
              <w:t>组合</w:t>
            </w:r>
          </w:p>
        </w:tc>
        <w:tc>
          <w:tcPr>
            <w:tcW w:w="849" w:type="pct"/>
            <w:noWrap/>
            <w:vAlign w:val="bottom"/>
          </w:tcPr>
          <w:p w14:paraId="4F51063F" w14:textId="77777777" w:rsidR="00550477" w:rsidRPr="002231B6" w:rsidRDefault="00550477" w:rsidP="00F41AE4">
            <w:pPr>
              <w:spacing w:beforeLines="20" w:before="62" w:afterLines="10" w:after="31"/>
              <w:jc w:val="center"/>
              <w:rPr>
                <w:rFonts w:ascii="宋体"/>
                <w:bCs/>
              </w:rPr>
            </w:pPr>
            <w:r w:rsidRPr="002231B6">
              <w:rPr>
                <w:rFonts w:ascii="宋体" w:hAnsi="宋体" w:cs="宋体" w:hint="eastAsia"/>
                <w:bCs/>
              </w:rPr>
              <w:t>基准</w:t>
            </w:r>
          </w:p>
        </w:tc>
      </w:tr>
      <w:tr w:rsidR="00550477" w:rsidRPr="002231B6" w14:paraId="5C9FBBED" w14:textId="77777777" w:rsidTr="00CE5E01">
        <w:trPr>
          <w:trHeight w:val="255"/>
        </w:trPr>
        <w:tc>
          <w:tcPr>
            <w:tcW w:w="830" w:type="pct"/>
            <w:noWrap/>
            <w:vAlign w:val="bottom"/>
          </w:tcPr>
          <w:p w14:paraId="0433C724" w14:textId="5993FF6D" w:rsidR="00550477" w:rsidRPr="002231B6" w:rsidRDefault="00550477" w:rsidP="0079393C">
            <w:pPr>
              <w:spacing w:beforeLines="20" w:before="62" w:afterLines="10" w:after="31"/>
              <w:jc w:val="right"/>
              <w:rPr>
                <w:rFonts w:ascii="宋体"/>
                <w:highlight w:val="yellow"/>
              </w:rPr>
            </w:pPr>
            <w:r w:rsidRPr="002231B6">
              <w:rPr>
                <w:rFonts w:ascii="宋体"/>
              </w:rPr>
              <w:t>-3.11%</w:t>
            </w:r>
          </w:p>
        </w:tc>
        <w:tc>
          <w:tcPr>
            <w:tcW w:w="849" w:type="pct"/>
            <w:noWrap/>
            <w:vAlign w:val="bottom"/>
          </w:tcPr>
          <w:p w14:paraId="516B60C8" w14:textId="26835DB1" w:rsidR="00550477" w:rsidRPr="002231B6" w:rsidRDefault="00550477" w:rsidP="0079393C">
            <w:pPr>
              <w:spacing w:beforeLines="20" w:before="62" w:afterLines="10" w:after="31"/>
              <w:jc w:val="right"/>
              <w:rPr>
                <w:rFonts w:ascii="宋体"/>
                <w:highlight w:val="yellow"/>
              </w:rPr>
            </w:pPr>
            <w:r w:rsidRPr="002231B6">
              <w:rPr>
                <w:rFonts w:ascii="宋体"/>
              </w:rPr>
              <w:t>-</w:t>
            </w:r>
          </w:p>
        </w:tc>
        <w:tc>
          <w:tcPr>
            <w:tcW w:w="811" w:type="pct"/>
            <w:noWrap/>
            <w:vAlign w:val="bottom"/>
          </w:tcPr>
          <w:p w14:paraId="1F6CB50C" w14:textId="6BAC846A" w:rsidR="00550477" w:rsidRPr="002231B6" w:rsidRDefault="00550477" w:rsidP="0079393C">
            <w:pPr>
              <w:spacing w:beforeLines="20" w:before="62" w:afterLines="10" w:after="31"/>
              <w:jc w:val="right"/>
              <w:rPr>
                <w:rFonts w:ascii="宋体"/>
                <w:highlight w:val="yellow"/>
              </w:rPr>
            </w:pPr>
            <w:r w:rsidRPr="002231B6">
              <w:rPr>
                <w:rFonts w:ascii="宋体"/>
              </w:rPr>
              <w:t>-3.11%</w:t>
            </w:r>
          </w:p>
        </w:tc>
        <w:tc>
          <w:tcPr>
            <w:tcW w:w="830" w:type="pct"/>
            <w:noWrap/>
            <w:vAlign w:val="bottom"/>
          </w:tcPr>
          <w:p w14:paraId="286A3F6A" w14:textId="1D6B2BDF" w:rsidR="00550477" w:rsidRPr="002231B6" w:rsidRDefault="00550477" w:rsidP="0079393C">
            <w:pPr>
              <w:spacing w:beforeLines="20" w:before="62" w:afterLines="10" w:after="31"/>
              <w:jc w:val="right"/>
              <w:rPr>
                <w:rFonts w:ascii="宋体"/>
                <w:highlight w:val="yellow"/>
              </w:rPr>
            </w:pPr>
            <w:r w:rsidRPr="002231B6">
              <w:rPr>
                <w:rFonts w:ascii="宋体"/>
              </w:rPr>
              <w:t>-</w:t>
            </w:r>
          </w:p>
        </w:tc>
        <w:tc>
          <w:tcPr>
            <w:tcW w:w="830" w:type="pct"/>
            <w:noWrap/>
            <w:vAlign w:val="bottom"/>
          </w:tcPr>
          <w:p w14:paraId="0F0F85E0" w14:textId="210FCC63" w:rsidR="00550477" w:rsidRPr="002231B6" w:rsidRDefault="00550477" w:rsidP="0079393C">
            <w:pPr>
              <w:spacing w:beforeLines="20" w:before="62" w:afterLines="10" w:after="31"/>
              <w:jc w:val="right"/>
              <w:rPr>
                <w:rFonts w:ascii="宋体"/>
                <w:highlight w:val="yellow"/>
              </w:rPr>
            </w:pPr>
            <w:r w:rsidRPr="002231B6">
              <w:rPr>
                <w:rFonts w:ascii="宋体"/>
              </w:rPr>
              <w:t>-0.30%</w:t>
            </w:r>
          </w:p>
        </w:tc>
        <w:tc>
          <w:tcPr>
            <w:tcW w:w="849" w:type="pct"/>
            <w:noWrap/>
            <w:vAlign w:val="bottom"/>
          </w:tcPr>
          <w:p w14:paraId="618F96F9" w14:textId="5D13163F" w:rsidR="00550477" w:rsidRPr="002231B6" w:rsidRDefault="00550477" w:rsidP="0079393C">
            <w:pPr>
              <w:spacing w:beforeLines="20" w:before="62" w:afterLines="10" w:after="31"/>
              <w:jc w:val="right"/>
              <w:rPr>
                <w:rFonts w:ascii="宋体"/>
                <w:highlight w:val="yellow"/>
              </w:rPr>
            </w:pPr>
            <w:r w:rsidRPr="002231B6">
              <w:rPr>
                <w:rFonts w:ascii="宋体"/>
              </w:rPr>
              <w:t>-</w:t>
            </w:r>
          </w:p>
        </w:tc>
      </w:tr>
    </w:tbl>
    <w:p w14:paraId="0E5CE9CE" w14:textId="77777777" w:rsidR="007C63D5" w:rsidRDefault="007C63D5" w:rsidP="007C63D5"/>
    <w:p w14:paraId="46E58C41" w14:textId="08AA7526" w:rsidR="0087732F" w:rsidRPr="006A6E56" w:rsidRDefault="007C63D5" w:rsidP="00CC1887">
      <w:pPr>
        <w:spacing w:beforeLines="20" w:before="62" w:afterLines="20" w:after="62"/>
        <w:outlineLvl w:val="0"/>
        <w:rPr>
          <w:rFonts w:ascii="宋体"/>
          <w:b/>
          <w:bCs/>
          <w:sz w:val="24"/>
          <w:szCs w:val="24"/>
        </w:rPr>
      </w:pPr>
      <w:r>
        <w:rPr>
          <w:rFonts w:ascii="宋体" w:cs="宋体" w:hint="eastAsia"/>
          <w:b/>
          <w:bCs/>
          <w:sz w:val="24"/>
          <w:szCs w:val="24"/>
        </w:rPr>
        <w:t>五</w:t>
      </w:r>
      <w:r w:rsidR="00336544">
        <w:rPr>
          <w:rFonts w:ascii="宋体" w:cs="宋体" w:hint="eastAsia"/>
          <w:b/>
          <w:bCs/>
          <w:sz w:val="24"/>
          <w:szCs w:val="24"/>
        </w:rPr>
        <w:t>、</w:t>
      </w:r>
      <w:r w:rsidR="00336544" w:rsidRPr="00336544">
        <w:rPr>
          <w:rFonts w:ascii="宋体" w:cs="宋体" w:hint="eastAsia"/>
          <w:b/>
          <w:bCs/>
          <w:sz w:val="24"/>
          <w:szCs w:val="24"/>
        </w:rPr>
        <w:t>投资组合报告</w:t>
      </w:r>
    </w:p>
    <w:p w14:paraId="2B55C68F" w14:textId="088A0DB8" w:rsidR="00336544" w:rsidRDefault="0087732F" w:rsidP="00CC1887">
      <w:pPr>
        <w:spacing w:beforeLines="20" w:before="62" w:afterLines="20" w:after="62"/>
        <w:outlineLvl w:val="0"/>
        <w:rPr>
          <w:rFonts w:ascii="宋体" w:hAnsi="宋体" w:cs="宋体"/>
          <w:b/>
          <w:bCs/>
        </w:rPr>
      </w:pPr>
      <w:r w:rsidRPr="00DE6800">
        <w:rPr>
          <w:rFonts w:ascii="宋体" w:hAnsi="宋体" w:cs="宋体" w:hint="eastAsia"/>
          <w:b/>
          <w:bCs/>
        </w:rPr>
        <w:t>（一）</w:t>
      </w:r>
      <w:r w:rsidR="00F75C0F" w:rsidRPr="00F75C0F">
        <w:rPr>
          <w:rFonts w:ascii="宋体" w:hAnsi="宋体" w:cs="宋体" w:hint="eastAsia"/>
          <w:b/>
          <w:bCs/>
        </w:rPr>
        <w:t>投资组合资产配置情况</w:t>
      </w:r>
    </w:p>
    <w:tbl>
      <w:tblPr>
        <w:tblW w:w="5000" w:type="pct"/>
        <w:tblLayout w:type="fixed"/>
        <w:tblLook w:val="0000" w:firstRow="0" w:lastRow="0" w:firstColumn="0" w:lastColumn="0" w:noHBand="0" w:noVBand="0"/>
      </w:tblPr>
      <w:tblGrid>
        <w:gridCol w:w="336"/>
        <w:gridCol w:w="1757"/>
        <w:gridCol w:w="2978"/>
        <w:gridCol w:w="3451"/>
      </w:tblGrid>
      <w:tr w:rsidR="00605A92" w:rsidRPr="0024290E" w14:paraId="428EBA2D"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2A8AED54" w14:textId="77777777" w:rsidR="00605A92" w:rsidRPr="0024290E" w:rsidRDefault="00605A92" w:rsidP="00F41AE4">
            <w:pPr>
              <w:autoSpaceDE w:val="0"/>
              <w:autoSpaceDN w:val="0"/>
              <w:adjustRightInd w:val="0"/>
              <w:spacing w:before="29" w:line="288" w:lineRule="auto"/>
              <w:ind w:left="15"/>
              <w:jc w:val="center"/>
              <w:rPr>
                <w:rFonts w:ascii="宋体"/>
                <w:kern w:val="0"/>
              </w:rPr>
            </w:pPr>
            <w:r w:rsidRPr="0024290E">
              <w:rPr>
                <w:rFonts w:ascii="宋体" w:hAnsi="宋体" w:cs="宋体" w:hint="eastAsia"/>
                <w:kern w:val="0"/>
              </w:rPr>
              <w:t>序号</w:t>
            </w:r>
          </w:p>
        </w:tc>
        <w:tc>
          <w:tcPr>
            <w:tcW w:w="1031" w:type="pct"/>
            <w:tcBorders>
              <w:top w:val="single" w:sz="8" w:space="0" w:color="000000"/>
              <w:left w:val="single" w:sz="8" w:space="0" w:color="000000"/>
              <w:bottom w:val="single" w:sz="8" w:space="0" w:color="000000"/>
              <w:right w:val="single" w:sz="8" w:space="0" w:color="000000"/>
            </w:tcBorders>
            <w:vAlign w:val="center"/>
          </w:tcPr>
          <w:p w14:paraId="2EBF68C3" w14:textId="77777777" w:rsidR="00605A92" w:rsidRPr="0024290E" w:rsidRDefault="00605A92" w:rsidP="00F41AE4">
            <w:pPr>
              <w:autoSpaceDE w:val="0"/>
              <w:autoSpaceDN w:val="0"/>
              <w:adjustRightInd w:val="0"/>
              <w:spacing w:before="29" w:line="288" w:lineRule="auto"/>
              <w:ind w:left="15"/>
              <w:jc w:val="center"/>
              <w:rPr>
                <w:rFonts w:ascii="宋体"/>
                <w:kern w:val="0"/>
              </w:rPr>
            </w:pPr>
            <w:r w:rsidRPr="0024290E">
              <w:rPr>
                <w:rFonts w:ascii="宋体" w:hAnsi="宋体" w:cs="宋体" w:hint="eastAsia"/>
                <w:kern w:val="0"/>
              </w:rPr>
              <w:t>项目</w:t>
            </w:r>
          </w:p>
        </w:tc>
        <w:tc>
          <w:tcPr>
            <w:tcW w:w="1747" w:type="pct"/>
            <w:tcBorders>
              <w:top w:val="single" w:sz="8" w:space="0" w:color="000000"/>
              <w:left w:val="single" w:sz="8" w:space="0" w:color="000000"/>
              <w:bottom w:val="single" w:sz="8" w:space="0" w:color="000000"/>
              <w:right w:val="single" w:sz="8" w:space="0" w:color="000000"/>
            </w:tcBorders>
            <w:vAlign w:val="center"/>
          </w:tcPr>
          <w:p w14:paraId="0022D1FE" w14:textId="77777777" w:rsidR="00605A92" w:rsidRPr="0024290E" w:rsidRDefault="00605A92" w:rsidP="00F41AE4">
            <w:pPr>
              <w:autoSpaceDE w:val="0"/>
              <w:autoSpaceDN w:val="0"/>
              <w:adjustRightInd w:val="0"/>
              <w:spacing w:before="29" w:line="288" w:lineRule="auto"/>
              <w:ind w:left="15"/>
              <w:jc w:val="center"/>
              <w:rPr>
                <w:rFonts w:ascii="宋体"/>
                <w:kern w:val="0"/>
              </w:rPr>
            </w:pPr>
            <w:r w:rsidRPr="0024290E">
              <w:rPr>
                <w:rFonts w:ascii="宋体" w:hAnsi="宋体" w:cs="宋体" w:hint="eastAsia"/>
                <w:kern w:val="0"/>
              </w:rPr>
              <w:t>金额（元）</w:t>
            </w:r>
          </w:p>
        </w:tc>
        <w:tc>
          <w:tcPr>
            <w:tcW w:w="2025" w:type="pct"/>
            <w:tcBorders>
              <w:top w:val="single" w:sz="8" w:space="0" w:color="000000"/>
              <w:left w:val="single" w:sz="8" w:space="0" w:color="000000"/>
              <w:bottom w:val="single" w:sz="8" w:space="0" w:color="000000"/>
              <w:right w:val="single" w:sz="8" w:space="0" w:color="000000"/>
            </w:tcBorders>
            <w:vAlign w:val="center"/>
          </w:tcPr>
          <w:p w14:paraId="52DEA5E2" w14:textId="77777777" w:rsidR="00605A92" w:rsidRPr="0024290E" w:rsidRDefault="00605A92" w:rsidP="00F41AE4">
            <w:pPr>
              <w:autoSpaceDE w:val="0"/>
              <w:autoSpaceDN w:val="0"/>
              <w:adjustRightInd w:val="0"/>
              <w:spacing w:before="29" w:line="288" w:lineRule="auto"/>
              <w:ind w:left="15"/>
              <w:jc w:val="center"/>
              <w:rPr>
                <w:rFonts w:ascii="宋体"/>
                <w:kern w:val="0"/>
              </w:rPr>
            </w:pPr>
            <w:r w:rsidRPr="0024290E">
              <w:rPr>
                <w:rFonts w:ascii="宋体" w:hAnsi="宋体" w:cs="宋体" w:hint="eastAsia"/>
                <w:kern w:val="0"/>
              </w:rPr>
              <w:t>占总资产的比例（</w:t>
            </w:r>
            <w:r w:rsidRPr="0024290E">
              <w:rPr>
                <w:rFonts w:ascii="宋体" w:hAnsi="宋体" w:cs="宋体"/>
                <w:kern w:val="0"/>
              </w:rPr>
              <w:t>%</w:t>
            </w:r>
            <w:r w:rsidRPr="0024290E">
              <w:rPr>
                <w:rFonts w:ascii="宋体" w:hAnsi="宋体" w:cs="宋体" w:hint="eastAsia"/>
                <w:kern w:val="0"/>
              </w:rPr>
              <w:t>）</w:t>
            </w:r>
          </w:p>
        </w:tc>
      </w:tr>
      <w:tr w:rsidR="00677D67" w:rsidRPr="0024290E" w14:paraId="37156557"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788927DC" w14:textId="77777777" w:rsidR="00677D67" w:rsidRPr="0024290E" w:rsidRDefault="00677D67" w:rsidP="00677D67">
            <w:pPr>
              <w:spacing w:line="288" w:lineRule="auto"/>
              <w:jc w:val="center"/>
              <w:rPr>
                <w:rFonts w:ascii="宋体" w:hAnsi="宋体" w:cs="宋体"/>
              </w:rPr>
            </w:pPr>
            <w:r w:rsidRPr="0024290E">
              <w:rPr>
                <w:rFonts w:ascii="宋体" w:hAnsi="宋体" w:cs="宋体"/>
              </w:rPr>
              <w:t>1</w:t>
            </w:r>
          </w:p>
        </w:tc>
        <w:tc>
          <w:tcPr>
            <w:tcW w:w="1031" w:type="pct"/>
            <w:tcBorders>
              <w:top w:val="single" w:sz="8" w:space="0" w:color="000000"/>
              <w:left w:val="single" w:sz="8" w:space="0" w:color="000000"/>
              <w:bottom w:val="single" w:sz="8" w:space="0" w:color="000000"/>
              <w:right w:val="single" w:sz="8" w:space="0" w:color="000000"/>
            </w:tcBorders>
            <w:vAlign w:val="center"/>
          </w:tcPr>
          <w:p w14:paraId="40CB291E" w14:textId="77777777" w:rsidR="00677D67" w:rsidRPr="0024290E" w:rsidRDefault="00677D67" w:rsidP="00677D67">
            <w:pPr>
              <w:autoSpaceDE w:val="0"/>
              <w:autoSpaceDN w:val="0"/>
              <w:adjustRightInd w:val="0"/>
              <w:spacing w:before="29" w:line="288" w:lineRule="auto"/>
              <w:ind w:left="15"/>
              <w:jc w:val="left"/>
              <w:rPr>
                <w:rFonts w:ascii="宋体"/>
                <w:kern w:val="0"/>
              </w:rPr>
            </w:pPr>
            <w:r>
              <w:rPr>
                <w:rFonts w:ascii="宋体" w:hAnsi="宋体" w:cs="宋体" w:hint="eastAsia"/>
                <w:kern w:val="0"/>
              </w:rPr>
              <w:t>股票</w:t>
            </w:r>
            <w:r w:rsidRPr="0024290E">
              <w:rPr>
                <w:rFonts w:ascii="宋体" w:hAnsi="宋体" w:cs="宋体" w:hint="eastAsia"/>
                <w:kern w:val="0"/>
              </w:rPr>
              <w:t>投资</w:t>
            </w:r>
          </w:p>
        </w:tc>
        <w:tc>
          <w:tcPr>
            <w:tcW w:w="1747" w:type="pct"/>
            <w:tcBorders>
              <w:top w:val="single" w:sz="8" w:space="0" w:color="000000"/>
              <w:left w:val="single" w:sz="8" w:space="0" w:color="000000"/>
              <w:bottom w:val="single" w:sz="8" w:space="0" w:color="000000"/>
              <w:right w:val="single" w:sz="8" w:space="0" w:color="000000"/>
            </w:tcBorders>
            <w:vAlign w:val="center"/>
          </w:tcPr>
          <w:p w14:paraId="4CF54A06" w14:textId="7F8AEDEB" w:rsidR="00677D67" w:rsidRPr="0024290E" w:rsidRDefault="00677D67" w:rsidP="00677D67">
            <w:pPr>
              <w:wordWrap w:val="0"/>
              <w:jc w:val="right"/>
              <w:rPr>
                <w:rFonts w:ascii="宋体"/>
                <w:kern w:val="0"/>
              </w:rPr>
            </w:pPr>
            <w:r>
              <w:rPr>
                <w:rFonts w:ascii="宋体" w:hAnsi="宋体" w:cs="宋体" w:hint="eastAsia"/>
                <w:kern w:val="0"/>
              </w:rPr>
              <w:t>0.00</w:t>
            </w:r>
          </w:p>
        </w:tc>
        <w:tc>
          <w:tcPr>
            <w:tcW w:w="2025" w:type="pct"/>
            <w:tcBorders>
              <w:top w:val="single" w:sz="8" w:space="0" w:color="000000"/>
              <w:left w:val="single" w:sz="8" w:space="0" w:color="000000"/>
              <w:bottom w:val="single" w:sz="8" w:space="0" w:color="000000"/>
              <w:right w:val="single" w:sz="8" w:space="0" w:color="000000"/>
            </w:tcBorders>
            <w:vAlign w:val="center"/>
          </w:tcPr>
          <w:p w14:paraId="7925B81F" w14:textId="2BE0C8F2" w:rsidR="00677D67" w:rsidRPr="0024290E" w:rsidRDefault="00677D67" w:rsidP="00677D67">
            <w:pPr>
              <w:wordWrap w:val="0"/>
              <w:jc w:val="right"/>
              <w:rPr>
                <w:rFonts w:ascii="宋体"/>
                <w:kern w:val="0"/>
              </w:rPr>
            </w:pPr>
            <w:r>
              <w:rPr>
                <w:rFonts w:ascii="宋体" w:hAnsi="宋体" w:cs="宋体" w:hint="eastAsia"/>
                <w:kern w:val="0"/>
              </w:rPr>
              <w:t>0.00</w:t>
            </w:r>
          </w:p>
        </w:tc>
      </w:tr>
      <w:tr w:rsidR="00677D67" w:rsidRPr="0024290E" w14:paraId="18472FD2"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4ADD799F" w14:textId="77777777" w:rsidR="00677D67" w:rsidRPr="0024290E" w:rsidRDefault="00677D67" w:rsidP="00677D67">
            <w:pPr>
              <w:spacing w:line="288" w:lineRule="auto"/>
              <w:jc w:val="center"/>
              <w:rPr>
                <w:rFonts w:ascii="宋体" w:hAnsi="宋体" w:cs="宋体"/>
              </w:rPr>
            </w:pPr>
            <w:r w:rsidRPr="0024290E">
              <w:rPr>
                <w:rFonts w:ascii="宋体" w:hAnsi="宋体" w:cs="宋体"/>
              </w:rPr>
              <w:t>2</w:t>
            </w:r>
          </w:p>
        </w:tc>
        <w:tc>
          <w:tcPr>
            <w:tcW w:w="1031" w:type="pct"/>
            <w:tcBorders>
              <w:top w:val="single" w:sz="8" w:space="0" w:color="000000"/>
              <w:left w:val="single" w:sz="8" w:space="0" w:color="000000"/>
              <w:bottom w:val="single" w:sz="8" w:space="0" w:color="000000"/>
              <w:right w:val="single" w:sz="8" w:space="0" w:color="000000"/>
            </w:tcBorders>
            <w:vAlign w:val="center"/>
          </w:tcPr>
          <w:p w14:paraId="2D8F9963" w14:textId="77777777" w:rsidR="00677D67" w:rsidRPr="0024290E" w:rsidRDefault="00677D67" w:rsidP="00677D67">
            <w:pPr>
              <w:autoSpaceDE w:val="0"/>
              <w:autoSpaceDN w:val="0"/>
              <w:adjustRightInd w:val="0"/>
              <w:spacing w:before="29" w:line="288" w:lineRule="auto"/>
              <w:ind w:left="15"/>
              <w:jc w:val="left"/>
              <w:rPr>
                <w:rFonts w:ascii="宋体"/>
                <w:kern w:val="0"/>
              </w:rPr>
            </w:pPr>
            <w:r>
              <w:rPr>
                <w:rFonts w:ascii="宋体" w:hAnsi="宋体" w:cs="宋体" w:hint="eastAsia"/>
                <w:kern w:val="0"/>
              </w:rPr>
              <w:t>债券</w:t>
            </w:r>
            <w:r w:rsidRPr="0024290E">
              <w:rPr>
                <w:rFonts w:ascii="宋体" w:hAnsi="宋体" w:cs="宋体" w:hint="eastAsia"/>
                <w:kern w:val="0"/>
              </w:rPr>
              <w:t>投资</w:t>
            </w:r>
          </w:p>
        </w:tc>
        <w:tc>
          <w:tcPr>
            <w:tcW w:w="1747" w:type="pct"/>
            <w:tcBorders>
              <w:top w:val="single" w:sz="8" w:space="0" w:color="000000"/>
              <w:left w:val="single" w:sz="8" w:space="0" w:color="000000"/>
              <w:bottom w:val="single" w:sz="8" w:space="0" w:color="000000"/>
              <w:right w:val="single" w:sz="8" w:space="0" w:color="000000"/>
            </w:tcBorders>
            <w:vAlign w:val="center"/>
          </w:tcPr>
          <w:p w14:paraId="78FC2F85" w14:textId="64C4F6AC" w:rsidR="00677D67" w:rsidRPr="0024290E" w:rsidRDefault="00677D67" w:rsidP="00677D67">
            <w:pPr>
              <w:jc w:val="right"/>
              <w:rPr>
                <w:rFonts w:ascii="宋体"/>
                <w:kern w:val="0"/>
              </w:rPr>
            </w:pPr>
            <w:r>
              <w:rPr>
                <w:rFonts w:ascii="宋体" w:hAnsi="宋体" w:cs="宋体" w:hint="eastAsia"/>
                <w:kern w:val="0"/>
              </w:rPr>
              <w:t>0.00</w:t>
            </w:r>
          </w:p>
        </w:tc>
        <w:tc>
          <w:tcPr>
            <w:tcW w:w="2025" w:type="pct"/>
            <w:tcBorders>
              <w:top w:val="single" w:sz="8" w:space="0" w:color="000000"/>
              <w:left w:val="single" w:sz="8" w:space="0" w:color="000000"/>
              <w:bottom w:val="single" w:sz="8" w:space="0" w:color="000000"/>
              <w:right w:val="single" w:sz="8" w:space="0" w:color="000000"/>
            </w:tcBorders>
            <w:vAlign w:val="center"/>
          </w:tcPr>
          <w:p w14:paraId="7DB8093C" w14:textId="4940C400" w:rsidR="00677D67" w:rsidRPr="0024290E" w:rsidRDefault="00677D67" w:rsidP="00677D67">
            <w:pPr>
              <w:jc w:val="right"/>
              <w:rPr>
                <w:rFonts w:ascii="宋体"/>
                <w:kern w:val="0"/>
              </w:rPr>
            </w:pPr>
            <w:r>
              <w:rPr>
                <w:rFonts w:ascii="宋体" w:hAnsi="宋体" w:cs="宋体" w:hint="eastAsia"/>
                <w:kern w:val="0"/>
              </w:rPr>
              <w:t>0.00</w:t>
            </w:r>
          </w:p>
        </w:tc>
      </w:tr>
      <w:tr w:rsidR="00677D67" w:rsidRPr="0024290E" w14:paraId="3373BF1B"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7E0249DA" w14:textId="77777777" w:rsidR="00677D67" w:rsidRPr="0024290E" w:rsidRDefault="00677D67" w:rsidP="00677D67">
            <w:pPr>
              <w:spacing w:line="288" w:lineRule="auto"/>
              <w:jc w:val="center"/>
              <w:rPr>
                <w:rFonts w:ascii="宋体"/>
              </w:rPr>
            </w:pPr>
            <w:r w:rsidRPr="0024290E">
              <w:rPr>
                <w:rFonts w:ascii="宋体" w:hAnsi="宋体" w:cs="宋体"/>
              </w:rPr>
              <w:t>3</w:t>
            </w:r>
          </w:p>
        </w:tc>
        <w:tc>
          <w:tcPr>
            <w:tcW w:w="1031" w:type="pct"/>
            <w:tcBorders>
              <w:top w:val="single" w:sz="8" w:space="0" w:color="000000"/>
              <w:left w:val="single" w:sz="8" w:space="0" w:color="000000"/>
              <w:bottom w:val="single" w:sz="8" w:space="0" w:color="000000"/>
              <w:right w:val="single" w:sz="8" w:space="0" w:color="000000"/>
            </w:tcBorders>
            <w:vAlign w:val="center"/>
          </w:tcPr>
          <w:p w14:paraId="38D823BC" w14:textId="77777777" w:rsidR="00677D67" w:rsidRPr="0024290E" w:rsidRDefault="00677D67" w:rsidP="00677D67">
            <w:pPr>
              <w:autoSpaceDE w:val="0"/>
              <w:autoSpaceDN w:val="0"/>
              <w:adjustRightInd w:val="0"/>
              <w:spacing w:before="29" w:line="288" w:lineRule="auto"/>
              <w:ind w:left="15"/>
              <w:jc w:val="left"/>
              <w:rPr>
                <w:rFonts w:ascii="宋体"/>
                <w:kern w:val="0"/>
              </w:rPr>
            </w:pPr>
            <w:r w:rsidRPr="0024290E">
              <w:rPr>
                <w:rFonts w:ascii="宋体" w:hAnsi="宋体" w:cs="宋体" w:hint="eastAsia"/>
                <w:kern w:val="0"/>
              </w:rPr>
              <w:t>基金投资</w:t>
            </w:r>
          </w:p>
        </w:tc>
        <w:tc>
          <w:tcPr>
            <w:tcW w:w="1747" w:type="pct"/>
            <w:tcBorders>
              <w:top w:val="single" w:sz="8" w:space="0" w:color="000000"/>
              <w:left w:val="single" w:sz="8" w:space="0" w:color="000000"/>
              <w:bottom w:val="single" w:sz="8" w:space="0" w:color="000000"/>
              <w:right w:val="single" w:sz="8" w:space="0" w:color="000000"/>
            </w:tcBorders>
            <w:vAlign w:val="center"/>
          </w:tcPr>
          <w:p w14:paraId="56DFC0BB" w14:textId="68F4B342" w:rsidR="00677D67" w:rsidRPr="0024290E" w:rsidRDefault="00677D67" w:rsidP="00677D67">
            <w:pPr>
              <w:jc w:val="right"/>
              <w:rPr>
                <w:rFonts w:ascii="宋体"/>
                <w:kern w:val="0"/>
              </w:rPr>
            </w:pPr>
            <w:r>
              <w:rPr>
                <w:rFonts w:ascii="宋体" w:hAnsi="宋体" w:cs="宋体" w:hint="eastAsia"/>
                <w:kern w:val="0"/>
              </w:rPr>
              <w:t>15,402,156.97</w:t>
            </w:r>
          </w:p>
        </w:tc>
        <w:tc>
          <w:tcPr>
            <w:tcW w:w="2025" w:type="pct"/>
            <w:tcBorders>
              <w:top w:val="single" w:sz="8" w:space="0" w:color="000000"/>
              <w:left w:val="single" w:sz="8" w:space="0" w:color="000000"/>
              <w:bottom w:val="single" w:sz="8" w:space="0" w:color="000000"/>
              <w:right w:val="single" w:sz="8" w:space="0" w:color="000000"/>
            </w:tcBorders>
            <w:vAlign w:val="center"/>
          </w:tcPr>
          <w:p w14:paraId="60F1B32D" w14:textId="70541121" w:rsidR="00677D67" w:rsidRPr="0024290E" w:rsidRDefault="00677D67" w:rsidP="00677D67">
            <w:pPr>
              <w:jc w:val="right"/>
              <w:rPr>
                <w:rFonts w:ascii="宋体"/>
                <w:kern w:val="0"/>
              </w:rPr>
            </w:pPr>
            <w:r>
              <w:rPr>
                <w:rFonts w:ascii="宋体" w:hAnsi="宋体" w:cs="宋体" w:hint="eastAsia"/>
                <w:kern w:val="0"/>
              </w:rPr>
              <w:t>86.75</w:t>
            </w:r>
          </w:p>
        </w:tc>
      </w:tr>
      <w:tr w:rsidR="00677D67" w:rsidRPr="0024290E" w14:paraId="335F547A"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7A774F03" w14:textId="77777777" w:rsidR="00677D67" w:rsidRPr="0024290E" w:rsidRDefault="00677D67" w:rsidP="00677D67">
            <w:pPr>
              <w:spacing w:line="288" w:lineRule="auto"/>
              <w:jc w:val="center"/>
              <w:rPr>
                <w:rFonts w:ascii="宋体"/>
              </w:rPr>
            </w:pPr>
            <w:r w:rsidRPr="0024290E">
              <w:rPr>
                <w:rFonts w:ascii="宋体" w:hAnsi="宋体" w:cs="宋体"/>
              </w:rPr>
              <w:t>4</w:t>
            </w:r>
          </w:p>
        </w:tc>
        <w:tc>
          <w:tcPr>
            <w:tcW w:w="1031" w:type="pct"/>
            <w:tcBorders>
              <w:top w:val="single" w:sz="8" w:space="0" w:color="000000"/>
              <w:left w:val="single" w:sz="8" w:space="0" w:color="000000"/>
              <w:bottom w:val="single" w:sz="8" w:space="0" w:color="000000"/>
              <w:right w:val="single" w:sz="8" w:space="0" w:color="000000"/>
            </w:tcBorders>
            <w:vAlign w:val="center"/>
          </w:tcPr>
          <w:p w14:paraId="4E1F2EFC" w14:textId="77777777" w:rsidR="00677D67" w:rsidRPr="0024290E" w:rsidRDefault="00677D67" w:rsidP="00677D67">
            <w:pPr>
              <w:autoSpaceDE w:val="0"/>
              <w:autoSpaceDN w:val="0"/>
              <w:adjustRightInd w:val="0"/>
              <w:spacing w:before="29" w:line="288" w:lineRule="auto"/>
              <w:ind w:left="15"/>
              <w:jc w:val="left"/>
              <w:rPr>
                <w:rFonts w:ascii="宋体"/>
                <w:kern w:val="0"/>
              </w:rPr>
            </w:pPr>
            <w:r w:rsidRPr="0024290E">
              <w:rPr>
                <w:rFonts w:ascii="宋体" w:hAnsi="宋体" w:cs="宋体" w:hint="eastAsia"/>
                <w:kern w:val="0"/>
              </w:rPr>
              <w:t>金融衍生品投资</w:t>
            </w:r>
          </w:p>
        </w:tc>
        <w:tc>
          <w:tcPr>
            <w:tcW w:w="1747" w:type="pct"/>
            <w:tcBorders>
              <w:top w:val="single" w:sz="8" w:space="0" w:color="000000"/>
              <w:left w:val="single" w:sz="8" w:space="0" w:color="000000"/>
              <w:bottom w:val="single" w:sz="8" w:space="0" w:color="000000"/>
              <w:right w:val="single" w:sz="8" w:space="0" w:color="000000"/>
            </w:tcBorders>
            <w:vAlign w:val="center"/>
          </w:tcPr>
          <w:p w14:paraId="1D5A4DFE" w14:textId="09E005E6" w:rsidR="00677D67" w:rsidRPr="00CA6FE0" w:rsidRDefault="00677D67" w:rsidP="00677D67">
            <w:pPr>
              <w:jc w:val="right"/>
              <w:rPr>
                <w:rFonts w:ascii="宋体"/>
                <w:kern w:val="0"/>
              </w:rPr>
            </w:pPr>
            <w:r>
              <w:rPr>
                <w:rFonts w:ascii="宋体" w:hAnsi="宋体" w:cs="宋体" w:hint="eastAsia"/>
                <w:kern w:val="0"/>
              </w:rPr>
              <w:t>0.00</w:t>
            </w:r>
          </w:p>
        </w:tc>
        <w:tc>
          <w:tcPr>
            <w:tcW w:w="2025" w:type="pct"/>
            <w:tcBorders>
              <w:top w:val="single" w:sz="8" w:space="0" w:color="000000"/>
              <w:left w:val="single" w:sz="8" w:space="0" w:color="000000"/>
              <w:bottom w:val="single" w:sz="8" w:space="0" w:color="000000"/>
              <w:right w:val="single" w:sz="8" w:space="0" w:color="000000"/>
            </w:tcBorders>
            <w:vAlign w:val="center"/>
          </w:tcPr>
          <w:p w14:paraId="2C6ED7F3" w14:textId="5C7221B4" w:rsidR="00677D67" w:rsidRPr="00CA6FE0" w:rsidRDefault="00677D67" w:rsidP="00677D67">
            <w:pPr>
              <w:jc w:val="right"/>
              <w:rPr>
                <w:rFonts w:ascii="宋体"/>
                <w:kern w:val="0"/>
              </w:rPr>
            </w:pPr>
            <w:r>
              <w:rPr>
                <w:rFonts w:ascii="宋体" w:hAnsi="宋体" w:cs="宋体" w:hint="eastAsia"/>
                <w:kern w:val="0"/>
              </w:rPr>
              <w:t>0.00</w:t>
            </w:r>
          </w:p>
        </w:tc>
      </w:tr>
      <w:tr w:rsidR="00677D67" w:rsidRPr="0024290E" w14:paraId="007538D4"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6B38A5EF" w14:textId="77777777" w:rsidR="00677D67" w:rsidRPr="0024290E" w:rsidRDefault="00677D67" w:rsidP="00677D67">
            <w:pPr>
              <w:spacing w:line="288" w:lineRule="auto"/>
              <w:jc w:val="center"/>
              <w:rPr>
                <w:rFonts w:ascii="宋体"/>
              </w:rPr>
            </w:pPr>
            <w:r w:rsidRPr="0024290E">
              <w:rPr>
                <w:rFonts w:ascii="宋体" w:hAnsi="宋体" w:cs="宋体"/>
              </w:rPr>
              <w:t>5</w:t>
            </w:r>
          </w:p>
        </w:tc>
        <w:tc>
          <w:tcPr>
            <w:tcW w:w="1031" w:type="pct"/>
            <w:tcBorders>
              <w:top w:val="single" w:sz="8" w:space="0" w:color="000000"/>
              <w:left w:val="single" w:sz="8" w:space="0" w:color="000000"/>
              <w:bottom w:val="single" w:sz="8" w:space="0" w:color="000000"/>
              <w:right w:val="single" w:sz="8" w:space="0" w:color="000000"/>
            </w:tcBorders>
            <w:vAlign w:val="center"/>
          </w:tcPr>
          <w:p w14:paraId="7742A4F4" w14:textId="77777777" w:rsidR="00677D67" w:rsidRPr="0024290E" w:rsidRDefault="00677D67" w:rsidP="00677D67">
            <w:pPr>
              <w:autoSpaceDE w:val="0"/>
              <w:autoSpaceDN w:val="0"/>
              <w:adjustRightInd w:val="0"/>
              <w:spacing w:before="29" w:line="288" w:lineRule="auto"/>
              <w:ind w:left="15"/>
              <w:jc w:val="left"/>
              <w:rPr>
                <w:rFonts w:ascii="宋体"/>
                <w:kern w:val="0"/>
              </w:rPr>
            </w:pPr>
            <w:r w:rsidRPr="0024290E">
              <w:rPr>
                <w:rFonts w:ascii="宋体" w:hAnsi="宋体" w:cs="宋体" w:hint="eastAsia"/>
                <w:kern w:val="0"/>
              </w:rPr>
              <w:t>买入返售金融资产</w:t>
            </w:r>
          </w:p>
        </w:tc>
        <w:tc>
          <w:tcPr>
            <w:tcW w:w="1747" w:type="pct"/>
            <w:tcBorders>
              <w:top w:val="single" w:sz="8" w:space="0" w:color="000000"/>
              <w:left w:val="single" w:sz="8" w:space="0" w:color="000000"/>
              <w:bottom w:val="single" w:sz="8" w:space="0" w:color="000000"/>
              <w:right w:val="single" w:sz="8" w:space="0" w:color="000000"/>
            </w:tcBorders>
            <w:vAlign w:val="center"/>
          </w:tcPr>
          <w:p w14:paraId="52BF0A78" w14:textId="5C814EF2" w:rsidR="00677D67" w:rsidRPr="0024290E" w:rsidRDefault="00677D67" w:rsidP="00677D67">
            <w:pPr>
              <w:jc w:val="right"/>
              <w:rPr>
                <w:rFonts w:ascii="宋体"/>
                <w:kern w:val="0"/>
              </w:rPr>
            </w:pPr>
            <w:r>
              <w:rPr>
                <w:rFonts w:ascii="宋体" w:hAnsi="宋体" w:cs="宋体" w:hint="eastAsia"/>
                <w:kern w:val="0"/>
              </w:rPr>
              <w:t>1,000,000.00</w:t>
            </w:r>
          </w:p>
        </w:tc>
        <w:tc>
          <w:tcPr>
            <w:tcW w:w="2025" w:type="pct"/>
            <w:tcBorders>
              <w:top w:val="single" w:sz="8" w:space="0" w:color="000000"/>
              <w:left w:val="single" w:sz="8" w:space="0" w:color="000000"/>
              <w:bottom w:val="single" w:sz="8" w:space="0" w:color="000000"/>
              <w:right w:val="single" w:sz="8" w:space="0" w:color="000000"/>
            </w:tcBorders>
            <w:vAlign w:val="center"/>
          </w:tcPr>
          <w:p w14:paraId="060171BE" w14:textId="103D86DC" w:rsidR="00677D67" w:rsidRPr="0024290E" w:rsidRDefault="00677D67" w:rsidP="00677D67">
            <w:pPr>
              <w:jc w:val="right"/>
              <w:rPr>
                <w:rFonts w:ascii="宋体"/>
                <w:kern w:val="0"/>
              </w:rPr>
            </w:pPr>
            <w:r>
              <w:rPr>
                <w:rFonts w:ascii="宋体" w:hAnsi="宋体" w:cs="宋体" w:hint="eastAsia"/>
                <w:kern w:val="0"/>
              </w:rPr>
              <w:t>5.63</w:t>
            </w:r>
          </w:p>
        </w:tc>
      </w:tr>
      <w:tr w:rsidR="00677D67" w:rsidRPr="0024290E" w14:paraId="08BDC481"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2C11D656" w14:textId="77777777" w:rsidR="00677D67" w:rsidRPr="0024290E" w:rsidRDefault="00677D67" w:rsidP="00677D67">
            <w:pPr>
              <w:spacing w:line="288" w:lineRule="auto"/>
              <w:jc w:val="center"/>
              <w:rPr>
                <w:rFonts w:ascii="宋体"/>
              </w:rPr>
            </w:pPr>
            <w:r w:rsidRPr="0024290E">
              <w:rPr>
                <w:rFonts w:ascii="宋体" w:hAnsi="宋体" w:cs="宋体"/>
              </w:rPr>
              <w:t>6</w:t>
            </w:r>
          </w:p>
        </w:tc>
        <w:tc>
          <w:tcPr>
            <w:tcW w:w="1031" w:type="pct"/>
            <w:tcBorders>
              <w:top w:val="single" w:sz="8" w:space="0" w:color="000000"/>
              <w:left w:val="single" w:sz="8" w:space="0" w:color="000000"/>
              <w:bottom w:val="single" w:sz="8" w:space="0" w:color="000000"/>
              <w:right w:val="single" w:sz="8" w:space="0" w:color="000000"/>
            </w:tcBorders>
            <w:vAlign w:val="center"/>
          </w:tcPr>
          <w:p w14:paraId="4358795C" w14:textId="77777777" w:rsidR="00677D67" w:rsidRPr="0024290E" w:rsidRDefault="00677D67" w:rsidP="00677D67">
            <w:pPr>
              <w:autoSpaceDE w:val="0"/>
              <w:autoSpaceDN w:val="0"/>
              <w:adjustRightInd w:val="0"/>
              <w:spacing w:before="29" w:line="288" w:lineRule="auto"/>
              <w:ind w:left="15"/>
              <w:jc w:val="left"/>
              <w:rPr>
                <w:rFonts w:ascii="宋体"/>
                <w:kern w:val="0"/>
              </w:rPr>
            </w:pPr>
            <w:r w:rsidRPr="0024290E">
              <w:rPr>
                <w:rFonts w:ascii="宋体" w:hAnsi="宋体" w:cs="宋体" w:hint="eastAsia"/>
                <w:kern w:val="0"/>
              </w:rPr>
              <w:t>银行存款和结算备付金合计</w:t>
            </w:r>
          </w:p>
        </w:tc>
        <w:tc>
          <w:tcPr>
            <w:tcW w:w="1747" w:type="pct"/>
            <w:tcBorders>
              <w:top w:val="single" w:sz="8" w:space="0" w:color="000000"/>
              <w:left w:val="single" w:sz="8" w:space="0" w:color="000000"/>
              <w:bottom w:val="single" w:sz="8" w:space="0" w:color="000000"/>
              <w:right w:val="single" w:sz="8" w:space="0" w:color="000000"/>
            </w:tcBorders>
            <w:vAlign w:val="center"/>
          </w:tcPr>
          <w:p w14:paraId="343494C7" w14:textId="66A24320" w:rsidR="00677D67" w:rsidRPr="0024290E" w:rsidRDefault="00677D67" w:rsidP="00677D67">
            <w:pPr>
              <w:jc w:val="right"/>
              <w:rPr>
                <w:rFonts w:ascii="宋体"/>
                <w:kern w:val="0"/>
              </w:rPr>
            </w:pPr>
            <w:r>
              <w:rPr>
                <w:rFonts w:ascii="宋体" w:hAnsi="宋体" w:cs="宋体" w:hint="eastAsia"/>
                <w:kern w:val="0"/>
              </w:rPr>
              <w:t>1,352,527.20</w:t>
            </w:r>
          </w:p>
        </w:tc>
        <w:tc>
          <w:tcPr>
            <w:tcW w:w="2025" w:type="pct"/>
            <w:tcBorders>
              <w:top w:val="single" w:sz="8" w:space="0" w:color="000000"/>
              <w:left w:val="single" w:sz="8" w:space="0" w:color="000000"/>
              <w:bottom w:val="single" w:sz="8" w:space="0" w:color="000000"/>
              <w:right w:val="single" w:sz="8" w:space="0" w:color="000000"/>
            </w:tcBorders>
            <w:vAlign w:val="center"/>
          </w:tcPr>
          <w:p w14:paraId="603C6A10" w14:textId="6D78AC2D" w:rsidR="00677D67" w:rsidRPr="0024290E" w:rsidRDefault="00677D67" w:rsidP="00677D67">
            <w:pPr>
              <w:jc w:val="right"/>
              <w:rPr>
                <w:rFonts w:ascii="宋体"/>
                <w:kern w:val="0"/>
              </w:rPr>
            </w:pPr>
            <w:r>
              <w:rPr>
                <w:rFonts w:ascii="宋体" w:hAnsi="宋体" w:cs="宋体" w:hint="eastAsia"/>
                <w:kern w:val="0"/>
              </w:rPr>
              <w:t>7.62</w:t>
            </w:r>
          </w:p>
        </w:tc>
      </w:tr>
      <w:tr w:rsidR="00677D67" w:rsidRPr="0024290E" w14:paraId="033538F3"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7328306C" w14:textId="77777777" w:rsidR="00677D67" w:rsidRPr="0024290E" w:rsidRDefault="00677D67" w:rsidP="00677D67">
            <w:pPr>
              <w:spacing w:line="288" w:lineRule="auto"/>
              <w:jc w:val="center"/>
              <w:rPr>
                <w:rFonts w:ascii="宋体"/>
              </w:rPr>
            </w:pPr>
            <w:r w:rsidRPr="0024290E">
              <w:rPr>
                <w:rFonts w:ascii="宋体" w:hAnsi="宋体" w:cs="宋体"/>
              </w:rPr>
              <w:t>7</w:t>
            </w:r>
          </w:p>
        </w:tc>
        <w:tc>
          <w:tcPr>
            <w:tcW w:w="1031" w:type="pct"/>
            <w:tcBorders>
              <w:top w:val="single" w:sz="8" w:space="0" w:color="000000"/>
              <w:left w:val="single" w:sz="8" w:space="0" w:color="000000"/>
              <w:bottom w:val="single" w:sz="8" w:space="0" w:color="000000"/>
              <w:right w:val="single" w:sz="8" w:space="0" w:color="000000"/>
            </w:tcBorders>
            <w:vAlign w:val="center"/>
          </w:tcPr>
          <w:p w14:paraId="67D69BD7" w14:textId="77777777" w:rsidR="00677D67" w:rsidRPr="0024290E" w:rsidRDefault="00677D67" w:rsidP="00677D67">
            <w:pPr>
              <w:autoSpaceDE w:val="0"/>
              <w:autoSpaceDN w:val="0"/>
              <w:adjustRightInd w:val="0"/>
              <w:spacing w:before="29" w:line="288" w:lineRule="auto"/>
              <w:ind w:left="15"/>
              <w:jc w:val="left"/>
              <w:rPr>
                <w:rFonts w:ascii="宋体"/>
                <w:kern w:val="0"/>
              </w:rPr>
            </w:pPr>
            <w:r w:rsidRPr="0024290E">
              <w:rPr>
                <w:rFonts w:ascii="宋体" w:hAnsi="宋体" w:cs="宋体" w:hint="eastAsia"/>
                <w:kern w:val="0"/>
              </w:rPr>
              <w:t>其他资产</w:t>
            </w:r>
          </w:p>
        </w:tc>
        <w:tc>
          <w:tcPr>
            <w:tcW w:w="1747" w:type="pct"/>
            <w:tcBorders>
              <w:top w:val="single" w:sz="8" w:space="0" w:color="000000"/>
              <w:left w:val="single" w:sz="8" w:space="0" w:color="000000"/>
              <w:bottom w:val="single" w:sz="8" w:space="0" w:color="000000"/>
              <w:right w:val="single" w:sz="8" w:space="0" w:color="000000"/>
            </w:tcBorders>
            <w:vAlign w:val="center"/>
          </w:tcPr>
          <w:p w14:paraId="2F2563A5" w14:textId="3AD32C49" w:rsidR="00677D67" w:rsidRPr="0024290E" w:rsidRDefault="00677D67" w:rsidP="00677D67">
            <w:pPr>
              <w:jc w:val="right"/>
              <w:rPr>
                <w:rFonts w:ascii="宋体"/>
                <w:kern w:val="0"/>
              </w:rPr>
            </w:pPr>
            <w:r>
              <w:rPr>
                <w:rFonts w:ascii="宋体" w:hAnsi="宋体" w:cs="宋体" w:hint="eastAsia"/>
                <w:kern w:val="0"/>
              </w:rPr>
              <w:t>0.00</w:t>
            </w:r>
          </w:p>
        </w:tc>
        <w:tc>
          <w:tcPr>
            <w:tcW w:w="2025" w:type="pct"/>
            <w:tcBorders>
              <w:top w:val="single" w:sz="8" w:space="0" w:color="000000"/>
              <w:left w:val="single" w:sz="8" w:space="0" w:color="000000"/>
              <w:bottom w:val="single" w:sz="8" w:space="0" w:color="000000"/>
              <w:right w:val="single" w:sz="8" w:space="0" w:color="000000"/>
            </w:tcBorders>
            <w:vAlign w:val="center"/>
          </w:tcPr>
          <w:p w14:paraId="486C70EE" w14:textId="6504B49A" w:rsidR="00677D67" w:rsidRPr="0024290E" w:rsidRDefault="00677D67" w:rsidP="00677D67">
            <w:pPr>
              <w:jc w:val="right"/>
              <w:rPr>
                <w:rFonts w:ascii="宋体"/>
                <w:kern w:val="0"/>
              </w:rPr>
            </w:pPr>
            <w:r>
              <w:rPr>
                <w:rFonts w:ascii="宋体" w:hAnsi="宋体" w:cs="宋体" w:hint="eastAsia"/>
                <w:kern w:val="0"/>
              </w:rPr>
              <w:t>0.00</w:t>
            </w:r>
          </w:p>
        </w:tc>
      </w:tr>
      <w:tr w:rsidR="00677D67" w:rsidRPr="0024290E" w14:paraId="48911CEC" w14:textId="77777777" w:rsidTr="004E3921">
        <w:tc>
          <w:tcPr>
            <w:tcW w:w="197" w:type="pct"/>
            <w:tcBorders>
              <w:top w:val="single" w:sz="8" w:space="0" w:color="000000"/>
              <w:left w:val="single" w:sz="8" w:space="0" w:color="000000"/>
              <w:bottom w:val="single" w:sz="8" w:space="0" w:color="000000"/>
              <w:right w:val="single" w:sz="8" w:space="0" w:color="000000"/>
            </w:tcBorders>
            <w:vAlign w:val="center"/>
          </w:tcPr>
          <w:p w14:paraId="2BD677A1" w14:textId="77777777" w:rsidR="00677D67" w:rsidRPr="0024290E" w:rsidRDefault="00677D67" w:rsidP="00677D67">
            <w:pPr>
              <w:spacing w:line="288" w:lineRule="auto"/>
              <w:jc w:val="center"/>
              <w:rPr>
                <w:rFonts w:ascii="宋体"/>
              </w:rPr>
            </w:pPr>
            <w:r w:rsidRPr="0024290E">
              <w:rPr>
                <w:rFonts w:ascii="宋体" w:hAnsi="宋体" w:cs="宋体"/>
              </w:rPr>
              <w:t>8</w:t>
            </w:r>
          </w:p>
        </w:tc>
        <w:tc>
          <w:tcPr>
            <w:tcW w:w="1031" w:type="pct"/>
            <w:tcBorders>
              <w:top w:val="single" w:sz="8" w:space="0" w:color="000000"/>
              <w:left w:val="single" w:sz="8" w:space="0" w:color="000000"/>
              <w:bottom w:val="single" w:sz="8" w:space="0" w:color="000000"/>
              <w:right w:val="single" w:sz="8" w:space="0" w:color="000000"/>
            </w:tcBorders>
            <w:vAlign w:val="center"/>
          </w:tcPr>
          <w:p w14:paraId="5DB81B8E" w14:textId="77777777" w:rsidR="00677D67" w:rsidRPr="0024290E" w:rsidRDefault="00677D67" w:rsidP="00677D67">
            <w:pPr>
              <w:autoSpaceDE w:val="0"/>
              <w:autoSpaceDN w:val="0"/>
              <w:adjustRightInd w:val="0"/>
              <w:spacing w:before="29" w:line="288" w:lineRule="auto"/>
              <w:ind w:left="15"/>
              <w:jc w:val="left"/>
              <w:rPr>
                <w:rFonts w:ascii="宋体"/>
                <w:kern w:val="0"/>
              </w:rPr>
            </w:pPr>
            <w:r w:rsidRPr="0024290E">
              <w:rPr>
                <w:rFonts w:ascii="宋体" w:hAnsi="宋体" w:cs="宋体" w:hint="eastAsia"/>
                <w:kern w:val="0"/>
              </w:rPr>
              <w:t>合计</w:t>
            </w:r>
          </w:p>
        </w:tc>
        <w:tc>
          <w:tcPr>
            <w:tcW w:w="1747" w:type="pct"/>
            <w:tcBorders>
              <w:top w:val="single" w:sz="8" w:space="0" w:color="000000"/>
              <w:left w:val="single" w:sz="8" w:space="0" w:color="000000"/>
              <w:bottom w:val="single" w:sz="8" w:space="0" w:color="000000"/>
              <w:right w:val="single" w:sz="8" w:space="0" w:color="000000"/>
            </w:tcBorders>
            <w:vAlign w:val="center"/>
          </w:tcPr>
          <w:p w14:paraId="7B05ECAD" w14:textId="65231959" w:rsidR="00677D67" w:rsidRPr="0024290E" w:rsidRDefault="00677D67" w:rsidP="00677D67">
            <w:pPr>
              <w:jc w:val="right"/>
              <w:rPr>
                <w:rFonts w:ascii="宋体"/>
                <w:kern w:val="0"/>
              </w:rPr>
            </w:pPr>
            <w:r>
              <w:rPr>
                <w:rFonts w:ascii="宋体" w:hint="eastAsia"/>
                <w:kern w:val="0"/>
              </w:rPr>
              <w:t>17,754,684.17</w:t>
            </w:r>
          </w:p>
        </w:tc>
        <w:tc>
          <w:tcPr>
            <w:tcW w:w="2025" w:type="pct"/>
            <w:tcBorders>
              <w:top w:val="single" w:sz="8" w:space="0" w:color="000000"/>
              <w:left w:val="single" w:sz="8" w:space="0" w:color="000000"/>
              <w:bottom w:val="single" w:sz="8" w:space="0" w:color="000000"/>
              <w:right w:val="single" w:sz="8" w:space="0" w:color="000000"/>
            </w:tcBorders>
            <w:vAlign w:val="center"/>
          </w:tcPr>
          <w:p w14:paraId="2D559DBD" w14:textId="5457F0F7" w:rsidR="00677D67" w:rsidRPr="0024290E" w:rsidRDefault="00677D67" w:rsidP="00677D67">
            <w:pPr>
              <w:jc w:val="right"/>
              <w:rPr>
                <w:rFonts w:ascii="宋体"/>
                <w:kern w:val="0"/>
              </w:rPr>
            </w:pPr>
            <w:r>
              <w:rPr>
                <w:rFonts w:ascii="宋体" w:hint="eastAsia"/>
                <w:kern w:val="0"/>
              </w:rPr>
              <w:t>100.00</w:t>
            </w:r>
          </w:p>
        </w:tc>
      </w:tr>
    </w:tbl>
    <w:p w14:paraId="7FC2E19A" w14:textId="77777777" w:rsidR="003D05DD" w:rsidRDefault="003D05DD" w:rsidP="00CC1887">
      <w:pPr>
        <w:spacing w:beforeLines="20" w:before="62" w:afterLines="20" w:after="62"/>
        <w:outlineLvl w:val="0"/>
        <w:rPr>
          <w:rFonts w:ascii="宋体" w:hAnsi="宋体" w:cs="宋体"/>
          <w:b/>
          <w:bCs/>
        </w:rPr>
      </w:pPr>
    </w:p>
    <w:p w14:paraId="6F426EA8" w14:textId="2D4D3D72" w:rsidR="0087732F" w:rsidRPr="00336544" w:rsidRDefault="00336544" w:rsidP="00CC1887">
      <w:pPr>
        <w:spacing w:beforeLines="20" w:before="62" w:afterLines="20" w:after="62"/>
        <w:outlineLvl w:val="0"/>
        <w:rPr>
          <w:rFonts w:ascii="宋体" w:hAnsi="宋体" w:cs="宋体"/>
          <w:b/>
          <w:bCs/>
        </w:rPr>
      </w:pPr>
      <w:r>
        <w:rPr>
          <w:rFonts w:ascii="宋体" w:hAnsi="宋体" w:cs="宋体" w:hint="eastAsia"/>
          <w:b/>
          <w:bCs/>
        </w:rPr>
        <w:t>（二</w:t>
      </w:r>
      <w:r w:rsidRPr="00DE6800">
        <w:rPr>
          <w:rFonts w:ascii="宋体" w:hAnsi="宋体" w:cs="宋体" w:hint="eastAsia"/>
          <w:b/>
          <w:bCs/>
        </w:rPr>
        <w:t>）</w:t>
      </w:r>
      <w:r w:rsidR="0087732F" w:rsidRPr="00DE6800">
        <w:rPr>
          <w:rFonts w:ascii="宋体" w:hAnsi="宋体" w:cs="宋体" w:hint="eastAsia"/>
          <w:b/>
          <w:bCs/>
        </w:rPr>
        <w:t>报告期末按市值占</w:t>
      </w:r>
      <w:r w:rsidR="002B240E" w:rsidRPr="002B240E">
        <w:rPr>
          <w:rFonts w:ascii="宋体" w:hAnsi="宋体" w:cs="宋体" w:hint="eastAsia"/>
          <w:b/>
          <w:bCs/>
        </w:rPr>
        <w:t>资管计划</w:t>
      </w:r>
      <w:r w:rsidR="0087732F" w:rsidRPr="00DE6800">
        <w:rPr>
          <w:rFonts w:ascii="宋体" w:hAnsi="宋体" w:cs="宋体" w:hint="eastAsia"/>
          <w:b/>
          <w:bCs/>
        </w:rPr>
        <w:t>资产净值比例大小排序的前十名股票明细</w:t>
      </w:r>
    </w:p>
    <w:p w14:paraId="62ACC04F" w14:textId="77777777" w:rsidR="003D05DD" w:rsidRPr="00724DB3" w:rsidRDefault="003D05DD" w:rsidP="003D05DD">
      <w:pPr>
        <w:snapToGrid w:val="0"/>
        <w:spacing w:line="360" w:lineRule="auto"/>
        <w:ind w:firstLineChars="200" w:firstLine="420"/>
        <w:rPr>
          <w:b/>
        </w:rPr>
      </w:pPr>
      <w:r>
        <w:rPr>
          <w:rFonts w:hint="eastAsia"/>
        </w:rPr>
        <w:t>无</w:t>
      </w:r>
      <w:r>
        <w:t>。</w:t>
      </w:r>
    </w:p>
    <w:p w14:paraId="02D121B1" w14:textId="77777777" w:rsidR="00CD6627" w:rsidRPr="003D05DD" w:rsidRDefault="00CD6627" w:rsidP="00CC1887">
      <w:pPr>
        <w:spacing w:beforeLines="20" w:before="62" w:afterLines="20" w:after="62"/>
        <w:rPr>
          <w:rFonts w:ascii="宋体"/>
          <w:b/>
          <w:bCs/>
        </w:rPr>
      </w:pPr>
    </w:p>
    <w:p w14:paraId="466C5102" w14:textId="49A5EFDD" w:rsidR="0087732F" w:rsidRDefault="0087732F" w:rsidP="00AA6B03">
      <w:pPr>
        <w:spacing w:beforeLines="20" w:before="62" w:afterLines="20" w:after="62"/>
        <w:outlineLvl w:val="0"/>
        <w:rPr>
          <w:rFonts w:ascii="宋体" w:hAnsi="宋体" w:cs="宋体"/>
          <w:b/>
          <w:bCs/>
        </w:rPr>
      </w:pPr>
      <w:r w:rsidRPr="00DE6800">
        <w:rPr>
          <w:rFonts w:ascii="宋体" w:hAnsi="宋体" w:cs="宋体" w:hint="eastAsia"/>
          <w:b/>
          <w:bCs/>
        </w:rPr>
        <w:t>（</w:t>
      </w:r>
      <w:r w:rsidR="00336544">
        <w:rPr>
          <w:rFonts w:ascii="宋体" w:hAnsi="宋体" w:cs="宋体" w:hint="eastAsia"/>
          <w:b/>
          <w:bCs/>
        </w:rPr>
        <w:t>三</w:t>
      </w:r>
      <w:r w:rsidRPr="00DE6800">
        <w:rPr>
          <w:rFonts w:ascii="宋体" w:hAnsi="宋体" w:cs="宋体" w:hint="eastAsia"/>
          <w:b/>
          <w:bCs/>
        </w:rPr>
        <w:t>）</w:t>
      </w:r>
      <w:r w:rsidR="00F70D20" w:rsidRPr="00273099">
        <w:rPr>
          <w:rFonts w:ascii="宋体" w:hAnsi="宋体" w:cs="宋体" w:hint="eastAsia"/>
          <w:b/>
          <w:bCs/>
        </w:rPr>
        <w:t>报告期末按</w:t>
      </w:r>
      <w:r w:rsidR="00F70D20">
        <w:rPr>
          <w:rFonts w:ascii="宋体" w:hAnsi="宋体" w:cs="宋体" w:hint="eastAsia"/>
          <w:b/>
          <w:bCs/>
        </w:rPr>
        <w:t>持仓净值</w:t>
      </w:r>
      <w:r w:rsidR="00F70D20" w:rsidRPr="00273099">
        <w:rPr>
          <w:rFonts w:ascii="宋体" w:hAnsi="宋体" w:cs="宋体" w:hint="eastAsia"/>
          <w:b/>
          <w:bCs/>
        </w:rPr>
        <w:t>占</w:t>
      </w:r>
      <w:r w:rsidR="002B240E" w:rsidRPr="002B240E">
        <w:rPr>
          <w:rFonts w:ascii="宋体" w:hAnsi="宋体" w:cs="宋体" w:hint="eastAsia"/>
          <w:b/>
          <w:bCs/>
        </w:rPr>
        <w:t>资管计划</w:t>
      </w:r>
      <w:r w:rsidR="00273099" w:rsidRPr="00273099">
        <w:rPr>
          <w:rFonts w:ascii="宋体" w:hAnsi="宋体" w:cs="宋体" w:hint="eastAsia"/>
          <w:b/>
          <w:bCs/>
        </w:rPr>
        <w:t>资产净值比例大小排序的前五名债券明细</w:t>
      </w:r>
    </w:p>
    <w:p w14:paraId="185A861F" w14:textId="77777777" w:rsidR="003D05DD" w:rsidRPr="00724DB3" w:rsidRDefault="003D05DD" w:rsidP="003D05DD">
      <w:pPr>
        <w:snapToGrid w:val="0"/>
        <w:spacing w:line="360" w:lineRule="auto"/>
        <w:ind w:firstLineChars="200" w:firstLine="420"/>
        <w:rPr>
          <w:b/>
        </w:rPr>
      </w:pPr>
      <w:r>
        <w:rPr>
          <w:rFonts w:hint="eastAsia"/>
        </w:rPr>
        <w:t>无</w:t>
      </w:r>
      <w:r>
        <w:t>。</w:t>
      </w:r>
    </w:p>
    <w:p w14:paraId="08412A23" w14:textId="77777777" w:rsidR="00F70D20" w:rsidRPr="00AA6B03" w:rsidRDefault="00F70D20" w:rsidP="00AA6B03"/>
    <w:p w14:paraId="446C979D" w14:textId="7E5B34CF" w:rsidR="0087732F" w:rsidRDefault="0087732F" w:rsidP="00CC1887">
      <w:pPr>
        <w:spacing w:beforeLines="20" w:before="62" w:afterLines="20" w:after="62"/>
        <w:outlineLvl w:val="0"/>
        <w:rPr>
          <w:rFonts w:ascii="宋体" w:hAnsi="宋体" w:cs="宋体"/>
          <w:b/>
          <w:bCs/>
        </w:rPr>
      </w:pPr>
      <w:r w:rsidRPr="00DE6800">
        <w:rPr>
          <w:rFonts w:ascii="宋体" w:hAnsi="宋体" w:cs="宋体" w:hint="eastAsia"/>
          <w:b/>
          <w:bCs/>
        </w:rPr>
        <w:t>（</w:t>
      </w:r>
      <w:r w:rsidR="00336544">
        <w:rPr>
          <w:rFonts w:ascii="宋体" w:hAnsi="宋体" w:cs="宋体" w:hint="eastAsia"/>
          <w:b/>
          <w:bCs/>
        </w:rPr>
        <w:t>四</w:t>
      </w:r>
      <w:r w:rsidRPr="00DE6800">
        <w:rPr>
          <w:rFonts w:ascii="宋体" w:hAnsi="宋体" w:cs="宋体" w:hint="eastAsia"/>
          <w:b/>
          <w:bCs/>
        </w:rPr>
        <w:t>）报告期末按市值占</w:t>
      </w:r>
      <w:r w:rsidR="002B240E" w:rsidRPr="002B240E">
        <w:rPr>
          <w:rFonts w:ascii="宋体" w:hAnsi="宋体" w:cs="宋体" w:hint="eastAsia"/>
          <w:b/>
          <w:bCs/>
        </w:rPr>
        <w:t>资管计划</w:t>
      </w:r>
      <w:r w:rsidRPr="00DE6800">
        <w:rPr>
          <w:rFonts w:ascii="宋体" w:hAnsi="宋体" w:cs="宋体" w:hint="eastAsia"/>
          <w:b/>
          <w:bCs/>
        </w:rPr>
        <w:t>资产净值比例大小排序的前五名基金明细</w:t>
      </w:r>
    </w:p>
    <w:tbl>
      <w:tblPr>
        <w:tblStyle w:val="a5"/>
        <w:tblW w:w="5000" w:type="pct"/>
        <w:tblLook w:val="01E0" w:firstRow="1" w:lastRow="1" w:firstColumn="1" w:lastColumn="1" w:noHBand="0" w:noVBand="0"/>
      </w:tblPr>
      <w:tblGrid>
        <w:gridCol w:w="513"/>
        <w:gridCol w:w="2684"/>
        <w:gridCol w:w="1662"/>
        <w:gridCol w:w="2094"/>
        <w:gridCol w:w="1569"/>
      </w:tblGrid>
      <w:tr w:rsidR="00605A92" w:rsidRPr="0018509A" w14:paraId="4A88DE89" w14:textId="77777777" w:rsidTr="00F41AE4">
        <w:trPr>
          <w:trHeight w:val="285"/>
        </w:trPr>
        <w:tc>
          <w:tcPr>
            <w:tcW w:w="421" w:type="pct"/>
            <w:vAlign w:val="center"/>
          </w:tcPr>
          <w:p w14:paraId="6DE9C527" w14:textId="77777777" w:rsidR="00605A92" w:rsidRPr="0018509A" w:rsidRDefault="00605A92" w:rsidP="00F41AE4">
            <w:pPr>
              <w:spacing w:beforeLines="20" w:before="62" w:afterLines="10" w:after="31"/>
              <w:jc w:val="center"/>
              <w:rPr>
                <w:rFonts w:ascii="宋体"/>
                <w:kern w:val="2"/>
                <w:sz w:val="21"/>
              </w:rPr>
            </w:pPr>
            <w:r w:rsidRPr="0018509A">
              <w:rPr>
                <w:rFonts w:ascii="宋体" w:hAnsi="宋体" w:cs="宋体" w:hint="eastAsia"/>
                <w:kern w:val="2"/>
                <w:sz w:val="21"/>
              </w:rPr>
              <w:t>序号</w:t>
            </w:r>
          </w:p>
        </w:tc>
        <w:tc>
          <w:tcPr>
            <w:tcW w:w="1095" w:type="pct"/>
            <w:vAlign w:val="center"/>
          </w:tcPr>
          <w:p w14:paraId="3C3D695F" w14:textId="19920D33" w:rsidR="00605A92" w:rsidRPr="0018509A" w:rsidRDefault="002B240E" w:rsidP="00F41AE4">
            <w:pPr>
              <w:spacing w:beforeLines="20" w:before="62" w:afterLines="10" w:after="31"/>
              <w:jc w:val="center"/>
              <w:rPr>
                <w:rFonts w:ascii="宋体"/>
                <w:kern w:val="2"/>
                <w:sz w:val="21"/>
              </w:rPr>
            </w:pPr>
            <w:r w:rsidRPr="002B240E">
              <w:rPr>
                <w:rFonts w:ascii="宋体" w:hAnsi="宋体" w:cs="宋体" w:hint="eastAsia"/>
                <w:kern w:val="2"/>
                <w:sz w:val="21"/>
              </w:rPr>
              <w:t>基金名称</w:t>
            </w:r>
          </w:p>
        </w:tc>
        <w:tc>
          <w:tcPr>
            <w:tcW w:w="1095" w:type="pct"/>
            <w:vAlign w:val="center"/>
          </w:tcPr>
          <w:p w14:paraId="1B003343" w14:textId="77777777" w:rsidR="00605A92" w:rsidRPr="0018509A" w:rsidRDefault="00605A92" w:rsidP="00F41AE4">
            <w:pPr>
              <w:spacing w:beforeLines="20" w:before="62" w:afterLines="10" w:after="31"/>
              <w:jc w:val="center"/>
              <w:rPr>
                <w:rFonts w:ascii="宋体"/>
                <w:kern w:val="2"/>
                <w:sz w:val="21"/>
              </w:rPr>
            </w:pPr>
            <w:r w:rsidRPr="0018509A">
              <w:rPr>
                <w:rFonts w:ascii="宋体" w:hAnsi="宋体" w:cs="宋体" w:hint="eastAsia"/>
                <w:kern w:val="2"/>
                <w:sz w:val="21"/>
              </w:rPr>
              <w:t>数量（</w:t>
            </w:r>
            <w:r>
              <w:rPr>
                <w:rFonts w:ascii="宋体" w:hAnsi="宋体" w:cs="宋体" w:hint="eastAsia"/>
                <w:kern w:val="2"/>
                <w:sz w:val="21"/>
              </w:rPr>
              <w:t>份</w:t>
            </w:r>
            <w:r w:rsidRPr="0018509A">
              <w:rPr>
                <w:rFonts w:ascii="宋体" w:hAnsi="宋体" w:cs="宋体" w:hint="eastAsia"/>
                <w:kern w:val="2"/>
                <w:sz w:val="21"/>
              </w:rPr>
              <w:t>）</w:t>
            </w:r>
          </w:p>
        </w:tc>
        <w:tc>
          <w:tcPr>
            <w:tcW w:w="1348" w:type="pct"/>
            <w:vAlign w:val="center"/>
          </w:tcPr>
          <w:p w14:paraId="71BB4B55" w14:textId="77777777" w:rsidR="00605A92" w:rsidRPr="0018509A" w:rsidRDefault="00605A92" w:rsidP="00F41AE4">
            <w:pPr>
              <w:spacing w:beforeLines="20" w:before="62" w:afterLines="10" w:after="31"/>
              <w:jc w:val="center"/>
              <w:rPr>
                <w:rFonts w:ascii="宋体"/>
                <w:kern w:val="2"/>
                <w:sz w:val="21"/>
              </w:rPr>
            </w:pPr>
            <w:r>
              <w:rPr>
                <w:rFonts w:ascii="宋体" w:hAnsi="宋体" w:cs="宋体" w:hint="eastAsia"/>
                <w:kern w:val="2"/>
                <w:sz w:val="21"/>
              </w:rPr>
              <w:t>市值</w:t>
            </w:r>
            <w:r w:rsidRPr="0018509A">
              <w:rPr>
                <w:rFonts w:ascii="宋体" w:hAnsi="宋体" w:cs="宋体" w:hint="eastAsia"/>
                <w:kern w:val="2"/>
                <w:sz w:val="21"/>
              </w:rPr>
              <w:t>（元）</w:t>
            </w:r>
          </w:p>
        </w:tc>
        <w:tc>
          <w:tcPr>
            <w:tcW w:w="1041" w:type="pct"/>
            <w:vAlign w:val="center"/>
          </w:tcPr>
          <w:p w14:paraId="3945EC59" w14:textId="77777777" w:rsidR="00605A92" w:rsidRPr="0018509A" w:rsidRDefault="00605A92" w:rsidP="00F41AE4">
            <w:pPr>
              <w:spacing w:beforeLines="20" w:before="62" w:afterLines="10" w:after="31"/>
              <w:jc w:val="center"/>
              <w:rPr>
                <w:rFonts w:ascii="宋体"/>
                <w:kern w:val="2"/>
                <w:sz w:val="21"/>
              </w:rPr>
            </w:pPr>
            <w:r w:rsidRPr="0018509A">
              <w:rPr>
                <w:rFonts w:ascii="宋体" w:hAnsi="宋体" w:cs="宋体" w:hint="eastAsia"/>
                <w:kern w:val="2"/>
                <w:sz w:val="21"/>
              </w:rPr>
              <w:t>占净值比例</w:t>
            </w:r>
          </w:p>
        </w:tc>
      </w:tr>
      <w:tr w:rsidR="00605A92" w:rsidRPr="0018509A" w14:paraId="787D8CA2" w14:textId="77777777" w:rsidTr="00F41AE4">
        <w:trPr>
          <w:trHeight w:val="285"/>
        </w:trPr>
        <w:tc>
          <w:tcPr>
            <w:tcW w:w="421" w:type="pct"/>
            <w:vAlign w:val="center"/>
          </w:tcPr>
          <w:p w14:paraId="7FCDFD31" w14:textId="77777777" w:rsidR="00605A92" w:rsidRPr="0018509A" w:rsidRDefault="00605A92" w:rsidP="00F41AE4">
            <w:pPr>
              <w:widowControl/>
              <w:spacing w:beforeLines="20" w:before="62" w:afterLines="10" w:after="31"/>
              <w:jc w:val="center"/>
              <w:rPr>
                <w:rFonts w:ascii="宋体"/>
                <w:kern w:val="2"/>
                <w:sz w:val="21"/>
              </w:rPr>
            </w:pPr>
            <w:r w:rsidRPr="0018509A">
              <w:rPr>
                <w:rFonts w:ascii="宋体"/>
                <w:kern w:val="2"/>
                <w:sz w:val="21"/>
              </w:rPr>
              <w:t>1</w:t>
            </w:r>
          </w:p>
        </w:tc>
        <w:tc>
          <w:tcPr>
            <w:tcW w:w="1095" w:type="pct"/>
            <w:noWrap/>
            <w:vAlign w:val="center"/>
          </w:tcPr>
          <w:p w14:paraId="1C772F53" w14:textId="77777777" w:rsidR="00605A92" w:rsidRPr="0018509A" w:rsidRDefault="00605A92" w:rsidP="00F41AE4">
            <w:pPr>
              <w:spacing w:beforeLines="20" w:before="62" w:afterLines="10" w:after="31"/>
              <w:jc w:val="center"/>
              <w:rPr>
                <w:rFonts w:ascii="宋体"/>
                <w:kern w:val="2"/>
                <w:sz w:val="21"/>
              </w:rPr>
            </w:pPr>
            <w:r w:rsidRPr="0018509A">
              <w:rPr>
                <w:rFonts w:ascii="宋体"/>
                <w:kern w:val="2"/>
                <w:sz w:val="21"/>
              </w:rPr>
              <w:t>易方达信用债债券C</w:t>
            </w:r>
          </w:p>
        </w:tc>
        <w:tc>
          <w:tcPr>
            <w:tcW w:w="1095" w:type="pct"/>
            <w:noWrap/>
            <w:vAlign w:val="center"/>
          </w:tcPr>
          <w:p w14:paraId="235F33A2" w14:textId="77777777" w:rsidR="00605A92" w:rsidRPr="0018509A" w:rsidRDefault="00605A92" w:rsidP="00F41AE4">
            <w:pPr>
              <w:widowControl/>
              <w:spacing w:beforeLines="20" w:before="62" w:afterLines="10" w:after="31"/>
              <w:jc w:val="right"/>
              <w:rPr>
                <w:rFonts w:ascii="宋体"/>
                <w:kern w:val="2"/>
                <w:sz w:val="21"/>
              </w:rPr>
            </w:pPr>
            <w:r w:rsidRPr="0018509A">
              <w:rPr>
                <w:rFonts w:ascii="宋体"/>
                <w:kern w:val="2"/>
                <w:sz w:val="21"/>
              </w:rPr>
              <w:t>1,534,977.44</w:t>
            </w:r>
          </w:p>
        </w:tc>
        <w:tc>
          <w:tcPr>
            <w:tcW w:w="1348" w:type="pct"/>
            <w:noWrap/>
            <w:vAlign w:val="center"/>
          </w:tcPr>
          <w:p w14:paraId="164C9556"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1,703,210.97</w:t>
            </w:r>
          </w:p>
        </w:tc>
        <w:tc>
          <w:tcPr>
            <w:tcW w:w="1041" w:type="pct"/>
            <w:noWrap/>
            <w:vAlign w:val="center"/>
          </w:tcPr>
          <w:p w14:paraId="1309C2A9"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10.17%</w:t>
            </w:r>
          </w:p>
        </w:tc>
      </w:tr>
      <w:tr w:rsidR="00605A92" w:rsidRPr="0018509A" w14:paraId="2CD676D1" w14:textId="77777777" w:rsidTr="00F41AE4">
        <w:trPr>
          <w:trHeight w:val="285"/>
        </w:trPr>
        <w:tc>
          <w:tcPr>
            <w:tcW w:w="421" w:type="pct"/>
            <w:vAlign w:val="center"/>
          </w:tcPr>
          <w:p w14:paraId="0FA4A623" w14:textId="77777777" w:rsidR="00605A92" w:rsidRPr="0018509A" w:rsidRDefault="00605A92" w:rsidP="00F41AE4">
            <w:pPr>
              <w:widowControl/>
              <w:spacing w:beforeLines="20" w:before="62" w:afterLines="10" w:after="31"/>
              <w:jc w:val="center"/>
              <w:rPr>
                <w:rFonts w:ascii="宋体"/>
                <w:kern w:val="2"/>
                <w:sz w:val="21"/>
              </w:rPr>
            </w:pPr>
            <w:r w:rsidRPr="0018509A">
              <w:rPr>
                <w:rFonts w:ascii="宋体"/>
                <w:kern w:val="2"/>
                <w:sz w:val="21"/>
              </w:rPr>
              <w:t>2</w:t>
            </w:r>
          </w:p>
        </w:tc>
        <w:tc>
          <w:tcPr>
            <w:tcW w:w="1095" w:type="pct"/>
            <w:noWrap/>
            <w:vAlign w:val="center"/>
          </w:tcPr>
          <w:p w14:paraId="3A86503A" w14:textId="77777777" w:rsidR="00605A92" w:rsidRPr="0018509A" w:rsidRDefault="00605A92" w:rsidP="00F41AE4">
            <w:pPr>
              <w:spacing w:beforeLines="20" w:before="62" w:afterLines="10" w:after="31"/>
              <w:jc w:val="center"/>
              <w:rPr>
                <w:rFonts w:ascii="宋体"/>
                <w:kern w:val="2"/>
                <w:sz w:val="21"/>
              </w:rPr>
            </w:pPr>
            <w:r w:rsidRPr="0018509A">
              <w:rPr>
                <w:rFonts w:ascii="宋体"/>
                <w:kern w:val="2"/>
                <w:sz w:val="21"/>
              </w:rPr>
              <w:t>易方达安源中短债债券A</w:t>
            </w:r>
          </w:p>
        </w:tc>
        <w:tc>
          <w:tcPr>
            <w:tcW w:w="1095" w:type="pct"/>
            <w:noWrap/>
            <w:vAlign w:val="center"/>
          </w:tcPr>
          <w:p w14:paraId="4DC08DCC" w14:textId="77777777" w:rsidR="00605A92" w:rsidRPr="0018509A" w:rsidRDefault="00605A92" w:rsidP="00F41AE4">
            <w:pPr>
              <w:widowControl/>
              <w:spacing w:beforeLines="20" w:before="62" w:afterLines="10" w:after="31"/>
              <w:jc w:val="right"/>
              <w:rPr>
                <w:rFonts w:ascii="宋体"/>
                <w:kern w:val="2"/>
                <w:sz w:val="21"/>
              </w:rPr>
            </w:pPr>
            <w:r w:rsidRPr="0018509A">
              <w:rPr>
                <w:rFonts w:ascii="宋体"/>
                <w:kern w:val="2"/>
                <w:sz w:val="21"/>
              </w:rPr>
              <w:t>1,422,973.53</w:t>
            </w:r>
          </w:p>
        </w:tc>
        <w:tc>
          <w:tcPr>
            <w:tcW w:w="1348" w:type="pct"/>
            <w:noWrap/>
            <w:vAlign w:val="center"/>
          </w:tcPr>
          <w:p w14:paraId="6F0CA4F2"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1,559,294.39</w:t>
            </w:r>
          </w:p>
        </w:tc>
        <w:tc>
          <w:tcPr>
            <w:tcW w:w="1041" w:type="pct"/>
            <w:noWrap/>
            <w:vAlign w:val="center"/>
          </w:tcPr>
          <w:p w14:paraId="5320CFF3"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9.31%</w:t>
            </w:r>
          </w:p>
        </w:tc>
      </w:tr>
      <w:tr w:rsidR="00605A92" w:rsidRPr="0018509A" w14:paraId="2BD0098F" w14:textId="77777777" w:rsidTr="00F41AE4">
        <w:trPr>
          <w:trHeight w:val="285"/>
        </w:trPr>
        <w:tc>
          <w:tcPr>
            <w:tcW w:w="421" w:type="pct"/>
            <w:vAlign w:val="center"/>
          </w:tcPr>
          <w:p w14:paraId="3A990C17" w14:textId="77777777" w:rsidR="00605A92" w:rsidRPr="0018509A" w:rsidRDefault="00605A92" w:rsidP="00F41AE4">
            <w:pPr>
              <w:widowControl/>
              <w:spacing w:beforeLines="20" w:before="62" w:afterLines="10" w:after="31"/>
              <w:jc w:val="center"/>
              <w:rPr>
                <w:rFonts w:ascii="宋体"/>
                <w:kern w:val="2"/>
                <w:sz w:val="21"/>
              </w:rPr>
            </w:pPr>
            <w:r w:rsidRPr="0018509A">
              <w:rPr>
                <w:rFonts w:ascii="宋体"/>
                <w:kern w:val="2"/>
                <w:sz w:val="21"/>
              </w:rPr>
              <w:t>3</w:t>
            </w:r>
          </w:p>
        </w:tc>
        <w:tc>
          <w:tcPr>
            <w:tcW w:w="1095" w:type="pct"/>
            <w:noWrap/>
            <w:vAlign w:val="center"/>
          </w:tcPr>
          <w:p w14:paraId="1C7191DE" w14:textId="77777777" w:rsidR="00605A92" w:rsidRPr="0018509A" w:rsidRDefault="00605A92" w:rsidP="00F41AE4">
            <w:pPr>
              <w:spacing w:beforeLines="20" w:before="62" w:afterLines="10" w:after="31"/>
              <w:jc w:val="center"/>
              <w:rPr>
                <w:rFonts w:ascii="宋体"/>
                <w:kern w:val="2"/>
                <w:sz w:val="21"/>
              </w:rPr>
            </w:pPr>
            <w:r w:rsidRPr="0018509A">
              <w:rPr>
                <w:rFonts w:ascii="宋体"/>
                <w:kern w:val="2"/>
                <w:sz w:val="21"/>
              </w:rPr>
              <w:t>易方达稳健收益债券A</w:t>
            </w:r>
          </w:p>
        </w:tc>
        <w:tc>
          <w:tcPr>
            <w:tcW w:w="1095" w:type="pct"/>
            <w:noWrap/>
            <w:vAlign w:val="center"/>
          </w:tcPr>
          <w:p w14:paraId="4BF5BE60" w14:textId="77777777" w:rsidR="00605A92" w:rsidRPr="0018509A" w:rsidRDefault="00605A92" w:rsidP="00F41AE4">
            <w:pPr>
              <w:widowControl/>
              <w:spacing w:beforeLines="20" w:before="62" w:afterLines="10" w:after="31"/>
              <w:jc w:val="right"/>
              <w:rPr>
                <w:rFonts w:ascii="宋体"/>
                <w:kern w:val="2"/>
                <w:sz w:val="21"/>
              </w:rPr>
            </w:pPr>
            <w:r w:rsidRPr="0018509A">
              <w:rPr>
                <w:rFonts w:ascii="宋体"/>
                <w:kern w:val="2"/>
                <w:sz w:val="21"/>
              </w:rPr>
              <w:t>1,076,540.03</w:t>
            </w:r>
          </w:p>
        </w:tc>
        <w:tc>
          <w:tcPr>
            <w:tcW w:w="1348" w:type="pct"/>
            <w:noWrap/>
            <w:vAlign w:val="center"/>
          </w:tcPr>
          <w:p w14:paraId="2D9542B7"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1,449,991.77</w:t>
            </w:r>
          </w:p>
        </w:tc>
        <w:tc>
          <w:tcPr>
            <w:tcW w:w="1041" w:type="pct"/>
            <w:noWrap/>
            <w:vAlign w:val="center"/>
          </w:tcPr>
          <w:p w14:paraId="522D3827"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8.66%</w:t>
            </w:r>
          </w:p>
        </w:tc>
      </w:tr>
      <w:tr w:rsidR="00605A92" w:rsidRPr="0018509A" w14:paraId="63D60162" w14:textId="77777777" w:rsidTr="00F41AE4">
        <w:trPr>
          <w:trHeight w:val="285"/>
        </w:trPr>
        <w:tc>
          <w:tcPr>
            <w:tcW w:w="421" w:type="pct"/>
            <w:vAlign w:val="center"/>
          </w:tcPr>
          <w:p w14:paraId="670B812C" w14:textId="77777777" w:rsidR="00605A92" w:rsidRPr="0018509A" w:rsidRDefault="00605A92" w:rsidP="00F41AE4">
            <w:pPr>
              <w:widowControl/>
              <w:spacing w:beforeLines="20" w:before="62" w:afterLines="10" w:after="31"/>
              <w:jc w:val="center"/>
              <w:rPr>
                <w:rFonts w:ascii="宋体"/>
                <w:kern w:val="2"/>
                <w:sz w:val="21"/>
              </w:rPr>
            </w:pPr>
            <w:r w:rsidRPr="0018509A">
              <w:rPr>
                <w:rFonts w:ascii="宋体"/>
                <w:kern w:val="2"/>
                <w:sz w:val="21"/>
              </w:rPr>
              <w:t>4</w:t>
            </w:r>
          </w:p>
        </w:tc>
        <w:tc>
          <w:tcPr>
            <w:tcW w:w="1095" w:type="pct"/>
            <w:noWrap/>
            <w:vAlign w:val="center"/>
          </w:tcPr>
          <w:p w14:paraId="3F67671A" w14:textId="77777777" w:rsidR="00605A92" w:rsidRPr="0018509A" w:rsidRDefault="00605A92" w:rsidP="00F41AE4">
            <w:pPr>
              <w:spacing w:beforeLines="20" w:before="62" w:afterLines="10" w:after="31"/>
              <w:jc w:val="center"/>
              <w:rPr>
                <w:rFonts w:ascii="宋体"/>
                <w:kern w:val="2"/>
                <w:sz w:val="21"/>
              </w:rPr>
            </w:pPr>
            <w:r w:rsidRPr="0018509A">
              <w:rPr>
                <w:rFonts w:ascii="宋体"/>
                <w:kern w:val="2"/>
                <w:sz w:val="21"/>
              </w:rPr>
              <w:t>易方达现金增利货币B</w:t>
            </w:r>
          </w:p>
        </w:tc>
        <w:tc>
          <w:tcPr>
            <w:tcW w:w="1095" w:type="pct"/>
            <w:noWrap/>
            <w:vAlign w:val="center"/>
          </w:tcPr>
          <w:p w14:paraId="7CEB1C6B" w14:textId="77777777" w:rsidR="00605A92" w:rsidRPr="0018509A" w:rsidRDefault="00605A92" w:rsidP="00F41AE4">
            <w:pPr>
              <w:widowControl/>
              <w:spacing w:beforeLines="20" w:before="62" w:afterLines="10" w:after="31"/>
              <w:jc w:val="right"/>
              <w:rPr>
                <w:rFonts w:ascii="宋体"/>
                <w:kern w:val="2"/>
                <w:sz w:val="21"/>
              </w:rPr>
            </w:pPr>
            <w:r w:rsidRPr="0018509A">
              <w:rPr>
                <w:rFonts w:ascii="宋体"/>
                <w:kern w:val="2"/>
                <w:sz w:val="21"/>
              </w:rPr>
              <w:t>1,085,765.22</w:t>
            </w:r>
          </w:p>
        </w:tc>
        <w:tc>
          <w:tcPr>
            <w:tcW w:w="1348" w:type="pct"/>
            <w:noWrap/>
            <w:vAlign w:val="center"/>
          </w:tcPr>
          <w:p w14:paraId="62AE3C1D"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1,085,765.22</w:t>
            </w:r>
          </w:p>
        </w:tc>
        <w:tc>
          <w:tcPr>
            <w:tcW w:w="1041" w:type="pct"/>
            <w:noWrap/>
            <w:vAlign w:val="center"/>
          </w:tcPr>
          <w:p w14:paraId="51451F7E"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6.48%</w:t>
            </w:r>
          </w:p>
        </w:tc>
      </w:tr>
      <w:tr w:rsidR="00605A92" w:rsidRPr="0018509A" w14:paraId="78293B4A" w14:textId="77777777" w:rsidTr="00F41AE4">
        <w:trPr>
          <w:trHeight w:val="285"/>
        </w:trPr>
        <w:tc>
          <w:tcPr>
            <w:tcW w:w="421" w:type="pct"/>
            <w:vAlign w:val="center"/>
          </w:tcPr>
          <w:p w14:paraId="23FFF9ED" w14:textId="77777777" w:rsidR="00605A92" w:rsidRPr="0018509A" w:rsidRDefault="00605A92" w:rsidP="00F41AE4">
            <w:pPr>
              <w:widowControl/>
              <w:spacing w:beforeLines="20" w:before="62" w:afterLines="10" w:after="31"/>
              <w:jc w:val="center"/>
              <w:rPr>
                <w:rFonts w:ascii="宋体"/>
                <w:kern w:val="2"/>
                <w:sz w:val="21"/>
              </w:rPr>
            </w:pPr>
            <w:r w:rsidRPr="0018509A">
              <w:rPr>
                <w:rFonts w:ascii="宋体"/>
                <w:kern w:val="2"/>
                <w:sz w:val="21"/>
              </w:rPr>
              <w:t>5</w:t>
            </w:r>
          </w:p>
        </w:tc>
        <w:tc>
          <w:tcPr>
            <w:tcW w:w="1095" w:type="pct"/>
            <w:noWrap/>
            <w:vAlign w:val="center"/>
          </w:tcPr>
          <w:p w14:paraId="2E23AD19" w14:textId="77777777" w:rsidR="00605A92" w:rsidRPr="0018509A" w:rsidRDefault="00605A92" w:rsidP="00F41AE4">
            <w:pPr>
              <w:spacing w:beforeLines="20" w:before="62" w:afterLines="10" w:after="31"/>
              <w:jc w:val="center"/>
              <w:rPr>
                <w:rFonts w:ascii="宋体"/>
                <w:kern w:val="2"/>
                <w:sz w:val="21"/>
              </w:rPr>
            </w:pPr>
            <w:r w:rsidRPr="0018509A">
              <w:rPr>
                <w:rFonts w:ascii="宋体"/>
                <w:kern w:val="2"/>
                <w:sz w:val="21"/>
              </w:rPr>
              <w:t>易方达高等级信用债债券C</w:t>
            </w:r>
          </w:p>
        </w:tc>
        <w:tc>
          <w:tcPr>
            <w:tcW w:w="1095" w:type="pct"/>
            <w:noWrap/>
            <w:vAlign w:val="center"/>
          </w:tcPr>
          <w:p w14:paraId="29B4742C" w14:textId="77777777" w:rsidR="00605A92" w:rsidRPr="0018509A" w:rsidRDefault="00605A92" w:rsidP="00F41AE4">
            <w:pPr>
              <w:widowControl/>
              <w:spacing w:beforeLines="20" w:before="62" w:afterLines="10" w:after="31"/>
              <w:jc w:val="right"/>
              <w:rPr>
                <w:rFonts w:ascii="宋体"/>
                <w:kern w:val="2"/>
                <w:sz w:val="21"/>
              </w:rPr>
            </w:pPr>
            <w:r w:rsidRPr="0018509A">
              <w:rPr>
                <w:rFonts w:ascii="宋体"/>
                <w:kern w:val="2"/>
                <w:sz w:val="21"/>
              </w:rPr>
              <w:t>895,255.15</w:t>
            </w:r>
          </w:p>
        </w:tc>
        <w:tc>
          <w:tcPr>
            <w:tcW w:w="1348" w:type="pct"/>
            <w:noWrap/>
            <w:vAlign w:val="center"/>
          </w:tcPr>
          <w:p w14:paraId="0AD97888"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1,010,743.06</w:t>
            </w:r>
          </w:p>
        </w:tc>
        <w:tc>
          <w:tcPr>
            <w:tcW w:w="1041" w:type="pct"/>
            <w:noWrap/>
            <w:vAlign w:val="center"/>
          </w:tcPr>
          <w:p w14:paraId="53F1A3E4"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6.04%</w:t>
            </w:r>
          </w:p>
        </w:tc>
      </w:tr>
      <w:tr w:rsidR="00605A92" w:rsidRPr="0018509A" w14:paraId="34C5600B" w14:textId="77777777" w:rsidTr="00F41AE4">
        <w:trPr>
          <w:trHeight w:val="285"/>
        </w:trPr>
        <w:tc>
          <w:tcPr>
            <w:tcW w:w="1517" w:type="pct"/>
            <w:gridSpan w:val="2"/>
            <w:vAlign w:val="center"/>
          </w:tcPr>
          <w:p w14:paraId="03890862" w14:textId="77777777" w:rsidR="00605A92" w:rsidRPr="0018509A" w:rsidRDefault="00605A92" w:rsidP="00F41AE4">
            <w:pPr>
              <w:spacing w:beforeLines="20" w:before="62" w:afterLines="10" w:after="31"/>
              <w:jc w:val="center"/>
              <w:rPr>
                <w:rFonts w:ascii="宋体"/>
                <w:kern w:val="2"/>
                <w:sz w:val="21"/>
              </w:rPr>
            </w:pPr>
            <w:r w:rsidRPr="0018509A">
              <w:rPr>
                <w:rFonts w:ascii="宋体" w:hAnsi="宋体" w:cs="宋体" w:hint="eastAsia"/>
                <w:kern w:val="2"/>
                <w:sz w:val="21"/>
              </w:rPr>
              <w:t>合计</w:t>
            </w:r>
          </w:p>
        </w:tc>
        <w:tc>
          <w:tcPr>
            <w:tcW w:w="1095" w:type="pct"/>
            <w:noWrap/>
            <w:vAlign w:val="center"/>
          </w:tcPr>
          <w:p w14:paraId="3B134FE0" w14:textId="77777777" w:rsidR="00605A92" w:rsidRPr="0018509A" w:rsidRDefault="00605A92" w:rsidP="00F41AE4">
            <w:pPr>
              <w:widowControl/>
              <w:spacing w:beforeLines="20" w:before="62" w:afterLines="10" w:after="31"/>
              <w:jc w:val="right"/>
              <w:rPr>
                <w:rFonts w:ascii="宋体"/>
                <w:sz w:val="21"/>
              </w:rPr>
            </w:pPr>
            <w:r w:rsidRPr="0018509A">
              <w:rPr>
                <w:rFonts w:ascii="宋体" w:hint="eastAsia"/>
                <w:sz w:val="21"/>
              </w:rPr>
              <w:t>6,015,511.37</w:t>
            </w:r>
          </w:p>
        </w:tc>
        <w:tc>
          <w:tcPr>
            <w:tcW w:w="1348" w:type="pct"/>
            <w:noWrap/>
            <w:vAlign w:val="center"/>
          </w:tcPr>
          <w:p w14:paraId="6EEC07A8" w14:textId="77777777" w:rsidR="00605A92" w:rsidRPr="0018509A" w:rsidRDefault="00605A92" w:rsidP="00F41AE4">
            <w:pPr>
              <w:widowControl/>
              <w:spacing w:beforeLines="20" w:before="62" w:afterLines="10" w:after="31"/>
              <w:jc w:val="right"/>
              <w:rPr>
                <w:rFonts w:ascii="宋体"/>
                <w:sz w:val="21"/>
              </w:rPr>
            </w:pPr>
            <w:r w:rsidRPr="0018509A">
              <w:rPr>
                <w:rFonts w:ascii="宋体"/>
                <w:kern w:val="2"/>
                <w:sz w:val="21"/>
              </w:rPr>
              <w:t>6,809,005.41</w:t>
            </w:r>
          </w:p>
        </w:tc>
        <w:tc>
          <w:tcPr>
            <w:tcW w:w="1041" w:type="pct"/>
            <w:noWrap/>
            <w:vAlign w:val="center"/>
          </w:tcPr>
          <w:p w14:paraId="6FEEBC94" w14:textId="77777777" w:rsidR="00605A92" w:rsidRPr="0018509A" w:rsidRDefault="00605A92" w:rsidP="00F41AE4">
            <w:pPr>
              <w:widowControl/>
              <w:spacing w:beforeLines="20" w:before="62" w:afterLines="10" w:after="31"/>
              <w:jc w:val="right"/>
              <w:rPr>
                <w:rFonts w:ascii="宋体"/>
                <w:sz w:val="21"/>
              </w:rPr>
            </w:pPr>
            <w:r w:rsidRPr="0018509A">
              <w:rPr>
                <w:rFonts w:ascii="宋体" w:hint="eastAsia"/>
                <w:sz w:val="21"/>
              </w:rPr>
              <w:t>40.66%</w:t>
            </w:r>
          </w:p>
        </w:tc>
      </w:tr>
    </w:tbl>
    <w:p w14:paraId="659EA1E0" w14:textId="77777777" w:rsidR="00B30E80" w:rsidRDefault="00B30E80" w:rsidP="008339A7"/>
    <w:p w14:paraId="02457DDB" w14:textId="28783C9C" w:rsidR="007C63D5" w:rsidRPr="00BB7711" w:rsidRDefault="007C63D5" w:rsidP="007C63D5">
      <w:pPr>
        <w:spacing w:beforeLines="20" w:before="62" w:afterLines="20" w:after="62"/>
        <w:outlineLvl w:val="0"/>
        <w:rPr>
          <w:rFonts w:ascii="宋体" w:cs="宋体"/>
          <w:b/>
          <w:bCs/>
          <w:sz w:val="24"/>
          <w:szCs w:val="24"/>
        </w:rPr>
      </w:pPr>
      <w:r>
        <w:rPr>
          <w:rFonts w:ascii="宋体" w:cs="宋体" w:hint="eastAsia"/>
          <w:b/>
          <w:bCs/>
          <w:sz w:val="24"/>
          <w:szCs w:val="24"/>
        </w:rPr>
        <w:t>六</w:t>
      </w:r>
      <w:r w:rsidRPr="00E12F6C">
        <w:rPr>
          <w:rFonts w:ascii="宋体" w:cs="宋体"/>
          <w:b/>
          <w:bCs/>
          <w:sz w:val="24"/>
          <w:szCs w:val="24"/>
        </w:rPr>
        <w:t>、</w:t>
      </w:r>
      <w:r w:rsidRPr="00E12F6C">
        <w:rPr>
          <w:rFonts w:ascii="宋体" w:cs="宋体" w:hint="eastAsia"/>
          <w:b/>
          <w:bCs/>
          <w:sz w:val="24"/>
          <w:szCs w:val="24"/>
        </w:rPr>
        <w:t>期间运用杠杆情况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1"/>
        <w:gridCol w:w="4261"/>
      </w:tblGrid>
      <w:tr w:rsidR="007C63D5" w:rsidRPr="00BB79D5" w14:paraId="51719ECE" w14:textId="77777777" w:rsidTr="00CD2135">
        <w:tc>
          <w:tcPr>
            <w:tcW w:w="2500" w:type="pct"/>
            <w:tcMar>
              <w:top w:w="0" w:type="dxa"/>
              <w:left w:w="108" w:type="dxa"/>
              <w:bottom w:w="0" w:type="dxa"/>
              <w:right w:w="108" w:type="dxa"/>
            </w:tcMar>
            <w:hideMark/>
          </w:tcPr>
          <w:p w14:paraId="3EF9F18E" w14:textId="77777777" w:rsidR="007C63D5" w:rsidRPr="00BB79D5" w:rsidRDefault="007C63D5" w:rsidP="00CD2135">
            <w:pPr>
              <w:jc w:val="center"/>
              <w:rPr>
                <w:rFonts w:ascii="Calibri" w:hAnsi="Calibri"/>
                <w:color w:val="000000" w:themeColor="text1"/>
              </w:rPr>
            </w:pPr>
            <w:r>
              <w:rPr>
                <w:rFonts w:hint="eastAsia"/>
                <w:color w:val="000000" w:themeColor="text1"/>
              </w:rPr>
              <w:t>报告期</w:t>
            </w:r>
            <w:r w:rsidRPr="00BB79D5">
              <w:rPr>
                <w:rFonts w:hint="eastAsia"/>
                <w:color w:val="000000" w:themeColor="text1"/>
              </w:rPr>
              <w:t>内平均杠杆率</w:t>
            </w:r>
          </w:p>
        </w:tc>
        <w:tc>
          <w:tcPr>
            <w:tcW w:w="2500" w:type="pct"/>
            <w:tcMar>
              <w:top w:w="0" w:type="dxa"/>
              <w:left w:w="108" w:type="dxa"/>
              <w:bottom w:w="0" w:type="dxa"/>
              <w:right w:w="108" w:type="dxa"/>
            </w:tcMar>
            <w:hideMark/>
          </w:tcPr>
          <w:p w14:paraId="15B4BADE" w14:textId="77777777" w:rsidR="007C63D5" w:rsidRPr="00BB79D5" w:rsidRDefault="007C63D5" w:rsidP="00CD2135">
            <w:pPr>
              <w:jc w:val="center"/>
              <w:rPr>
                <w:rFonts w:ascii="Calibri" w:hAnsi="Calibri"/>
                <w:color w:val="000000" w:themeColor="text1"/>
              </w:rPr>
            </w:pPr>
            <w:r w:rsidRPr="00BB79D5">
              <w:rPr>
                <w:rFonts w:hint="eastAsia"/>
                <w:color w:val="000000" w:themeColor="text1"/>
              </w:rPr>
              <w:t>期末杠杆率</w:t>
            </w:r>
          </w:p>
        </w:tc>
      </w:tr>
      <w:tr w:rsidR="007C63D5" w:rsidRPr="00BB79D5" w14:paraId="07F46631" w14:textId="77777777" w:rsidTr="00CD2135">
        <w:tc>
          <w:tcPr>
            <w:tcW w:w="2500" w:type="pct"/>
            <w:tcMar>
              <w:top w:w="0" w:type="dxa"/>
              <w:left w:w="108" w:type="dxa"/>
              <w:bottom w:w="0" w:type="dxa"/>
              <w:right w:w="108" w:type="dxa"/>
            </w:tcMar>
          </w:tcPr>
          <w:p w14:paraId="0EE61B9B" w14:textId="77777777" w:rsidR="007C63D5" w:rsidRPr="00BB79D5" w:rsidRDefault="007C63D5" w:rsidP="00CD2135">
            <w:pPr>
              <w:jc w:val="center"/>
              <w:rPr>
                <w:rFonts w:ascii="Calibri" w:hAnsi="Calibri"/>
                <w:color w:val="000000" w:themeColor="text1"/>
              </w:rPr>
            </w:pPr>
            <w:r w:rsidRPr="00B37064">
              <w:rPr>
                <w:rFonts w:asciiTheme="minorEastAsia" w:eastAsiaTheme="minorEastAsia" w:hAnsiTheme="minorEastAsia" w:hint="eastAsia"/>
                <w:color w:val="000000" w:themeColor="text1"/>
              </w:rPr>
              <w:t>100.14%</w:t>
            </w:r>
          </w:p>
        </w:tc>
        <w:tc>
          <w:tcPr>
            <w:tcW w:w="2500" w:type="pct"/>
            <w:tcMar>
              <w:top w:w="0" w:type="dxa"/>
              <w:left w:w="108" w:type="dxa"/>
              <w:bottom w:w="0" w:type="dxa"/>
              <w:right w:w="108" w:type="dxa"/>
            </w:tcMar>
          </w:tcPr>
          <w:p w14:paraId="2CBDC9D3" w14:textId="77777777" w:rsidR="007C63D5" w:rsidRPr="00BB79D5" w:rsidRDefault="007C63D5" w:rsidP="00CD2135">
            <w:pPr>
              <w:jc w:val="center"/>
              <w:rPr>
                <w:rFonts w:ascii="Calibri" w:hAnsi="Calibri"/>
                <w:color w:val="000000" w:themeColor="text1"/>
              </w:rPr>
            </w:pPr>
            <w:r w:rsidRPr="00B37064">
              <w:rPr>
                <w:rFonts w:asciiTheme="minorEastAsia" w:eastAsiaTheme="minorEastAsia" w:hAnsiTheme="minorEastAsia" w:hint="eastAsia"/>
                <w:color w:val="000000" w:themeColor="text1"/>
              </w:rPr>
              <w:t>106.01%</w:t>
            </w:r>
          </w:p>
        </w:tc>
      </w:tr>
    </w:tbl>
    <w:p w14:paraId="66A03512" w14:textId="77777777" w:rsidR="00DE531F" w:rsidRPr="007C63D5" w:rsidRDefault="00DE531F" w:rsidP="008339A7"/>
    <w:p w14:paraId="5BFA1DFC" w14:textId="77777777" w:rsidR="00DE531F" w:rsidRDefault="00DE531F" w:rsidP="00DE531F">
      <w:pPr>
        <w:spacing w:beforeLines="20" w:before="62" w:afterLines="20" w:after="62"/>
        <w:outlineLvl w:val="0"/>
        <w:rPr>
          <w:rFonts w:ascii="宋体" w:cs="宋体"/>
          <w:b/>
          <w:bCs/>
          <w:sz w:val="24"/>
          <w:szCs w:val="24"/>
        </w:rPr>
      </w:pPr>
      <w:r w:rsidRPr="00DE531F">
        <w:rPr>
          <w:rFonts w:ascii="宋体" w:cs="宋体" w:hint="eastAsia"/>
          <w:b/>
          <w:bCs/>
          <w:sz w:val="24"/>
          <w:szCs w:val="24"/>
        </w:rPr>
        <w:t>七</w:t>
      </w:r>
      <w:r w:rsidRPr="00DE531F">
        <w:rPr>
          <w:rFonts w:ascii="宋体" w:cs="宋体"/>
          <w:b/>
          <w:bCs/>
          <w:sz w:val="24"/>
          <w:szCs w:val="24"/>
        </w:rPr>
        <w:t>、</w:t>
      </w:r>
      <w:r w:rsidRPr="00DE531F">
        <w:rPr>
          <w:rFonts w:ascii="宋体" w:cs="宋体" w:hint="eastAsia"/>
          <w:b/>
          <w:bCs/>
          <w:sz w:val="24"/>
          <w:szCs w:val="24"/>
        </w:rPr>
        <w:t>资产管理计划</w:t>
      </w:r>
      <w:r w:rsidRPr="00DE531F">
        <w:rPr>
          <w:rFonts w:ascii="宋体" w:cs="宋体"/>
          <w:b/>
          <w:bCs/>
          <w:sz w:val="24"/>
          <w:szCs w:val="24"/>
        </w:rPr>
        <w:t>费用</w:t>
      </w:r>
    </w:p>
    <w:p w14:paraId="255D403D" w14:textId="5AFB0BBC" w:rsidR="00DE531F" w:rsidRPr="005B78D1" w:rsidRDefault="00DE531F" w:rsidP="00DE531F">
      <w:pPr>
        <w:snapToGrid w:val="0"/>
        <w:spacing w:line="360" w:lineRule="auto"/>
        <w:jc w:val="right"/>
        <w:rPr>
          <w:rFonts w:ascii="宋体" w:hAnsi="宋体" w:cs="宋体"/>
        </w:rPr>
      </w:pPr>
      <w:r w:rsidRPr="005B78D1">
        <w:rPr>
          <w:rFonts w:ascii="宋体" w:hAnsi="宋体" w:cs="宋体" w:hint="eastAsia"/>
        </w:rPr>
        <w:t>单位：人民币元</w:t>
      </w:r>
    </w:p>
    <w:tbl>
      <w:tblPr>
        <w:tblStyle w:val="a5"/>
        <w:tblW w:w="5000" w:type="pct"/>
        <w:tblLook w:val="04A0" w:firstRow="1" w:lastRow="0" w:firstColumn="1" w:lastColumn="0" w:noHBand="0" w:noVBand="1"/>
      </w:tblPr>
      <w:tblGrid>
        <w:gridCol w:w="4261"/>
        <w:gridCol w:w="4261"/>
      </w:tblGrid>
      <w:tr w:rsidR="00DE531F" w:rsidRPr="005B78D1" w14:paraId="106D697E" w14:textId="77777777" w:rsidTr="00401729">
        <w:tc>
          <w:tcPr>
            <w:tcW w:w="2500" w:type="pct"/>
          </w:tcPr>
          <w:p w14:paraId="05762906" w14:textId="77777777" w:rsidR="00DE531F" w:rsidRPr="005B78D1" w:rsidRDefault="00DE531F" w:rsidP="00401729">
            <w:pPr>
              <w:snapToGrid w:val="0"/>
              <w:spacing w:beforeLines="20" w:before="62" w:afterLines="20" w:after="62"/>
              <w:jc w:val="center"/>
              <w:outlineLvl w:val="0"/>
              <w:rPr>
                <w:rFonts w:asciiTheme="minorEastAsia" w:eastAsiaTheme="minorEastAsia" w:hAnsiTheme="minorEastAsia" w:cs="宋体"/>
                <w:bCs/>
                <w:sz w:val="21"/>
              </w:rPr>
            </w:pPr>
            <w:r w:rsidRPr="005B78D1">
              <w:rPr>
                <w:rFonts w:asciiTheme="minorEastAsia" w:eastAsiaTheme="minorEastAsia" w:hAnsiTheme="minorEastAsia" w:cs="宋体" w:hint="eastAsia"/>
                <w:bCs/>
                <w:sz w:val="21"/>
              </w:rPr>
              <w:t>项目</w:t>
            </w:r>
          </w:p>
        </w:tc>
        <w:tc>
          <w:tcPr>
            <w:tcW w:w="2500" w:type="pct"/>
          </w:tcPr>
          <w:p w14:paraId="21107BE3" w14:textId="77777777" w:rsidR="00DE531F" w:rsidRPr="005B78D1" w:rsidRDefault="00DE531F" w:rsidP="00401729">
            <w:pPr>
              <w:snapToGrid w:val="0"/>
              <w:spacing w:beforeLines="20" w:before="62" w:afterLines="20" w:after="62"/>
              <w:jc w:val="center"/>
              <w:outlineLvl w:val="0"/>
              <w:rPr>
                <w:rFonts w:asciiTheme="minorEastAsia" w:eastAsiaTheme="minorEastAsia" w:hAnsiTheme="minorEastAsia" w:cs="宋体"/>
                <w:bCs/>
                <w:sz w:val="21"/>
              </w:rPr>
            </w:pPr>
            <w:r w:rsidRPr="00F801A5">
              <w:rPr>
                <w:rFonts w:asciiTheme="minorEastAsia" w:eastAsiaTheme="minorEastAsia" w:hAnsiTheme="minorEastAsia" w:cs="宋体" w:hint="eastAsia"/>
                <w:bCs/>
                <w:sz w:val="21"/>
              </w:rPr>
              <w:t>本报告期</w:t>
            </w:r>
          </w:p>
        </w:tc>
      </w:tr>
      <w:tr w:rsidR="00DE531F" w:rsidRPr="005B78D1" w14:paraId="35822D34" w14:textId="77777777" w:rsidTr="00401729">
        <w:tc>
          <w:tcPr>
            <w:tcW w:w="2500" w:type="pct"/>
          </w:tcPr>
          <w:p w14:paraId="5074B8D3" w14:textId="77777777" w:rsidR="00DE531F" w:rsidRPr="005B78D1" w:rsidRDefault="00DE531F" w:rsidP="00401729">
            <w:pPr>
              <w:snapToGrid w:val="0"/>
              <w:spacing w:beforeLines="20" w:before="62" w:afterLines="20" w:after="62"/>
              <w:jc w:val="center"/>
              <w:outlineLvl w:val="0"/>
              <w:rPr>
                <w:rFonts w:asciiTheme="minorEastAsia" w:eastAsiaTheme="minorEastAsia" w:hAnsiTheme="minorEastAsia" w:cs="宋体"/>
                <w:bCs/>
                <w:sz w:val="21"/>
              </w:rPr>
            </w:pPr>
            <w:r>
              <w:rPr>
                <w:rFonts w:asciiTheme="minorEastAsia" w:eastAsiaTheme="minorEastAsia" w:hAnsiTheme="minorEastAsia" w:cs="宋体" w:hint="eastAsia"/>
                <w:bCs/>
                <w:sz w:val="21"/>
              </w:rPr>
              <w:t>管理费</w:t>
            </w:r>
          </w:p>
        </w:tc>
        <w:tc>
          <w:tcPr>
            <w:tcW w:w="2500" w:type="pct"/>
          </w:tcPr>
          <w:p w14:paraId="28E35D61" w14:textId="77B19F89" w:rsidR="00DE531F" w:rsidRPr="005B78D1" w:rsidRDefault="00C95D86" w:rsidP="00401729">
            <w:pPr>
              <w:snapToGrid w:val="0"/>
              <w:spacing w:beforeLines="20" w:before="62" w:afterLines="20" w:after="62"/>
              <w:jc w:val="center"/>
              <w:outlineLvl w:val="0"/>
              <w:rPr>
                <w:rFonts w:asciiTheme="minorEastAsia" w:eastAsiaTheme="minorEastAsia" w:hAnsiTheme="minorEastAsia" w:cs="宋体"/>
                <w:bCs/>
                <w:sz w:val="21"/>
              </w:rPr>
            </w:pPr>
            <w:r w:rsidRPr="00C95D86">
              <w:rPr>
                <w:rFonts w:asciiTheme="minorEastAsia" w:eastAsiaTheme="minorEastAsia" w:hAnsiTheme="minorEastAsia" w:cs="宋体"/>
                <w:bCs/>
                <w:sz w:val="21"/>
              </w:rPr>
              <w:t>5,772.31</w:t>
            </w:r>
          </w:p>
        </w:tc>
      </w:tr>
      <w:tr w:rsidR="00DE531F" w:rsidRPr="005B78D1" w14:paraId="0A1C6B09" w14:textId="77777777" w:rsidTr="00401729">
        <w:tc>
          <w:tcPr>
            <w:tcW w:w="2500" w:type="pct"/>
          </w:tcPr>
          <w:p w14:paraId="5E0CEAFF" w14:textId="77777777" w:rsidR="00DE531F" w:rsidRPr="005B78D1" w:rsidRDefault="00DE531F" w:rsidP="00401729">
            <w:pPr>
              <w:snapToGrid w:val="0"/>
              <w:spacing w:beforeLines="20" w:before="62" w:afterLines="20" w:after="62"/>
              <w:jc w:val="center"/>
              <w:outlineLvl w:val="0"/>
              <w:rPr>
                <w:rFonts w:asciiTheme="minorEastAsia" w:eastAsiaTheme="minorEastAsia" w:hAnsiTheme="minorEastAsia" w:cs="宋体"/>
                <w:bCs/>
                <w:sz w:val="21"/>
              </w:rPr>
            </w:pPr>
            <w:r>
              <w:rPr>
                <w:rFonts w:asciiTheme="minorEastAsia" w:eastAsiaTheme="minorEastAsia" w:hAnsiTheme="minorEastAsia" w:cs="宋体" w:hint="eastAsia"/>
                <w:bCs/>
                <w:sz w:val="21"/>
              </w:rPr>
              <w:t>托管费</w:t>
            </w:r>
          </w:p>
        </w:tc>
        <w:tc>
          <w:tcPr>
            <w:tcW w:w="2500" w:type="pct"/>
          </w:tcPr>
          <w:p w14:paraId="30A020F0" w14:textId="31184EDB" w:rsidR="00DE531F" w:rsidRPr="005B78D1" w:rsidRDefault="00C95D86" w:rsidP="00401729">
            <w:pPr>
              <w:snapToGrid w:val="0"/>
              <w:spacing w:beforeLines="20" w:before="62" w:afterLines="20" w:after="62"/>
              <w:jc w:val="center"/>
              <w:outlineLvl w:val="0"/>
              <w:rPr>
                <w:rFonts w:asciiTheme="minorEastAsia" w:eastAsiaTheme="minorEastAsia" w:hAnsiTheme="minorEastAsia" w:cs="宋体"/>
                <w:bCs/>
                <w:sz w:val="21"/>
              </w:rPr>
            </w:pPr>
            <w:r w:rsidRPr="00C95D86">
              <w:rPr>
                <w:rFonts w:asciiTheme="minorEastAsia" w:eastAsiaTheme="minorEastAsia" w:hAnsiTheme="minorEastAsia" w:cs="宋体"/>
                <w:bCs/>
                <w:sz w:val="21"/>
              </w:rPr>
              <w:t>1,253.59</w:t>
            </w:r>
          </w:p>
        </w:tc>
      </w:tr>
      <w:tr w:rsidR="00DE531F" w:rsidRPr="005B78D1" w14:paraId="35F4D897" w14:textId="77777777" w:rsidTr="00401729">
        <w:tc>
          <w:tcPr>
            <w:tcW w:w="2500" w:type="pct"/>
          </w:tcPr>
          <w:p w14:paraId="7F42F58F" w14:textId="77777777" w:rsidR="00DE531F" w:rsidRPr="005B78D1" w:rsidRDefault="00DE531F" w:rsidP="00401729">
            <w:pPr>
              <w:snapToGrid w:val="0"/>
              <w:spacing w:beforeLines="20" w:before="62" w:afterLines="20" w:after="62"/>
              <w:jc w:val="center"/>
              <w:outlineLvl w:val="0"/>
              <w:rPr>
                <w:rFonts w:asciiTheme="minorEastAsia" w:eastAsiaTheme="minorEastAsia" w:hAnsiTheme="minorEastAsia" w:cs="宋体"/>
                <w:bCs/>
                <w:sz w:val="21"/>
              </w:rPr>
            </w:pPr>
            <w:r w:rsidRPr="005B78D1">
              <w:rPr>
                <w:rFonts w:asciiTheme="minorEastAsia" w:eastAsiaTheme="minorEastAsia" w:hAnsiTheme="minorEastAsia" w:cs="宋体" w:hint="eastAsia"/>
                <w:bCs/>
                <w:sz w:val="21"/>
              </w:rPr>
              <w:t>业绩报酬</w:t>
            </w:r>
          </w:p>
        </w:tc>
        <w:tc>
          <w:tcPr>
            <w:tcW w:w="2500" w:type="pct"/>
          </w:tcPr>
          <w:p w14:paraId="46D35F1E" w14:textId="7F3527AC" w:rsidR="00DE531F" w:rsidRPr="005B78D1" w:rsidRDefault="00C95D86" w:rsidP="00401729">
            <w:pPr>
              <w:snapToGrid w:val="0"/>
              <w:spacing w:beforeLines="20" w:before="62" w:afterLines="20" w:after="62"/>
              <w:jc w:val="center"/>
              <w:outlineLvl w:val="0"/>
              <w:rPr>
                <w:rFonts w:asciiTheme="minorEastAsia" w:eastAsiaTheme="minorEastAsia" w:hAnsiTheme="minorEastAsia" w:cs="宋体"/>
                <w:bCs/>
                <w:sz w:val="21"/>
              </w:rPr>
            </w:pPr>
            <w:r w:rsidRPr="00C95D86">
              <w:rPr>
                <w:rFonts w:asciiTheme="minorEastAsia" w:eastAsiaTheme="minorEastAsia" w:hAnsiTheme="minorEastAsia" w:cs="宋体"/>
                <w:bCs/>
                <w:sz w:val="21"/>
              </w:rPr>
              <w:t>0.00</w:t>
            </w:r>
          </w:p>
        </w:tc>
      </w:tr>
    </w:tbl>
    <w:p w14:paraId="2B20ECC6" w14:textId="04C53DDD" w:rsidR="00DE531F" w:rsidRPr="00DE531F" w:rsidRDefault="00DE531F" w:rsidP="00DE531F">
      <w:pPr>
        <w:autoSpaceDE w:val="0"/>
        <w:autoSpaceDN w:val="0"/>
        <w:adjustRightInd w:val="0"/>
        <w:snapToGrid w:val="0"/>
        <w:spacing w:line="360" w:lineRule="auto"/>
        <w:ind w:left="-180" w:right="114"/>
        <w:rPr>
          <w:rFonts w:ascii="宋体" w:hAnsi="Arial" w:cs="宋体"/>
          <w:color w:val="000000"/>
          <w:kern w:val="0"/>
        </w:rPr>
      </w:pPr>
      <w:r w:rsidRPr="00F801A5">
        <w:rPr>
          <w:rFonts w:ascii="宋体" w:hAnsi="Arial" w:cs="宋体" w:hint="eastAsia"/>
          <w:color w:val="000000"/>
          <w:kern w:val="0"/>
        </w:rPr>
        <w:t>注</w:t>
      </w:r>
      <w:r w:rsidRPr="00F801A5">
        <w:rPr>
          <w:rFonts w:ascii="宋体" w:hAnsi="Arial" w:cs="宋体"/>
          <w:color w:val="000000"/>
          <w:kern w:val="0"/>
        </w:rPr>
        <w:t>：</w:t>
      </w:r>
      <w:r>
        <w:rPr>
          <w:rFonts w:ascii="宋体" w:hAnsi="Arial" w:cs="宋体" w:hint="eastAsia"/>
          <w:color w:val="000000"/>
          <w:kern w:val="0"/>
        </w:rPr>
        <w:t>关于</w:t>
      </w:r>
      <w:r w:rsidRPr="00F801A5">
        <w:rPr>
          <w:rFonts w:ascii="宋体" w:hAnsi="Arial" w:cs="宋体" w:hint="eastAsia"/>
          <w:color w:val="000000"/>
          <w:kern w:val="0"/>
        </w:rPr>
        <w:t>资产管理计划支付的管理费、托管费、业绩报酬（如有）等费用的计提基准、计提方式和支付方式</w:t>
      </w:r>
      <w:r>
        <w:rPr>
          <w:rFonts w:ascii="宋体" w:hAnsi="Arial" w:cs="宋体" w:hint="eastAsia"/>
          <w:color w:val="000000"/>
          <w:kern w:val="0"/>
        </w:rPr>
        <w:t>，请见末尾</w:t>
      </w:r>
      <w:r>
        <w:rPr>
          <w:rFonts w:ascii="宋体" w:hAnsi="Arial" w:cs="宋体"/>
          <w:color w:val="000000"/>
          <w:kern w:val="0"/>
        </w:rPr>
        <w:t>的附注</w:t>
      </w:r>
      <w:r>
        <w:rPr>
          <w:rFonts w:ascii="宋体" w:hAnsi="Arial" w:cs="宋体" w:hint="eastAsia"/>
          <w:color w:val="000000"/>
          <w:kern w:val="0"/>
        </w:rPr>
        <w:t>，若</w:t>
      </w:r>
      <w:r>
        <w:rPr>
          <w:rFonts w:ascii="宋体" w:hAnsi="Arial" w:cs="宋体"/>
          <w:color w:val="000000"/>
          <w:kern w:val="0"/>
        </w:rPr>
        <w:t>与</w:t>
      </w:r>
      <w:r w:rsidRPr="00F801A5">
        <w:rPr>
          <w:rFonts w:ascii="宋体" w:hAnsi="Arial" w:cs="宋体" w:hint="eastAsia"/>
          <w:color w:val="000000"/>
          <w:kern w:val="0"/>
        </w:rPr>
        <w:t>资产管理计划</w:t>
      </w:r>
      <w:r>
        <w:rPr>
          <w:rFonts w:ascii="宋体" w:hAnsi="Arial" w:cs="宋体" w:hint="eastAsia"/>
          <w:color w:val="000000"/>
          <w:kern w:val="0"/>
        </w:rPr>
        <w:t>合同、</w:t>
      </w:r>
      <w:r>
        <w:rPr>
          <w:rFonts w:ascii="宋体" w:hAnsi="Arial" w:cs="宋体"/>
          <w:color w:val="000000"/>
          <w:kern w:val="0"/>
        </w:rPr>
        <w:t>补充协议</w:t>
      </w:r>
      <w:r>
        <w:rPr>
          <w:rFonts w:ascii="宋体" w:hAnsi="Arial" w:cs="宋体" w:hint="eastAsia"/>
          <w:color w:val="000000"/>
          <w:kern w:val="0"/>
        </w:rPr>
        <w:t>等的</w:t>
      </w:r>
      <w:r>
        <w:rPr>
          <w:rFonts w:ascii="宋体" w:hAnsi="Arial" w:cs="宋体"/>
          <w:color w:val="000000"/>
          <w:kern w:val="0"/>
        </w:rPr>
        <w:t>不一致，请以</w:t>
      </w:r>
      <w:r w:rsidRPr="00F801A5">
        <w:rPr>
          <w:rFonts w:ascii="宋体" w:hAnsi="Arial" w:cs="宋体" w:hint="eastAsia"/>
          <w:color w:val="000000"/>
          <w:kern w:val="0"/>
        </w:rPr>
        <w:t>资产管理计划</w:t>
      </w:r>
      <w:r>
        <w:rPr>
          <w:rFonts w:ascii="宋体" w:hAnsi="Arial" w:cs="宋体" w:hint="eastAsia"/>
          <w:color w:val="000000"/>
          <w:kern w:val="0"/>
        </w:rPr>
        <w:t>合同</w:t>
      </w:r>
      <w:r>
        <w:rPr>
          <w:rFonts w:ascii="宋体" w:hAnsi="Arial" w:cs="宋体"/>
          <w:color w:val="000000"/>
          <w:kern w:val="0"/>
        </w:rPr>
        <w:t>、补充协议</w:t>
      </w:r>
      <w:r>
        <w:rPr>
          <w:rFonts w:ascii="宋体" w:hAnsi="Arial" w:cs="宋体" w:hint="eastAsia"/>
          <w:color w:val="000000"/>
          <w:kern w:val="0"/>
        </w:rPr>
        <w:t>等的约定</w:t>
      </w:r>
      <w:r>
        <w:rPr>
          <w:rFonts w:ascii="宋体" w:hAnsi="Arial" w:cs="宋体"/>
          <w:color w:val="000000"/>
          <w:kern w:val="0"/>
        </w:rPr>
        <w:t>为准。</w:t>
      </w:r>
    </w:p>
    <w:p w14:paraId="19DAD59B" w14:textId="77777777" w:rsidR="00DE531F" w:rsidRDefault="00DE531F" w:rsidP="008339A7"/>
    <w:p w14:paraId="490A5B72" w14:textId="1891F2FF" w:rsidR="000269BA" w:rsidRPr="00DE531F" w:rsidRDefault="00DE531F" w:rsidP="00DE531F">
      <w:pPr>
        <w:spacing w:beforeLines="20" w:before="62" w:afterLines="20" w:after="62" w:line="360" w:lineRule="auto"/>
        <w:outlineLvl w:val="0"/>
        <w:rPr>
          <w:rFonts w:ascii="宋体" w:cs="宋体"/>
          <w:b/>
          <w:bCs/>
          <w:sz w:val="24"/>
          <w:szCs w:val="24"/>
        </w:rPr>
      </w:pPr>
      <w:r>
        <w:rPr>
          <w:rFonts w:ascii="宋体" w:cs="宋体" w:hint="eastAsia"/>
          <w:b/>
          <w:bCs/>
          <w:sz w:val="24"/>
          <w:szCs w:val="24"/>
        </w:rPr>
        <w:t>八</w:t>
      </w:r>
      <w:r w:rsidR="000269BA">
        <w:rPr>
          <w:rFonts w:ascii="宋体" w:cs="宋体" w:hint="eastAsia"/>
          <w:b/>
          <w:bCs/>
          <w:sz w:val="24"/>
          <w:szCs w:val="24"/>
        </w:rPr>
        <w:t>、</w:t>
      </w:r>
      <w:r w:rsidR="00E12F6C" w:rsidRPr="00E12F6C">
        <w:rPr>
          <w:rFonts w:ascii="宋体" w:cs="宋体" w:hint="eastAsia"/>
          <w:b/>
          <w:bCs/>
          <w:sz w:val="24"/>
          <w:szCs w:val="24"/>
        </w:rPr>
        <w:t>管理运作报告</w:t>
      </w:r>
    </w:p>
    <w:p w14:paraId="2D63067F" w14:textId="62EF6449" w:rsidR="000269BA" w:rsidRDefault="000269BA" w:rsidP="00BF3C6B">
      <w:pPr>
        <w:spacing w:beforeLines="20" w:before="62" w:afterLines="20" w:after="62"/>
        <w:outlineLvl w:val="0"/>
        <w:rPr>
          <w:rFonts w:ascii="宋体" w:hAnsi="宋体" w:cs="宋体"/>
          <w:b/>
          <w:bCs/>
        </w:rPr>
      </w:pPr>
      <w:r>
        <w:rPr>
          <w:rFonts w:ascii="宋体" w:hAnsi="宋体" w:cs="宋体" w:hint="eastAsia"/>
          <w:b/>
          <w:bCs/>
        </w:rPr>
        <w:t>（一）</w:t>
      </w:r>
      <w:r w:rsidR="00E12F6C" w:rsidRPr="00E12F6C">
        <w:rPr>
          <w:rFonts w:ascii="宋体" w:hAnsi="宋体" w:cs="宋体" w:hint="eastAsia"/>
          <w:b/>
          <w:bCs/>
        </w:rPr>
        <w:t>本期证券市场回顾</w:t>
      </w:r>
    </w:p>
    <w:p w14:paraId="28CA5136" w14:textId="2DCE0210"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债券市场</w:t>
      </w:r>
    </w:p>
    <w:p w14:paraId="60D48170"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利率债方面，一季度利率走势呈“V”字型并震荡延伸，10年国债收益率整体在2.65%和2.85%之间，行情可分为三个阶段：第一阶段为1月，货币政策宽松，央行数次降息，下调OMO和MLF利率10BP，下调1年LPR利率10BP和5年LPR利率5BP，叠加经济悲观预期，市场多头情绪明显。第二阶段为1月末至2月中旬，社融信贷数据超预期，宽信用逻辑凸显，叠加海外升息预期抬升，利率从2.67%升至2.8%。第三阶段为2月中旬至3月底，此阶段消息众多，债市多空博弈，经济数据有好有坏，俄乌战争持续、疫情扩散引发避险情绪，但美国加息落地，美债收益率大幅上行又重挫债市情绪，利率在2.76%和2.85%间震荡。整个季度来看，10年期国债和国开债收益率分别保持不变和下行4BP。信用债方面，开年以来配置盘力量较强，收益率一度大幅下行，但2月底开始固收+理财产品受权益市场表现不善拖累，大规模赎回引发下跌。全季度来看信用债走势震荡。1Y信用债收益率大幅上行18BP，3Y和5Y信用债收益率分别下行4BP和1BP，信用利差走势分化。</w:t>
      </w:r>
    </w:p>
    <w:p w14:paraId="537693C2"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股票市场</w:t>
      </w:r>
    </w:p>
    <w:p w14:paraId="070F4CCD"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一季度A股市场整体走跌，走势节奏上看市场1月大跌，2月阶段性企稳震荡，3月中上旬继续大跌，随后下旬企稳弱反弹。成交额较上年四季度有小幅下降，一季度日均成交额10074亿元。其中，上证综指收跌10.65%，深证成指收跌18.44%，创业板指收跌19.96%，沪深300收跌14.53%，万得全A收跌13.92%。风格方面，价值优于成长，大小盘优于中盘。行业板块方面，煤炭、房地产、综合、银行、建筑装饰涨幅靠前，电子、国防军工、汽车、</w:t>
      </w:r>
      <w:r w:rsidRPr="00261190">
        <w:rPr>
          <w:rFonts w:asciiTheme="minorEastAsia" w:eastAsiaTheme="minorEastAsia" w:hAnsiTheme="minorEastAsia"/>
        </w:rPr>
        <w:lastRenderedPageBreak/>
        <w:t>家用电器、食品饮料跌幅靠前。主题概念方面，新冠特效药、煤炭开采、电子身份证、新型城镇化、猪产业、房地产等概念涨幅靠前，消费电子、智能音箱、元宇宙、汽车整车、汽车配件等概念跌幅靠前。回顾一季度，地缘政治摩擦升级及国内疫情爆发是市场整体下跌的主要超预期风险，科技成长股在美联储加息、美债利率飙升的背景下表现疲弱，消费板块因疫情扰动业绩承压，而煤炭、房地产板块则分别受益于通胀和稳增长政策表现相对占优。</w:t>
      </w:r>
    </w:p>
    <w:p w14:paraId="2F41BDE6" w14:textId="77777777" w:rsidR="00FB35E5" w:rsidRPr="00261190" w:rsidRDefault="00FB35E5" w:rsidP="006E6047">
      <w:pPr>
        <w:spacing w:line="360" w:lineRule="auto"/>
        <w:ind w:firstLineChars="200" w:firstLine="420"/>
        <w:rPr>
          <w:rFonts w:asciiTheme="minorEastAsia" w:eastAsiaTheme="minorEastAsia" w:hAnsiTheme="minorEastAsia"/>
        </w:rPr>
      </w:pPr>
    </w:p>
    <w:p w14:paraId="01D7D2E5" w14:textId="4CCCD012" w:rsidR="000269BA" w:rsidRDefault="000269BA" w:rsidP="00BF3C6B">
      <w:pPr>
        <w:spacing w:beforeLines="20" w:before="62" w:afterLines="20" w:after="62"/>
        <w:outlineLvl w:val="0"/>
        <w:rPr>
          <w:rFonts w:ascii="宋体" w:hAnsi="宋体" w:cs="宋体"/>
          <w:b/>
          <w:bCs/>
        </w:rPr>
      </w:pPr>
      <w:r>
        <w:rPr>
          <w:rFonts w:ascii="宋体" w:hAnsi="宋体" w:cs="宋体" w:hint="eastAsia"/>
          <w:b/>
          <w:bCs/>
        </w:rPr>
        <w:t>（二）</w:t>
      </w:r>
      <w:r w:rsidR="00E12F6C" w:rsidRPr="00E12F6C">
        <w:rPr>
          <w:rFonts w:ascii="宋体" w:hAnsi="宋体" w:cs="宋体" w:hint="eastAsia"/>
          <w:b/>
          <w:bCs/>
        </w:rPr>
        <w:t>本期委托资产投资策略</w:t>
      </w:r>
    </w:p>
    <w:p w14:paraId="5331F06F" w14:textId="32987194"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一季度权益市场经历了较大幅度的调整，特别是3月上半旬，受俄乌局势紧张、美联储加息脚步逼近、中概股暴跌及国内疫情多地扩散等利空叠加的影响，悲观情绪蔓延，市场出现非理性下杀。同时，美联储的加息意愿越发强烈，美债利率倒挂、通胀压力大于预期等因素，利率呈现了先下-后上-再重新回到2.8%以下的走势。</w:t>
      </w:r>
    </w:p>
    <w:p w14:paraId="71020759"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本期在期初维持整体策略和仓位，账户主要是在高端制造、金融、周期等板块进行配置，其中，周期和金融板块跌幅相对较小，对冲了一部分其他行业的剧烈跌幅。根据策略，账户仍以配置打新和部分主动型权益基金为主，保持谨慎的投资操作。</w:t>
      </w:r>
    </w:p>
    <w:p w14:paraId="081EF6E0" w14:textId="77777777" w:rsidR="00FB35E5" w:rsidRPr="00261190" w:rsidRDefault="00FB35E5" w:rsidP="006E6047">
      <w:pPr>
        <w:spacing w:line="360" w:lineRule="auto"/>
        <w:ind w:firstLineChars="200" w:firstLine="420"/>
        <w:rPr>
          <w:rFonts w:asciiTheme="minorEastAsia" w:eastAsiaTheme="minorEastAsia" w:hAnsiTheme="minorEastAsia"/>
        </w:rPr>
      </w:pPr>
    </w:p>
    <w:p w14:paraId="3B575811" w14:textId="15D960B8" w:rsidR="000269BA" w:rsidRDefault="000269BA" w:rsidP="00BF3C6B">
      <w:pPr>
        <w:spacing w:beforeLines="20" w:before="62" w:afterLines="20" w:after="62"/>
        <w:outlineLvl w:val="0"/>
        <w:rPr>
          <w:rFonts w:ascii="宋体" w:hAnsi="宋体" w:cs="宋体"/>
          <w:b/>
          <w:bCs/>
        </w:rPr>
      </w:pPr>
      <w:r>
        <w:rPr>
          <w:rFonts w:ascii="宋体" w:hAnsi="宋体" w:cs="宋体" w:hint="eastAsia"/>
          <w:b/>
          <w:bCs/>
        </w:rPr>
        <w:t>（三）</w:t>
      </w:r>
      <w:r w:rsidR="00E12F6C" w:rsidRPr="00E12F6C">
        <w:rPr>
          <w:rFonts w:ascii="宋体" w:hAnsi="宋体" w:cs="宋体" w:hint="eastAsia"/>
          <w:b/>
          <w:bCs/>
        </w:rPr>
        <w:t>下期证券市场预测</w:t>
      </w:r>
    </w:p>
    <w:p w14:paraId="1D4A0B77" w14:textId="4150D1BB"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债券市场</w:t>
      </w:r>
    </w:p>
    <w:p w14:paraId="75E0C7FB"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考虑国内一线城市疫情冲击和较弱高频数据，基本面悲观情绪持续发酵。市场的震荡状态原因在于笃定的全年经济目标与不确定的政策实际落地之间的矛盾，使得市场预期和资产表现都有一定的分化和背离。季末跨季资金有一定波动，但跨季后迅速回落到中枢位置，对货币政策的宽松预期仍在。理财的赎回压力有所缓解，规模恢复平稳，综合考虑上述因素久期和杠杆回归中性。中长期看，目前基本处于政策底阶段，后续若现经济底，债市胜率下降，策略上将有所收缩。</w:t>
      </w:r>
    </w:p>
    <w:p w14:paraId="4B64E2B1"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股票市场</w:t>
      </w:r>
    </w:p>
    <w:p w14:paraId="7859798A"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市场或继续震荡整固。一方面国内疫情较严重，经济增长压力加大，全年5.5%的增长目标下，“稳增长”政策仍值得期待，包括降准、降息、地产政策放松等。另一方面，海外仍存在诸多风险点，美联储年内加息及缩表动作可能带动市场风偏及流动性再次走低，俄乌谈判虽有乐观消息但进展仍未明朗，西方对俄制裁短期内难以撤销，原油等大宗商品涨价行情导致的通胀压力仍存，中概股问题带来的监管和市场冲击暂不确定。震荡整固行情下，结构性机会可能主要来自稳增长政策扶持下的地产、基建板块，受益通胀的煤炭、有色、化工</w:t>
      </w:r>
      <w:r w:rsidRPr="00261190">
        <w:rPr>
          <w:rFonts w:asciiTheme="minorEastAsia" w:eastAsiaTheme="minorEastAsia" w:hAnsiTheme="minorEastAsia"/>
        </w:rPr>
        <w:lastRenderedPageBreak/>
        <w:t>板块，一季报超预期且前期估值调整较多的科技成长板块，例如光伏、新能源、CXO等。</w:t>
      </w:r>
    </w:p>
    <w:p w14:paraId="26F1AC72" w14:textId="77777777" w:rsidR="00FB35E5" w:rsidRPr="00261190" w:rsidRDefault="00FB35E5" w:rsidP="006E6047">
      <w:pPr>
        <w:spacing w:line="360" w:lineRule="auto"/>
        <w:ind w:firstLineChars="200" w:firstLine="420"/>
        <w:rPr>
          <w:rFonts w:asciiTheme="minorEastAsia" w:eastAsiaTheme="minorEastAsia" w:hAnsiTheme="minorEastAsia"/>
        </w:rPr>
      </w:pPr>
    </w:p>
    <w:p w14:paraId="42AEF4E5" w14:textId="3A24E70F" w:rsidR="000269BA" w:rsidRDefault="000269BA" w:rsidP="00BF3C6B">
      <w:pPr>
        <w:spacing w:beforeLines="20" w:before="62" w:afterLines="20" w:after="62"/>
        <w:outlineLvl w:val="0"/>
        <w:rPr>
          <w:rFonts w:ascii="宋体" w:hAnsi="宋体" w:cs="宋体"/>
          <w:b/>
          <w:bCs/>
        </w:rPr>
      </w:pPr>
      <w:r>
        <w:rPr>
          <w:rFonts w:ascii="宋体" w:hAnsi="宋体" w:cs="宋体" w:hint="eastAsia"/>
          <w:b/>
          <w:bCs/>
        </w:rPr>
        <w:t>（四）</w:t>
      </w:r>
      <w:r w:rsidR="00E12F6C" w:rsidRPr="00E12F6C">
        <w:rPr>
          <w:rFonts w:ascii="宋体" w:hAnsi="宋体" w:cs="宋体" w:hint="eastAsia"/>
          <w:b/>
          <w:bCs/>
        </w:rPr>
        <w:t>下期委托资产简单操作思路与策略</w:t>
      </w:r>
    </w:p>
    <w:p w14:paraId="548AB791" w14:textId="121EE5BF"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在房地产下行、疫情反弹和外部地缘政治冲突多重夹击下，全年经济增速达到5.5%难度较大，这意味着后期宏观政策将在稳增长方向持续加码，其中货币政策中的降息降准有望在于季度持续落地，甚至不排除在近期就推出的可能，短期看债市仍有博弈宽货币的空间。信用债方面，短期信用债主要期限收益率小幅下行，3年、5年期中高等级信用利差小幅走阔，收益率和利差均较年初有所修复，具备一定配置价值。基本面下行压力较大，资金面将保持宽松，杠杆策略可适当保持。</w:t>
      </w:r>
    </w:p>
    <w:p w14:paraId="1B9889CA"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一季度GDP数据可能不及预期，当前经济预期较弱，4月政治局会议可能对稳增长做出更加积极的表态和指示。目前政策信号明确但发力效果仍需等待，市场短线仍可能有反复，但类似前期大幅下跌的阶段可能已经结束，后续市场可能逐步进入磨底阶段。</w:t>
      </w:r>
    </w:p>
    <w:p w14:paraId="45EAB82A" w14:textId="77777777" w:rsidR="00351010" w:rsidRDefault="00351010" w:rsidP="006E6047">
      <w:pPr>
        <w:spacing w:line="360" w:lineRule="auto"/>
        <w:ind w:firstLineChars="200" w:firstLine="420"/>
        <w:rPr>
          <w:rFonts w:asciiTheme="minorEastAsia" w:eastAsiaTheme="minorEastAsia" w:hAnsiTheme="minorEastAsia"/>
        </w:rPr>
      </w:pPr>
      <w:r w:rsidRPr="00261190">
        <w:rPr>
          <w:rFonts w:asciiTheme="minorEastAsia" w:eastAsiaTheme="minorEastAsia" w:hAnsiTheme="minorEastAsia"/>
        </w:rPr>
        <w:t>目前来看行业基本面信号仍有待改善，大宗涨价对中下游盈利的挤压、房地产景气度偏弱拖累住房产业链需求，以及动态清零消费受到压制等问题，尚待明确拐点出现。</w:t>
      </w:r>
    </w:p>
    <w:p w14:paraId="47B44710" w14:textId="77777777" w:rsidR="00DE531F" w:rsidRDefault="00DE531F" w:rsidP="006E6047">
      <w:pPr>
        <w:spacing w:line="360" w:lineRule="auto"/>
        <w:ind w:firstLineChars="200" w:firstLine="420"/>
        <w:rPr>
          <w:rFonts w:asciiTheme="minorEastAsia" w:eastAsiaTheme="minorEastAsia" w:hAnsiTheme="minorEastAsia"/>
        </w:rPr>
      </w:pPr>
    </w:p>
    <w:p w14:paraId="225F0825" w14:textId="755CCD05" w:rsidR="00DE531F" w:rsidRPr="00421C17" w:rsidRDefault="00DE531F" w:rsidP="00DE531F">
      <w:pPr>
        <w:spacing w:beforeLines="20" w:before="62" w:afterLines="20" w:after="62"/>
        <w:outlineLvl w:val="0"/>
        <w:rPr>
          <w:rFonts w:ascii="宋体" w:hAnsi="宋体" w:cs="宋体"/>
          <w:b/>
          <w:bCs/>
        </w:rPr>
      </w:pPr>
      <w:r w:rsidRPr="00421C17">
        <w:rPr>
          <w:rFonts w:ascii="宋体" w:hAnsi="宋体" w:cs="宋体" w:hint="eastAsia"/>
          <w:b/>
          <w:bCs/>
        </w:rPr>
        <w:t>（五）</w:t>
      </w:r>
      <w:r w:rsidRPr="00DE531F">
        <w:rPr>
          <w:rFonts w:ascii="宋体" w:hAnsi="宋体" w:cs="宋体" w:hint="eastAsia"/>
          <w:b/>
          <w:bCs/>
        </w:rPr>
        <w:t>风险状况</w:t>
      </w:r>
    </w:p>
    <w:p w14:paraId="20714651" w14:textId="194096EE" w:rsidR="00FB35E5" w:rsidRDefault="00CE5E01" w:rsidP="00CE5E01">
      <w:pPr>
        <w:snapToGrid w:val="0"/>
        <w:spacing w:beforeLines="50" w:before="156" w:line="360" w:lineRule="auto"/>
        <w:ind w:firstLineChars="200" w:firstLine="420"/>
        <w:rPr>
          <w:rFonts w:ascii="宋体"/>
          <w:bCs/>
          <w:szCs w:val="24"/>
        </w:rPr>
      </w:pPr>
      <w:r w:rsidRPr="00CE5E01">
        <w:rPr>
          <w:rFonts w:ascii="宋体" w:hint="eastAsia"/>
          <w:bCs/>
          <w:szCs w:val="24"/>
        </w:rPr>
        <w:t>在报告期内，投资管理人严格遵守法律法规和资产管理合同的约定进行投资运作，不存在主动违反资产管理合同中投资范围、投资限制和风险指标的行为。</w:t>
      </w:r>
    </w:p>
    <w:p w14:paraId="78595631" w14:textId="77777777" w:rsidR="00CE5E01" w:rsidRPr="00550477" w:rsidRDefault="00CE5E01" w:rsidP="00CE5E01">
      <w:pPr>
        <w:snapToGrid w:val="0"/>
        <w:spacing w:beforeLines="50" w:before="156" w:line="360" w:lineRule="auto"/>
        <w:ind w:firstLineChars="200" w:firstLine="420"/>
        <w:rPr>
          <w:rFonts w:ascii="宋体"/>
          <w:bCs/>
          <w:szCs w:val="24"/>
        </w:rPr>
      </w:pPr>
    </w:p>
    <w:p w14:paraId="1C8300D3" w14:textId="1D5E5047" w:rsidR="00BF3C6B" w:rsidRPr="00421C17" w:rsidRDefault="00DE531F" w:rsidP="00BF3C6B">
      <w:pPr>
        <w:spacing w:beforeLines="20" w:before="62" w:afterLines="20" w:after="62"/>
        <w:outlineLvl w:val="0"/>
        <w:rPr>
          <w:rFonts w:ascii="宋体" w:hAnsi="宋体" w:cs="宋体"/>
          <w:b/>
          <w:bCs/>
        </w:rPr>
      </w:pPr>
      <w:r>
        <w:rPr>
          <w:rFonts w:ascii="宋体" w:hAnsi="宋体" w:cs="宋体" w:hint="eastAsia"/>
          <w:b/>
          <w:bCs/>
        </w:rPr>
        <w:t>（六</w:t>
      </w:r>
      <w:r w:rsidR="00DC65B3" w:rsidRPr="00421C17">
        <w:rPr>
          <w:rFonts w:ascii="宋体" w:hAnsi="宋体" w:cs="宋体" w:hint="eastAsia"/>
          <w:b/>
          <w:bCs/>
        </w:rPr>
        <w:t>）</w:t>
      </w:r>
      <w:r w:rsidR="00F65252" w:rsidRPr="00421C17">
        <w:rPr>
          <w:rFonts w:ascii="宋体" w:hAnsi="宋体" w:cs="宋体" w:hint="eastAsia"/>
          <w:b/>
          <w:bCs/>
        </w:rPr>
        <w:t>重大事项</w:t>
      </w:r>
      <w:r w:rsidR="00F65252" w:rsidRPr="00421C17">
        <w:rPr>
          <w:rFonts w:ascii="宋体" w:hAnsi="宋体" w:cs="宋体"/>
          <w:b/>
          <w:bCs/>
        </w:rPr>
        <w:t>说明</w:t>
      </w:r>
    </w:p>
    <w:p w14:paraId="63D80A8F" w14:textId="77777777" w:rsidR="003D05DD" w:rsidRPr="00724DB3" w:rsidRDefault="003D05DD" w:rsidP="003D05DD">
      <w:pPr>
        <w:snapToGrid w:val="0"/>
        <w:spacing w:line="360" w:lineRule="auto"/>
        <w:ind w:firstLineChars="200" w:firstLine="420"/>
        <w:rPr>
          <w:b/>
        </w:rPr>
      </w:pPr>
      <w:r>
        <w:rPr>
          <w:rFonts w:hint="eastAsia"/>
        </w:rPr>
        <w:t>无</w:t>
      </w:r>
      <w:r>
        <w:t>。</w:t>
      </w:r>
    </w:p>
    <w:p w14:paraId="5411A402" w14:textId="18B18DD0" w:rsidR="00507453" w:rsidRPr="004265C7" w:rsidRDefault="00507453" w:rsidP="00507453">
      <w:pPr>
        <w:spacing w:afterLines="50" w:after="156" w:line="360" w:lineRule="auto"/>
        <w:ind w:firstLineChars="200" w:firstLine="420"/>
        <w:rPr>
          <w:rFonts w:asciiTheme="minorEastAsia" w:eastAsiaTheme="minorEastAsia" w:hAnsiTheme="minorEastAsia"/>
        </w:rPr>
      </w:pPr>
    </w:p>
    <w:p w14:paraId="0E996D3C" w14:textId="14716B60" w:rsidR="002F0E71" w:rsidRPr="00F3548C" w:rsidRDefault="00DE531F" w:rsidP="002F0E71">
      <w:pPr>
        <w:spacing w:beforeLines="20" w:before="62" w:afterLines="20" w:after="62"/>
        <w:outlineLvl w:val="0"/>
        <w:rPr>
          <w:rFonts w:ascii="宋体" w:cs="宋体"/>
          <w:b/>
          <w:bCs/>
        </w:rPr>
      </w:pPr>
      <w:r>
        <w:rPr>
          <w:rFonts w:ascii="宋体" w:cs="宋体" w:hint="eastAsia"/>
          <w:b/>
          <w:bCs/>
        </w:rPr>
        <w:t>（七</w:t>
      </w:r>
      <w:r w:rsidR="002F0E71" w:rsidRPr="00F3548C">
        <w:rPr>
          <w:rFonts w:ascii="宋体" w:cs="宋体" w:hint="eastAsia"/>
          <w:b/>
          <w:bCs/>
        </w:rPr>
        <w:t>）其他事项说明</w:t>
      </w:r>
    </w:p>
    <w:p w14:paraId="716FEB56" w14:textId="677578B1" w:rsidR="002F0E71" w:rsidRPr="00D74AB3" w:rsidRDefault="003D05DD" w:rsidP="002F0E71">
      <w:pPr>
        <w:snapToGrid w:val="0"/>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2F0E71" w:rsidRPr="00D74AB3">
        <w:rPr>
          <w:rFonts w:asciiTheme="minorEastAsia" w:eastAsiaTheme="minorEastAsia" w:hAnsiTheme="minorEastAsia" w:hint="eastAsia"/>
          <w:color w:val="000000" w:themeColor="text1"/>
        </w:rPr>
        <w:t>、报告期间投资</w:t>
      </w:r>
      <w:r w:rsidR="002F0E71">
        <w:rPr>
          <w:rFonts w:asciiTheme="minorEastAsia" w:eastAsiaTheme="minorEastAsia" w:hAnsiTheme="minorEastAsia" w:hint="eastAsia"/>
          <w:color w:val="000000" w:themeColor="text1"/>
        </w:rPr>
        <w:t>管理人</w:t>
      </w:r>
      <w:r w:rsidR="002F0E71" w:rsidRPr="00D74AB3">
        <w:rPr>
          <w:rFonts w:asciiTheme="minorEastAsia" w:eastAsiaTheme="minorEastAsia" w:hAnsiTheme="minorEastAsia" w:hint="eastAsia"/>
          <w:color w:val="000000" w:themeColor="text1"/>
        </w:rPr>
        <w:t>及其关联机构旗下基金的情况</w:t>
      </w:r>
    </w:p>
    <w:tbl>
      <w:tblPr>
        <w:tblW w:w="0" w:type="auto"/>
        <w:tblLayout w:type="fixed"/>
        <w:tblCellMar>
          <w:left w:w="0" w:type="dxa"/>
          <w:right w:w="0" w:type="dxa"/>
        </w:tblCellMar>
        <w:tblLook w:val="04A0" w:firstRow="1" w:lastRow="0" w:firstColumn="1" w:lastColumn="0" w:noHBand="0" w:noVBand="1"/>
      </w:tblPr>
      <w:tblGrid>
        <w:gridCol w:w="1397"/>
        <w:gridCol w:w="1256"/>
        <w:gridCol w:w="1162"/>
        <w:gridCol w:w="1162"/>
        <w:gridCol w:w="1256"/>
        <w:gridCol w:w="1209"/>
        <w:gridCol w:w="1067"/>
        <w:gridCol w:w="30"/>
      </w:tblGrid>
      <w:tr w:rsidR="00CE5E01" w:rsidRPr="003E2AB0" w14:paraId="4890F6CD" w14:textId="77777777" w:rsidTr="002D52C7">
        <w:trPr>
          <w:gridAfter w:val="1"/>
          <w:wAfter w:w="13" w:type="dxa"/>
          <w:trHeight w:val="270"/>
        </w:trPr>
        <w:tc>
          <w:tcPr>
            <w:tcW w:w="139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6DA432A2"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账户代码</w:t>
            </w:r>
          </w:p>
        </w:tc>
        <w:tc>
          <w:tcPr>
            <w:tcW w:w="125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19DF9B88"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基金代码</w:t>
            </w:r>
          </w:p>
        </w:tc>
        <w:tc>
          <w:tcPr>
            <w:tcW w:w="116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325E5CEA"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基金名称</w:t>
            </w:r>
          </w:p>
        </w:tc>
        <w:tc>
          <w:tcPr>
            <w:tcW w:w="116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691F52CC"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交易日期</w:t>
            </w:r>
          </w:p>
        </w:tc>
        <w:tc>
          <w:tcPr>
            <w:tcW w:w="125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71B85B7C"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数量</w:t>
            </w:r>
          </w:p>
        </w:tc>
        <w:tc>
          <w:tcPr>
            <w:tcW w:w="1209"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489A9C28"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金额（元）</w:t>
            </w:r>
          </w:p>
        </w:tc>
        <w:tc>
          <w:tcPr>
            <w:tcW w:w="106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E658AF6"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关联方类型</w:t>
            </w:r>
          </w:p>
        </w:tc>
      </w:tr>
      <w:tr w:rsidR="00CE5E01" w:rsidRPr="003E2AB0" w14:paraId="4DDA98E6" w14:textId="77777777" w:rsidTr="002D52C7">
        <w:trPr>
          <w:trHeight w:val="270"/>
        </w:trPr>
        <w:tc>
          <w:tcPr>
            <w:tcW w:w="139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7C5904FD"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125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60AE75A8"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000033</w:t>
            </w:r>
          </w:p>
        </w:tc>
        <w:tc>
          <w:tcPr>
            <w:tcW w:w="116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1FE4A4F2"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易方达信用债C</w:t>
            </w:r>
          </w:p>
        </w:tc>
        <w:tc>
          <w:tcPr>
            <w:tcW w:w="116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21989582"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2022-01-27</w:t>
            </w:r>
          </w:p>
        </w:tc>
        <w:tc>
          <w:tcPr>
            <w:tcW w:w="125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75AC5B8A"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629,836.24</w:t>
            </w:r>
          </w:p>
        </w:tc>
        <w:tc>
          <w:tcPr>
            <w:tcW w:w="1209"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7040A9A0"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700,000.00</w:t>
            </w:r>
          </w:p>
        </w:tc>
        <w:tc>
          <w:tcPr>
            <w:tcW w:w="106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BB85FEC"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c>
          <w:tcPr>
            <w:tcW w:w="13" w:type="dxa"/>
            <w:vAlign w:val="center"/>
          </w:tcPr>
          <w:p w14:paraId="6B44EA3A" w14:textId="77777777" w:rsidR="00CE5E01" w:rsidRPr="003E2AB0" w:rsidRDefault="00CE5E01" w:rsidP="00ED3882">
            <w:pPr>
              <w:snapToGrid w:val="0"/>
              <w:spacing w:line="360" w:lineRule="auto"/>
              <w:rPr>
                <w:rFonts w:asciiTheme="minorEastAsia" w:eastAsiaTheme="minorEastAsia" w:hAnsiTheme="minorEastAsia"/>
                <w:bCs/>
                <w:color w:val="000000" w:themeColor="text1"/>
                <w:sz w:val="18"/>
                <w:szCs w:val="18"/>
              </w:rPr>
            </w:pPr>
          </w:p>
        </w:tc>
      </w:tr>
      <w:tr w:rsidR="00CE5E01" w:rsidRPr="003E2AB0" w14:paraId="1D439560" w14:textId="77777777" w:rsidTr="002D52C7">
        <w:trPr>
          <w:trHeight w:val="270"/>
        </w:trPr>
        <w:tc>
          <w:tcPr>
            <w:tcW w:w="1397"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14:paraId="58A7FC6C"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125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3F8B9AEB"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110053</w:t>
            </w:r>
          </w:p>
        </w:tc>
        <w:tc>
          <w:tcPr>
            <w:tcW w:w="116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69C3017C"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易方达安源中短债A</w:t>
            </w:r>
          </w:p>
        </w:tc>
        <w:tc>
          <w:tcPr>
            <w:tcW w:w="1162"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791CE343"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2022-01-27</w:t>
            </w:r>
          </w:p>
        </w:tc>
        <w:tc>
          <w:tcPr>
            <w:tcW w:w="1256"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64476CC9"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501,880.78</w:t>
            </w:r>
          </w:p>
        </w:tc>
        <w:tc>
          <w:tcPr>
            <w:tcW w:w="1209"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14:paraId="23254725"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548,354.94</w:t>
            </w:r>
          </w:p>
        </w:tc>
        <w:tc>
          <w:tcPr>
            <w:tcW w:w="106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270E09"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c>
          <w:tcPr>
            <w:tcW w:w="13" w:type="dxa"/>
            <w:vAlign w:val="center"/>
          </w:tcPr>
          <w:p w14:paraId="3D5266EE" w14:textId="77777777" w:rsidR="00CE5E01" w:rsidRPr="003E2AB0" w:rsidRDefault="00CE5E01" w:rsidP="00ED3882">
            <w:pPr>
              <w:snapToGrid w:val="0"/>
              <w:spacing w:line="360" w:lineRule="auto"/>
              <w:rPr>
                <w:rFonts w:asciiTheme="minorEastAsia" w:eastAsiaTheme="minorEastAsia" w:hAnsiTheme="minorEastAsia"/>
                <w:bCs/>
                <w:color w:val="000000" w:themeColor="text1"/>
                <w:sz w:val="18"/>
                <w:szCs w:val="18"/>
              </w:rPr>
            </w:pPr>
          </w:p>
        </w:tc>
      </w:tr>
    </w:tbl>
    <w:p w14:paraId="562883B3" w14:textId="77777777" w:rsidR="002F0E71" w:rsidRPr="00D74AB3" w:rsidRDefault="002F0E71" w:rsidP="002F0E71">
      <w:pPr>
        <w:snapToGrid w:val="0"/>
        <w:spacing w:line="360" w:lineRule="auto"/>
        <w:rPr>
          <w:rFonts w:asciiTheme="minorEastAsia" w:eastAsiaTheme="minorEastAsia" w:hAnsiTheme="minorEastAsia"/>
          <w:color w:val="000000" w:themeColor="text1"/>
        </w:rPr>
      </w:pPr>
    </w:p>
    <w:p w14:paraId="6B514331" w14:textId="4E92C1D1" w:rsidR="002F0E71" w:rsidRPr="00D74AB3" w:rsidRDefault="003D05DD" w:rsidP="002F0E71">
      <w:pPr>
        <w:snapToGrid w:val="0"/>
        <w:spacing w:line="36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2</w:t>
      </w:r>
      <w:r w:rsidR="002F0E71" w:rsidRPr="00D74AB3">
        <w:rPr>
          <w:rFonts w:asciiTheme="minorEastAsia" w:eastAsiaTheme="minorEastAsia" w:hAnsiTheme="minorEastAsia"/>
          <w:color w:val="000000" w:themeColor="text1"/>
        </w:rPr>
        <w:t>、</w:t>
      </w:r>
      <w:r w:rsidR="002F0E71" w:rsidRPr="00D74AB3">
        <w:rPr>
          <w:rFonts w:asciiTheme="minorEastAsia" w:eastAsiaTheme="minorEastAsia" w:hAnsiTheme="minorEastAsia" w:hint="eastAsia"/>
          <w:color w:val="000000" w:themeColor="text1"/>
        </w:rPr>
        <w:t>期末持有</w:t>
      </w:r>
      <w:r w:rsidR="002F0E71">
        <w:rPr>
          <w:rFonts w:asciiTheme="minorEastAsia" w:eastAsiaTheme="minorEastAsia" w:hAnsiTheme="minorEastAsia" w:hint="eastAsia"/>
          <w:color w:val="000000" w:themeColor="text1"/>
        </w:rPr>
        <w:t>管理人</w:t>
      </w:r>
      <w:r w:rsidR="002F0E71" w:rsidRPr="00D74AB3">
        <w:rPr>
          <w:rFonts w:asciiTheme="minorEastAsia" w:eastAsiaTheme="minorEastAsia" w:hAnsiTheme="minorEastAsia" w:hint="eastAsia"/>
          <w:color w:val="000000" w:themeColor="text1"/>
        </w:rPr>
        <w:t>及其关联机构旗下基金的情况</w:t>
      </w:r>
    </w:p>
    <w:tbl>
      <w:tblPr>
        <w:tblW w:w="5000" w:type="pct"/>
        <w:tblCellMar>
          <w:left w:w="0" w:type="dxa"/>
          <w:right w:w="0" w:type="dxa"/>
        </w:tblCellMar>
        <w:tblLook w:val="04A0" w:firstRow="1" w:lastRow="0" w:firstColumn="1" w:lastColumn="0" w:noHBand="0" w:noVBand="1"/>
      </w:tblPr>
      <w:tblGrid>
        <w:gridCol w:w="1077"/>
        <w:gridCol w:w="904"/>
        <w:gridCol w:w="904"/>
        <w:gridCol w:w="1893"/>
        <w:gridCol w:w="1248"/>
        <w:gridCol w:w="1420"/>
        <w:gridCol w:w="1076"/>
      </w:tblGrid>
      <w:tr w:rsidR="00CE5E01" w:rsidRPr="003E2AB0" w14:paraId="1C77C4B9"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8B8E7C"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lastRenderedPageBreak/>
              <w:t>日期</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FE6033D"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账户代码</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D59E082"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基金代码</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C06C792"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基金名称</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B231EE8"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持仓数量</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D656F37"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持仓市值（元）</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7686F05" w14:textId="77777777" w:rsidR="00CE5E01" w:rsidRPr="00A008DF" w:rsidRDefault="00CE5E01" w:rsidP="00ED3882">
            <w:pPr>
              <w:snapToGrid w:val="0"/>
              <w:spacing w:line="360" w:lineRule="auto"/>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关联方类型</w:t>
            </w:r>
          </w:p>
        </w:tc>
      </w:tr>
      <w:tr w:rsidR="00CE5E01" w:rsidRPr="003E2AB0" w14:paraId="00C6CCA1"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C29FA2"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72ED0E"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93B440"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110053</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F76FF47"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易方达安源中短债A</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2BFC5D"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1,422,973.53</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97D771E"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1,559,294.39</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4F92FD"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5DE6F674"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C64058"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49F39DA"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B7B176A"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110038</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3E38B0"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易方达纯债C</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11A975"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907,441.02</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29EA82D"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1,006,442.84</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BA68271"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31B80A3A"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89A2FA"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B3DF456"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D364D4"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110007</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CFF94D"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易方达稳健收益A</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9BC21C"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1,076,540.03</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5727C6C"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1,449,991.77</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1C0351"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4C8F041E"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6D17B4"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333CEB"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8B4C5D5"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003840</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A165AA4"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易方达瑞通C</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A01AC6"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416,454.30</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72FE58F"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752,033.17</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8691AA"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71BA6D24"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9DD92D"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A16ADD"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8D801E"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001836</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78E4F4"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易方达瑞祥E</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F42740"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739,644.97</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92AE73"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997,041.42</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83B3057"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1AD013EF"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FA01BB"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D211BF4"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3A423F"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001748</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80C463A"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易方达瑞祺E</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9EEE2A8"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473,886.43</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C7A1ABA"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711,777.42</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360274B"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06E6D0AC"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996754"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1DE181"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060B921"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001217</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9AAE15C"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易方达新收益C</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B944D01"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100,671.14</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5AFD40"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316,409.39</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B24AA7"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53106FF9"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E00E74"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1976C48"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921CE77"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001136</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FA6992"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易方达裕如</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1B0E4AC"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782,377.11</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A418422"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996,748.44</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76EA8A"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38812640"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A47401"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8032E52"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14BF1A"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000621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FF434F1"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易方达现金增利B</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69FDBFD"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1,085,765.22</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C75BF6"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1,085,765.22</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41FF183"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7A457557"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A54229"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7E801B9"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A970672"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000206</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EDF475E"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易方达投资级信用债C</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C18FAE"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440,517.81</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AB1D854"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504,833.41</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3C511B7"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7F6877B0"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B37EF8"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21ACD61"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945E18C"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000148</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8EA937F"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易方达高等级信用债C</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A294E98"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895,255.15</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B906CB"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1,010,743.06</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E4670F6"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r w:rsidR="00CE5E01" w:rsidRPr="003E2AB0" w14:paraId="58346096" w14:textId="77777777" w:rsidTr="00EB1F94">
        <w:trPr>
          <w:trHeight w:val="270"/>
        </w:trPr>
        <w:tc>
          <w:tcPr>
            <w:tcW w:w="83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C49179"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2022-03-31</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0DB695"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ZH0299</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62253FC"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000033</w:t>
            </w:r>
          </w:p>
        </w:tc>
        <w:tc>
          <w:tcPr>
            <w:tcW w:w="67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FCCCEE"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易方达信用债C</w:t>
            </w:r>
          </w:p>
        </w:tc>
        <w:tc>
          <w:tcPr>
            <w:tcW w:w="74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64E8CE4" w14:textId="77777777" w:rsidR="00CE5E01" w:rsidRPr="00366FB5" w:rsidRDefault="00CE5E01" w:rsidP="00ED3882">
            <w:pP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1,534,977.44</w:t>
            </w:r>
          </w:p>
        </w:tc>
        <w:tc>
          <w:tcPr>
            <w:tcW w:w="71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7FFD24"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1,703,210.97</w:t>
            </w:r>
          </w:p>
        </w:tc>
        <w:tc>
          <w:tcPr>
            <w:tcW w:w="61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F1F20A7" w14:textId="77777777" w:rsidR="00CE5E01" w:rsidRPr="00A008DF" w:rsidRDefault="00CE5E01" w:rsidP="00ED3882">
            <w:pPr>
              <w:snapToGrid w:val="0"/>
              <w:jc w:val="center"/>
              <w:rPr>
                <w:rFonts w:asciiTheme="minorEastAsia" w:eastAsiaTheme="minorEastAsia" w:hAnsiTheme="minorEastAsia"/>
                <w:bCs/>
                <w:color w:val="000000" w:themeColor="text1"/>
                <w:sz w:val="18"/>
                <w:szCs w:val="18"/>
              </w:rPr>
            </w:pPr>
            <w:r w:rsidRPr="00A008DF">
              <w:rPr>
                <w:rFonts w:asciiTheme="minorEastAsia" w:eastAsiaTheme="minorEastAsia" w:hAnsiTheme="minorEastAsia" w:hint="eastAsia"/>
                <w:bCs/>
                <w:color w:val="000000" w:themeColor="text1"/>
                <w:sz w:val="18"/>
                <w:szCs w:val="18"/>
              </w:rPr>
              <w:t>管理人</w:t>
            </w:r>
          </w:p>
        </w:tc>
      </w:tr>
    </w:tbl>
    <w:p w14:paraId="65A4F25C" w14:textId="77777777" w:rsidR="002F0E71" w:rsidRPr="00D74AB3" w:rsidRDefault="002F0E71" w:rsidP="002F0E71">
      <w:pPr>
        <w:snapToGrid w:val="0"/>
        <w:spacing w:line="360" w:lineRule="auto"/>
        <w:rPr>
          <w:rFonts w:ascii="宋体"/>
          <w:bCs/>
          <w:szCs w:val="24"/>
        </w:rPr>
      </w:pPr>
      <w:bookmarkStart w:id="1" w:name="_GoBack"/>
      <w:bookmarkEnd w:id="1"/>
    </w:p>
    <w:p w14:paraId="03F2A445" w14:textId="16562A3B" w:rsidR="002F0E71" w:rsidRPr="00825EBA" w:rsidRDefault="00DE531F" w:rsidP="002F0E71">
      <w:pPr>
        <w:spacing w:beforeLines="20" w:before="62" w:afterLines="20" w:after="62" w:line="360" w:lineRule="auto"/>
        <w:outlineLvl w:val="0"/>
        <w:rPr>
          <w:rFonts w:ascii="宋体"/>
          <w:b/>
          <w:bCs/>
          <w:sz w:val="24"/>
          <w:szCs w:val="24"/>
        </w:rPr>
      </w:pPr>
      <w:r>
        <w:rPr>
          <w:rFonts w:ascii="宋体" w:cs="宋体" w:hint="eastAsia"/>
          <w:b/>
          <w:bCs/>
          <w:sz w:val="24"/>
          <w:szCs w:val="24"/>
        </w:rPr>
        <w:t>九</w:t>
      </w:r>
      <w:r w:rsidR="002F0E71" w:rsidRPr="0037355F">
        <w:rPr>
          <w:rFonts w:ascii="宋体" w:cs="宋体" w:hint="eastAsia"/>
          <w:b/>
          <w:bCs/>
          <w:sz w:val="24"/>
          <w:szCs w:val="24"/>
        </w:rPr>
        <w:t>、</w:t>
      </w:r>
      <w:r w:rsidR="002F0E71">
        <w:rPr>
          <w:rFonts w:ascii="宋体" w:cs="宋体" w:hint="eastAsia"/>
          <w:b/>
          <w:bCs/>
          <w:sz w:val="24"/>
          <w:szCs w:val="24"/>
        </w:rPr>
        <w:t>履职</w:t>
      </w:r>
      <w:r w:rsidR="002F0E71" w:rsidRPr="0037355F">
        <w:rPr>
          <w:rFonts w:ascii="宋体" w:cs="宋体"/>
          <w:b/>
          <w:bCs/>
          <w:sz w:val="24"/>
          <w:szCs w:val="24"/>
        </w:rPr>
        <w:t>报告</w:t>
      </w:r>
    </w:p>
    <w:p w14:paraId="0E9498C7" w14:textId="77777777" w:rsidR="002F0E71" w:rsidRPr="0037355F" w:rsidRDefault="002F0E71" w:rsidP="002F0E71">
      <w:pPr>
        <w:spacing w:beforeLines="20" w:before="62" w:afterLines="20" w:after="62"/>
        <w:outlineLvl w:val="0"/>
        <w:rPr>
          <w:rFonts w:ascii="宋体" w:hAnsi="宋体" w:cs="宋体"/>
          <w:b/>
          <w:bCs/>
        </w:rPr>
      </w:pPr>
      <w:r w:rsidRPr="0037355F">
        <w:rPr>
          <w:rFonts w:ascii="宋体" w:hAnsi="宋体" w:cs="宋体" w:hint="eastAsia"/>
          <w:b/>
          <w:bCs/>
        </w:rPr>
        <w:t>（一）管理人</w:t>
      </w:r>
      <w:r>
        <w:rPr>
          <w:rFonts w:ascii="宋体" w:hAnsi="宋体" w:cs="宋体" w:hint="eastAsia"/>
          <w:b/>
          <w:bCs/>
        </w:rPr>
        <w:t>履职报告</w:t>
      </w:r>
    </w:p>
    <w:p w14:paraId="75B5B620" w14:textId="07C3DE00" w:rsidR="002F0E71" w:rsidRDefault="00FE750C" w:rsidP="002F0E71">
      <w:pPr>
        <w:snapToGrid w:val="0"/>
        <w:spacing w:line="360" w:lineRule="auto"/>
        <w:ind w:firstLineChars="200" w:firstLine="420"/>
        <w:rPr>
          <w:rFonts w:ascii="宋体"/>
          <w:bCs/>
          <w:szCs w:val="24"/>
        </w:rPr>
      </w:pPr>
      <w:r w:rsidRPr="00FE750C">
        <w:rPr>
          <w:rFonts w:ascii="宋体" w:hint="eastAsia"/>
          <w:bCs/>
          <w:szCs w:val="24"/>
        </w:rPr>
        <w:t>本报告期内，投资管理人严格遵守有关法律法规、资产管理合同的规定进行投资运作，勤勉尽责地管理委托资产，不存在损害委托人的行为</w:t>
      </w:r>
      <w:r w:rsidR="002F0E71" w:rsidRPr="001B297B">
        <w:rPr>
          <w:rFonts w:ascii="宋体" w:hint="eastAsia"/>
          <w:bCs/>
          <w:szCs w:val="24"/>
        </w:rPr>
        <w:t>。</w:t>
      </w:r>
    </w:p>
    <w:p w14:paraId="5718CD6E" w14:textId="77777777" w:rsidR="002F0E71" w:rsidRPr="00FE750C" w:rsidRDefault="002F0E71" w:rsidP="002F0E71">
      <w:pPr>
        <w:snapToGrid w:val="0"/>
        <w:spacing w:line="360" w:lineRule="auto"/>
        <w:ind w:firstLineChars="200" w:firstLine="420"/>
        <w:rPr>
          <w:rFonts w:ascii="宋体"/>
          <w:bCs/>
          <w:szCs w:val="24"/>
        </w:rPr>
      </w:pPr>
    </w:p>
    <w:p w14:paraId="6D8DCCB3" w14:textId="77777777" w:rsidR="002F0E71" w:rsidRPr="0037355F" w:rsidRDefault="002F0E71" w:rsidP="002F0E71">
      <w:pPr>
        <w:spacing w:beforeLines="20" w:before="62" w:afterLines="20" w:after="62"/>
        <w:outlineLvl w:val="0"/>
        <w:rPr>
          <w:rFonts w:ascii="宋体" w:hAnsi="宋体" w:cs="宋体"/>
          <w:b/>
          <w:bCs/>
        </w:rPr>
      </w:pPr>
      <w:r>
        <w:rPr>
          <w:rFonts w:ascii="宋体" w:hAnsi="宋体" w:cs="宋体" w:hint="eastAsia"/>
          <w:b/>
          <w:bCs/>
        </w:rPr>
        <w:t>（二</w:t>
      </w:r>
      <w:r w:rsidRPr="0037355F">
        <w:rPr>
          <w:rFonts w:ascii="宋体" w:hAnsi="宋体" w:cs="宋体" w:hint="eastAsia"/>
          <w:b/>
          <w:bCs/>
        </w:rPr>
        <w:t>）</w:t>
      </w:r>
      <w:r w:rsidRPr="0037355F">
        <w:rPr>
          <w:rFonts w:ascii="宋体" w:hAnsi="宋体" w:cs="宋体"/>
          <w:b/>
          <w:bCs/>
        </w:rPr>
        <w:t>托管人</w:t>
      </w:r>
      <w:r w:rsidRPr="0037355F">
        <w:rPr>
          <w:rFonts w:ascii="宋体" w:hAnsi="宋体" w:cs="宋体" w:hint="eastAsia"/>
          <w:b/>
          <w:bCs/>
        </w:rPr>
        <w:t>履职</w:t>
      </w:r>
      <w:r w:rsidRPr="0037355F">
        <w:rPr>
          <w:rFonts w:ascii="宋体" w:hAnsi="宋体" w:cs="宋体"/>
          <w:b/>
          <w:bCs/>
        </w:rPr>
        <w:t>报告</w:t>
      </w:r>
    </w:p>
    <w:p w14:paraId="73F2E3C3" w14:textId="77777777" w:rsidR="002F0E71" w:rsidRPr="00366FB5" w:rsidRDefault="002F0E71" w:rsidP="002F0E71">
      <w:pPr>
        <w:spacing w:afterLines="50" w:after="156" w:line="360" w:lineRule="auto"/>
        <w:ind w:firstLineChars="200" w:firstLine="420"/>
        <w:rPr>
          <w:rFonts w:ascii="宋体"/>
          <w:bCs/>
          <w:szCs w:val="24"/>
        </w:rPr>
      </w:pPr>
      <w:r w:rsidRPr="004E7708">
        <w:rPr>
          <w:rFonts w:ascii="宋体" w:hint="eastAsia"/>
          <w:bCs/>
          <w:szCs w:val="24"/>
        </w:rPr>
        <w:t>1、报告期内本计划托管人遵规守信情况声明</w:t>
      </w:r>
    </w:p>
    <w:p w14:paraId="6C6A43FD" w14:textId="77777777" w:rsidR="002F0E71" w:rsidRPr="00366FB5" w:rsidRDefault="002F0E71" w:rsidP="002F0E71">
      <w:pPr>
        <w:spacing w:afterLines="50" w:after="156" w:line="360" w:lineRule="auto"/>
        <w:ind w:firstLineChars="200" w:firstLine="420"/>
        <w:rPr>
          <w:rFonts w:ascii="宋体"/>
          <w:bCs/>
          <w:szCs w:val="24"/>
        </w:rPr>
      </w:pPr>
      <w:r w:rsidRPr="004E7708">
        <w:rPr>
          <w:rFonts w:ascii="宋体" w:hint="eastAsia"/>
          <w:bCs/>
          <w:szCs w:val="24"/>
        </w:rPr>
        <w:t>本报告期内，中国建设银行股份有限公司在对本资产管理计划的托管过程中，严格遵守了国家有关法律法规、本计划资产管理合同和其他有关规定，不存在损害资产份额持有人利益的行为，完全尽职尽责地履行了托管人应尽的义务。</w:t>
      </w:r>
    </w:p>
    <w:p w14:paraId="43BF3786" w14:textId="77777777" w:rsidR="002F0E71" w:rsidRPr="00366FB5" w:rsidRDefault="002F0E71" w:rsidP="002F0E71">
      <w:pPr>
        <w:spacing w:afterLines="50" w:after="156" w:line="360" w:lineRule="auto"/>
        <w:ind w:firstLineChars="200" w:firstLine="420"/>
        <w:rPr>
          <w:rFonts w:ascii="宋体"/>
          <w:bCs/>
          <w:szCs w:val="24"/>
        </w:rPr>
      </w:pPr>
      <w:r w:rsidRPr="004E7708">
        <w:rPr>
          <w:rFonts w:ascii="宋体" w:hint="eastAsia"/>
          <w:bCs/>
          <w:szCs w:val="24"/>
        </w:rPr>
        <w:t>2、托管人对报告期内本计划投资运作遵规守信、财产估值等情况的说明</w:t>
      </w:r>
    </w:p>
    <w:p w14:paraId="19C1D7D7" w14:textId="77777777" w:rsidR="002F0E71" w:rsidRPr="00366FB5" w:rsidRDefault="002F0E71" w:rsidP="002F0E71">
      <w:pPr>
        <w:spacing w:afterLines="50" w:after="156" w:line="360" w:lineRule="auto"/>
        <w:ind w:firstLineChars="200" w:firstLine="420"/>
        <w:rPr>
          <w:rFonts w:ascii="宋体"/>
          <w:bCs/>
          <w:szCs w:val="24"/>
        </w:rPr>
      </w:pPr>
      <w:r w:rsidRPr="004E7708">
        <w:rPr>
          <w:rFonts w:ascii="宋体" w:hint="eastAsia"/>
          <w:bCs/>
          <w:szCs w:val="24"/>
        </w:rPr>
        <w:t>本报告期内，本托管人严格按照国家法律法规、本计划资产管理合同和其他有关规定，</w:t>
      </w:r>
      <w:r w:rsidRPr="004E7708">
        <w:rPr>
          <w:rFonts w:ascii="宋体" w:hint="eastAsia"/>
          <w:bCs/>
          <w:szCs w:val="24"/>
        </w:rPr>
        <w:lastRenderedPageBreak/>
        <w:t>对本计划财产估值的计算等方面进行了认真的复核，对本计划的投资运作方面进行了监督，未发现管理人存在损害资产份额持有人利益的行为。</w:t>
      </w:r>
    </w:p>
    <w:p w14:paraId="3C820382" w14:textId="77777777" w:rsidR="002F0E71" w:rsidRPr="00366FB5" w:rsidRDefault="002F0E71" w:rsidP="002F0E71">
      <w:pPr>
        <w:spacing w:afterLines="50" w:after="156" w:line="360" w:lineRule="auto"/>
        <w:ind w:firstLineChars="200" w:firstLine="420"/>
        <w:rPr>
          <w:rFonts w:ascii="宋体"/>
          <w:bCs/>
          <w:szCs w:val="24"/>
        </w:rPr>
      </w:pPr>
      <w:r w:rsidRPr="004E7708">
        <w:rPr>
          <w:rFonts w:ascii="宋体" w:hint="eastAsia"/>
          <w:bCs/>
          <w:szCs w:val="24"/>
        </w:rPr>
        <w:t>3、托管人对本报告中财务信息等内容的真实、准确和完整发表意见</w:t>
      </w:r>
    </w:p>
    <w:p w14:paraId="62CD791A" w14:textId="77777777" w:rsidR="002F0E71" w:rsidRPr="00366FB5" w:rsidRDefault="002F0E71" w:rsidP="002F0E71">
      <w:pPr>
        <w:spacing w:afterLines="50" w:after="156" w:line="360" w:lineRule="auto"/>
        <w:ind w:firstLineChars="200" w:firstLine="420"/>
        <w:rPr>
          <w:rFonts w:ascii="宋体"/>
          <w:bCs/>
          <w:szCs w:val="24"/>
        </w:rPr>
      </w:pPr>
      <w:r w:rsidRPr="004E7708">
        <w:rPr>
          <w:rFonts w:ascii="宋体" w:hint="eastAsia"/>
          <w:bCs/>
          <w:szCs w:val="24"/>
        </w:rPr>
        <w:t>本托管人复核了本报告中的【主要财务指标、期间组合收益分配情况、投资组合绩效情况、投资组合报告】的内容，保证复核内容不存在虚假记载、误导性陈述或者重大遗漏。</w:t>
      </w:r>
    </w:p>
    <w:p w14:paraId="4818B00B" w14:textId="77777777" w:rsidR="002F0E71" w:rsidRDefault="002F0E71" w:rsidP="002F0E71">
      <w:pPr>
        <w:spacing w:line="360" w:lineRule="auto"/>
        <w:ind w:leftChars="228" w:left="479"/>
        <w:jc w:val="right"/>
        <w:rPr>
          <w:rFonts w:ascii="宋体"/>
          <w:kern w:val="0"/>
          <w:sz w:val="24"/>
          <w:szCs w:val="24"/>
        </w:rPr>
      </w:pPr>
    </w:p>
    <w:p w14:paraId="762667BD" w14:textId="77777777" w:rsidR="002F0E71" w:rsidRDefault="002F0E71" w:rsidP="002F0E71">
      <w:pPr>
        <w:spacing w:line="360" w:lineRule="auto"/>
        <w:ind w:leftChars="228" w:left="479"/>
        <w:jc w:val="right"/>
        <w:rPr>
          <w:rFonts w:ascii="宋体" w:hAnsi="宋体" w:cs="宋体"/>
          <w:kern w:val="0"/>
          <w:sz w:val="24"/>
          <w:szCs w:val="24"/>
        </w:rPr>
      </w:pPr>
      <w:r w:rsidRPr="00A8211D">
        <w:rPr>
          <w:rFonts w:ascii="宋体" w:hAnsi="宋体" w:cs="宋体" w:hint="eastAsia"/>
          <w:kern w:val="0"/>
          <w:sz w:val="24"/>
          <w:szCs w:val="24"/>
        </w:rPr>
        <w:t>易方达基金管理有限公司</w:t>
      </w:r>
    </w:p>
    <w:p w14:paraId="1B58943F" w14:textId="3E1C0293" w:rsidR="002F0E71" w:rsidRPr="009D6031" w:rsidRDefault="002F0E71" w:rsidP="009D6031">
      <w:pPr>
        <w:spacing w:line="360" w:lineRule="auto"/>
        <w:ind w:leftChars="228" w:left="479"/>
        <w:jc w:val="right"/>
        <w:rPr>
          <w:rFonts w:ascii="宋体" w:hAnsi="宋体" w:cs="宋体" w:hint="eastAsia"/>
          <w:sz w:val="24"/>
          <w:szCs w:val="24"/>
        </w:rPr>
      </w:pPr>
      <w:r w:rsidRPr="00AC4DE3">
        <w:rPr>
          <w:rFonts w:ascii="宋体" w:hAnsi="宋体" w:cs="宋体" w:hint="eastAsia"/>
          <w:sz w:val="24"/>
          <w:szCs w:val="24"/>
        </w:rPr>
        <w:t>2022年04月</w:t>
      </w:r>
    </w:p>
    <w:p w14:paraId="703FC5A9" w14:textId="77777777" w:rsidR="006617C5" w:rsidRDefault="006617C5" w:rsidP="00D94DA9">
      <w:pPr>
        <w:spacing w:line="360" w:lineRule="auto"/>
        <w:ind w:leftChars="228" w:left="479"/>
        <w:jc w:val="right"/>
        <w:rPr>
          <w:rFonts w:ascii="宋体" w:hAnsi="宋体" w:cs="宋体"/>
          <w:sz w:val="24"/>
          <w:szCs w:val="24"/>
        </w:rPr>
      </w:pPr>
    </w:p>
    <w:sectPr w:rsidR="006617C5" w:rsidSect="00AC352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3E75F" w14:textId="77777777" w:rsidR="00730BBE" w:rsidRDefault="00730BBE" w:rsidP="0087732F">
      <w:r>
        <w:separator/>
      </w:r>
    </w:p>
  </w:endnote>
  <w:endnote w:type="continuationSeparator" w:id="0">
    <w:p w14:paraId="33DA3956" w14:textId="77777777" w:rsidR="00730BBE" w:rsidRDefault="00730BBE" w:rsidP="0087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28221" w14:textId="77777777" w:rsidR="00E24915" w:rsidRDefault="00B14ED8" w:rsidP="00425238">
    <w:pPr>
      <w:pStyle w:val="a4"/>
      <w:framePr w:wrap="auto" w:vAnchor="text" w:hAnchor="margin" w:xAlign="center" w:y="1"/>
      <w:rPr>
        <w:rStyle w:val="a6"/>
      </w:rPr>
    </w:pPr>
    <w:r>
      <w:rPr>
        <w:rStyle w:val="a6"/>
      </w:rPr>
      <w:fldChar w:fldCharType="begin"/>
    </w:r>
    <w:r w:rsidR="005A6DE5">
      <w:rPr>
        <w:rStyle w:val="a6"/>
      </w:rPr>
      <w:instrText xml:space="preserve">PAGE  </w:instrText>
    </w:r>
    <w:r>
      <w:rPr>
        <w:rStyle w:val="a6"/>
      </w:rPr>
      <w:fldChar w:fldCharType="separate"/>
    </w:r>
    <w:r w:rsidR="009D6031">
      <w:rPr>
        <w:rStyle w:val="a6"/>
        <w:noProof/>
      </w:rPr>
      <w:t>1</w:t>
    </w:r>
    <w:r>
      <w:rPr>
        <w:rStyle w:val="a6"/>
      </w:rPr>
      <w:fldChar w:fldCharType="end"/>
    </w:r>
  </w:p>
  <w:p w14:paraId="6C370AB2" w14:textId="77777777" w:rsidR="00E24915" w:rsidRDefault="00730B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2172C" w14:textId="77777777" w:rsidR="00730BBE" w:rsidRDefault="00730BBE" w:rsidP="0087732F">
      <w:r>
        <w:separator/>
      </w:r>
    </w:p>
  </w:footnote>
  <w:footnote w:type="continuationSeparator" w:id="0">
    <w:p w14:paraId="663BD2BB" w14:textId="77777777" w:rsidR="00730BBE" w:rsidRDefault="00730BBE" w:rsidP="00877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5723F"/>
    <w:multiLevelType w:val="hybridMultilevel"/>
    <w:tmpl w:val="8C425724"/>
    <w:lvl w:ilvl="0" w:tplc="7846A72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732F"/>
    <w:rsid w:val="00002CA8"/>
    <w:rsid w:val="000131D2"/>
    <w:rsid w:val="00016442"/>
    <w:rsid w:val="0002660B"/>
    <w:rsid w:val="000269BA"/>
    <w:rsid w:val="0004290E"/>
    <w:rsid w:val="000648D3"/>
    <w:rsid w:val="00070109"/>
    <w:rsid w:val="000708D5"/>
    <w:rsid w:val="000762F7"/>
    <w:rsid w:val="000A4C9D"/>
    <w:rsid w:val="000A78E5"/>
    <w:rsid w:val="000B06BF"/>
    <w:rsid w:val="000B0F83"/>
    <w:rsid w:val="000B57AB"/>
    <w:rsid w:val="000C0362"/>
    <w:rsid w:val="000D2AA1"/>
    <w:rsid w:val="000E4B70"/>
    <w:rsid w:val="000F24F0"/>
    <w:rsid w:val="00102205"/>
    <w:rsid w:val="00110111"/>
    <w:rsid w:val="00114149"/>
    <w:rsid w:val="00116FF5"/>
    <w:rsid w:val="00166D51"/>
    <w:rsid w:val="00170640"/>
    <w:rsid w:val="00180439"/>
    <w:rsid w:val="00181068"/>
    <w:rsid w:val="00181BEB"/>
    <w:rsid w:val="001860CD"/>
    <w:rsid w:val="00194873"/>
    <w:rsid w:val="001A0446"/>
    <w:rsid w:val="001A0E56"/>
    <w:rsid w:val="001A6A7E"/>
    <w:rsid w:val="001B3604"/>
    <w:rsid w:val="001B6820"/>
    <w:rsid w:val="001C4D71"/>
    <w:rsid w:val="001D138A"/>
    <w:rsid w:val="001E6550"/>
    <w:rsid w:val="00203FAE"/>
    <w:rsid w:val="0021045A"/>
    <w:rsid w:val="00210B87"/>
    <w:rsid w:val="00212DA6"/>
    <w:rsid w:val="00217E5F"/>
    <w:rsid w:val="0022281D"/>
    <w:rsid w:val="002231B6"/>
    <w:rsid w:val="00227EAC"/>
    <w:rsid w:val="00261190"/>
    <w:rsid w:val="00261559"/>
    <w:rsid w:val="00273099"/>
    <w:rsid w:val="002763E4"/>
    <w:rsid w:val="00290BB1"/>
    <w:rsid w:val="002B240E"/>
    <w:rsid w:val="002B4558"/>
    <w:rsid w:val="002C1465"/>
    <w:rsid w:val="002D52C7"/>
    <w:rsid w:val="002E03A5"/>
    <w:rsid w:val="002E042F"/>
    <w:rsid w:val="002F0E71"/>
    <w:rsid w:val="002F16E4"/>
    <w:rsid w:val="002F2A3C"/>
    <w:rsid w:val="00302B2C"/>
    <w:rsid w:val="00320138"/>
    <w:rsid w:val="00330E43"/>
    <w:rsid w:val="00331F43"/>
    <w:rsid w:val="00333CD6"/>
    <w:rsid w:val="00336544"/>
    <w:rsid w:val="003474C2"/>
    <w:rsid w:val="0034758D"/>
    <w:rsid w:val="00351010"/>
    <w:rsid w:val="00374B4D"/>
    <w:rsid w:val="00380085"/>
    <w:rsid w:val="00383657"/>
    <w:rsid w:val="00384D2B"/>
    <w:rsid w:val="003901CB"/>
    <w:rsid w:val="003A4F62"/>
    <w:rsid w:val="003A56BE"/>
    <w:rsid w:val="003D05DD"/>
    <w:rsid w:val="003D3E42"/>
    <w:rsid w:val="003D6213"/>
    <w:rsid w:val="003E0860"/>
    <w:rsid w:val="004021FC"/>
    <w:rsid w:val="00410E35"/>
    <w:rsid w:val="00411EC9"/>
    <w:rsid w:val="00421C17"/>
    <w:rsid w:val="00424915"/>
    <w:rsid w:val="004265C7"/>
    <w:rsid w:val="00426E9D"/>
    <w:rsid w:val="00447912"/>
    <w:rsid w:val="00451BA8"/>
    <w:rsid w:val="00453090"/>
    <w:rsid w:val="004727AA"/>
    <w:rsid w:val="004A4507"/>
    <w:rsid w:val="004C0AFD"/>
    <w:rsid w:val="004C7259"/>
    <w:rsid w:val="004D3436"/>
    <w:rsid w:val="004D3C64"/>
    <w:rsid w:val="004E3921"/>
    <w:rsid w:val="004E7136"/>
    <w:rsid w:val="00501CC8"/>
    <w:rsid w:val="0050412B"/>
    <w:rsid w:val="00507453"/>
    <w:rsid w:val="0051379A"/>
    <w:rsid w:val="00514505"/>
    <w:rsid w:val="00522DA0"/>
    <w:rsid w:val="00523480"/>
    <w:rsid w:val="005247C4"/>
    <w:rsid w:val="005350E5"/>
    <w:rsid w:val="00550477"/>
    <w:rsid w:val="005570C3"/>
    <w:rsid w:val="0057156D"/>
    <w:rsid w:val="00574B80"/>
    <w:rsid w:val="005766E5"/>
    <w:rsid w:val="00592342"/>
    <w:rsid w:val="005A3576"/>
    <w:rsid w:val="005A6DE5"/>
    <w:rsid w:val="005B2A2D"/>
    <w:rsid w:val="005B6646"/>
    <w:rsid w:val="005C2B04"/>
    <w:rsid w:val="005D21B7"/>
    <w:rsid w:val="005E09D8"/>
    <w:rsid w:val="005F4CC8"/>
    <w:rsid w:val="00605A92"/>
    <w:rsid w:val="00611415"/>
    <w:rsid w:val="00616A1F"/>
    <w:rsid w:val="00621F1D"/>
    <w:rsid w:val="006234F4"/>
    <w:rsid w:val="00630580"/>
    <w:rsid w:val="00631A33"/>
    <w:rsid w:val="006326FA"/>
    <w:rsid w:val="0063347F"/>
    <w:rsid w:val="00633B86"/>
    <w:rsid w:val="0064129B"/>
    <w:rsid w:val="006412E0"/>
    <w:rsid w:val="00655CA2"/>
    <w:rsid w:val="0066037E"/>
    <w:rsid w:val="006614C1"/>
    <w:rsid w:val="0066175E"/>
    <w:rsid w:val="006617C5"/>
    <w:rsid w:val="00661862"/>
    <w:rsid w:val="006744AF"/>
    <w:rsid w:val="00677D67"/>
    <w:rsid w:val="00684B14"/>
    <w:rsid w:val="00694249"/>
    <w:rsid w:val="006B0803"/>
    <w:rsid w:val="006E6047"/>
    <w:rsid w:val="00705C7E"/>
    <w:rsid w:val="00712BB6"/>
    <w:rsid w:val="0072103E"/>
    <w:rsid w:val="0072286E"/>
    <w:rsid w:val="00727A7F"/>
    <w:rsid w:val="00730BBE"/>
    <w:rsid w:val="00735733"/>
    <w:rsid w:val="007451E4"/>
    <w:rsid w:val="007611B3"/>
    <w:rsid w:val="0076651A"/>
    <w:rsid w:val="0079393C"/>
    <w:rsid w:val="00794DC4"/>
    <w:rsid w:val="007A7B07"/>
    <w:rsid w:val="007C260B"/>
    <w:rsid w:val="007C63D5"/>
    <w:rsid w:val="007D27B8"/>
    <w:rsid w:val="007E394F"/>
    <w:rsid w:val="00800AB8"/>
    <w:rsid w:val="00806EF6"/>
    <w:rsid w:val="00815421"/>
    <w:rsid w:val="0082102E"/>
    <w:rsid w:val="008266F6"/>
    <w:rsid w:val="00833037"/>
    <w:rsid w:val="008339A7"/>
    <w:rsid w:val="00852145"/>
    <w:rsid w:val="00865475"/>
    <w:rsid w:val="0087732F"/>
    <w:rsid w:val="00893B4B"/>
    <w:rsid w:val="008A34C0"/>
    <w:rsid w:val="008A7E41"/>
    <w:rsid w:val="008C1521"/>
    <w:rsid w:val="008E5CB8"/>
    <w:rsid w:val="008E71FD"/>
    <w:rsid w:val="008F7D53"/>
    <w:rsid w:val="00901636"/>
    <w:rsid w:val="0091387B"/>
    <w:rsid w:val="00924966"/>
    <w:rsid w:val="009334B4"/>
    <w:rsid w:val="00934C82"/>
    <w:rsid w:val="00936174"/>
    <w:rsid w:val="0094038D"/>
    <w:rsid w:val="00941FB6"/>
    <w:rsid w:val="00944249"/>
    <w:rsid w:val="009449C7"/>
    <w:rsid w:val="00945F1C"/>
    <w:rsid w:val="00946042"/>
    <w:rsid w:val="009677FA"/>
    <w:rsid w:val="00976E5C"/>
    <w:rsid w:val="00980594"/>
    <w:rsid w:val="009940F9"/>
    <w:rsid w:val="009B09B5"/>
    <w:rsid w:val="009C0843"/>
    <w:rsid w:val="009C408C"/>
    <w:rsid w:val="009C5EC5"/>
    <w:rsid w:val="009D6031"/>
    <w:rsid w:val="009E1DC3"/>
    <w:rsid w:val="009F1B33"/>
    <w:rsid w:val="00A00416"/>
    <w:rsid w:val="00A05393"/>
    <w:rsid w:val="00A31B84"/>
    <w:rsid w:val="00A45A71"/>
    <w:rsid w:val="00A515BD"/>
    <w:rsid w:val="00A52919"/>
    <w:rsid w:val="00A55700"/>
    <w:rsid w:val="00A66879"/>
    <w:rsid w:val="00A66CE4"/>
    <w:rsid w:val="00A7466B"/>
    <w:rsid w:val="00A850E3"/>
    <w:rsid w:val="00A8582B"/>
    <w:rsid w:val="00A944E6"/>
    <w:rsid w:val="00A9574D"/>
    <w:rsid w:val="00A9648D"/>
    <w:rsid w:val="00AA0115"/>
    <w:rsid w:val="00AA547A"/>
    <w:rsid w:val="00AA6B03"/>
    <w:rsid w:val="00AC4DE3"/>
    <w:rsid w:val="00AD054C"/>
    <w:rsid w:val="00AD51B7"/>
    <w:rsid w:val="00AE5B87"/>
    <w:rsid w:val="00AE5FF1"/>
    <w:rsid w:val="00B12EE8"/>
    <w:rsid w:val="00B14ED8"/>
    <w:rsid w:val="00B17753"/>
    <w:rsid w:val="00B30E80"/>
    <w:rsid w:val="00B37818"/>
    <w:rsid w:val="00B466CA"/>
    <w:rsid w:val="00B7272E"/>
    <w:rsid w:val="00B82C35"/>
    <w:rsid w:val="00BD5C67"/>
    <w:rsid w:val="00BE50BF"/>
    <w:rsid w:val="00BF3C6B"/>
    <w:rsid w:val="00C03675"/>
    <w:rsid w:val="00C17185"/>
    <w:rsid w:val="00C263DA"/>
    <w:rsid w:val="00C3003F"/>
    <w:rsid w:val="00C355AC"/>
    <w:rsid w:val="00C4493F"/>
    <w:rsid w:val="00C54CEE"/>
    <w:rsid w:val="00C60313"/>
    <w:rsid w:val="00C95D86"/>
    <w:rsid w:val="00CA04E1"/>
    <w:rsid w:val="00CA3813"/>
    <w:rsid w:val="00CA4E41"/>
    <w:rsid w:val="00CC1887"/>
    <w:rsid w:val="00CC36AB"/>
    <w:rsid w:val="00CD6627"/>
    <w:rsid w:val="00CE26DE"/>
    <w:rsid w:val="00CE2A81"/>
    <w:rsid w:val="00CE5DBA"/>
    <w:rsid w:val="00CE5E01"/>
    <w:rsid w:val="00D17405"/>
    <w:rsid w:val="00D22BB6"/>
    <w:rsid w:val="00D24AAE"/>
    <w:rsid w:val="00D44C85"/>
    <w:rsid w:val="00D57720"/>
    <w:rsid w:val="00D80225"/>
    <w:rsid w:val="00D94DA9"/>
    <w:rsid w:val="00DA07BE"/>
    <w:rsid w:val="00DA3C6A"/>
    <w:rsid w:val="00DB7E4B"/>
    <w:rsid w:val="00DC06C1"/>
    <w:rsid w:val="00DC224D"/>
    <w:rsid w:val="00DC65B3"/>
    <w:rsid w:val="00DE531F"/>
    <w:rsid w:val="00DE7528"/>
    <w:rsid w:val="00DE7CA4"/>
    <w:rsid w:val="00DF5AE8"/>
    <w:rsid w:val="00DF7B7E"/>
    <w:rsid w:val="00E0757D"/>
    <w:rsid w:val="00E12F6C"/>
    <w:rsid w:val="00E2191C"/>
    <w:rsid w:val="00E341E1"/>
    <w:rsid w:val="00E3763D"/>
    <w:rsid w:val="00E425B8"/>
    <w:rsid w:val="00E4305C"/>
    <w:rsid w:val="00E62D8C"/>
    <w:rsid w:val="00E67798"/>
    <w:rsid w:val="00E77FB9"/>
    <w:rsid w:val="00E8166D"/>
    <w:rsid w:val="00E952B2"/>
    <w:rsid w:val="00EA7391"/>
    <w:rsid w:val="00EB1F94"/>
    <w:rsid w:val="00EB6819"/>
    <w:rsid w:val="00EC05A0"/>
    <w:rsid w:val="00EC60CC"/>
    <w:rsid w:val="00ED1731"/>
    <w:rsid w:val="00ED273C"/>
    <w:rsid w:val="00ED746C"/>
    <w:rsid w:val="00EE03C5"/>
    <w:rsid w:val="00EE7DC2"/>
    <w:rsid w:val="00F00F9A"/>
    <w:rsid w:val="00F03B78"/>
    <w:rsid w:val="00F03F9A"/>
    <w:rsid w:val="00F30689"/>
    <w:rsid w:val="00F325EA"/>
    <w:rsid w:val="00F349A8"/>
    <w:rsid w:val="00F468E0"/>
    <w:rsid w:val="00F52330"/>
    <w:rsid w:val="00F65252"/>
    <w:rsid w:val="00F70D20"/>
    <w:rsid w:val="00F75339"/>
    <w:rsid w:val="00F75C0F"/>
    <w:rsid w:val="00F905CE"/>
    <w:rsid w:val="00F946D6"/>
    <w:rsid w:val="00F94EDB"/>
    <w:rsid w:val="00F95884"/>
    <w:rsid w:val="00FA2158"/>
    <w:rsid w:val="00FA2DDC"/>
    <w:rsid w:val="00FB35E5"/>
    <w:rsid w:val="00FD558D"/>
    <w:rsid w:val="00FE3341"/>
    <w:rsid w:val="00FE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575A7"/>
  <w15:docId w15:val="{DE7C38C5-CE68-4E9E-91C7-524F0D6D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2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32F"/>
    <w:rPr>
      <w:sz w:val="18"/>
      <w:szCs w:val="18"/>
    </w:rPr>
  </w:style>
  <w:style w:type="paragraph" w:styleId="a4">
    <w:name w:val="footer"/>
    <w:basedOn w:val="a"/>
    <w:link w:val="Char0"/>
    <w:uiPriority w:val="99"/>
    <w:unhideWhenUsed/>
    <w:rsid w:val="008773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32F"/>
    <w:rPr>
      <w:sz w:val="18"/>
      <w:szCs w:val="18"/>
    </w:rPr>
  </w:style>
  <w:style w:type="table" w:styleId="a5">
    <w:name w:val="Table Grid"/>
    <w:basedOn w:val="a1"/>
    <w:uiPriority w:val="99"/>
    <w:rsid w:val="0087732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87732F"/>
  </w:style>
  <w:style w:type="character" w:styleId="a7">
    <w:name w:val="annotation reference"/>
    <w:basedOn w:val="a0"/>
    <w:uiPriority w:val="99"/>
    <w:semiHidden/>
    <w:unhideWhenUsed/>
    <w:rsid w:val="003A4F62"/>
    <w:rPr>
      <w:sz w:val="21"/>
      <w:szCs w:val="21"/>
    </w:rPr>
  </w:style>
  <w:style w:type="paragraph" w:styleId="a8">
    <w:name w:val="annotation text"/>
    <w:basedOn w:val="a"/>
    <w:link w:val="Char1"/>
    <w:uiPriority w:val="99"/>
    <w:semiHidden/>
    <w:unhideWhenUsed/>
    <w:rsid w:val="003A4F62"/>
    <w:pPr>
      <w:jc w:val="left"/>
    </w:pPr>
  </w:style>
  <w:style w:type="character" w:customStyle="1" w:styleId="Char1">
    <w:name w:val="批注文字 Char"/>
    <w:basedOn w:val="a0"/>
    <w:link w:val="a8"/>
    <w:uiPriority w:val="99"/>
    <w:semiHidden/>
    <w:rsid w:val="003A4F62"/>
    <w:rPr>
      <w:rFonts w:ascii="Times New Roman" w:eastAsia="宋体" w:hAnsi="Times New Roman" w:cs="Times New Roman"/>
      <w:szCs w:val="21"/>
    </w:rPr>
  </w:style>
  <w:style w:type="paragraph" w:styleId="a9">
    <w:name w:val="annotation subject"/>
    <w:basedOn w:val="a8"/>
    <w:next w:val="a8"/>
    <w:link w:val="Char2"/>
    <w:uiPriority w:val="99"/>
    <w:semiHidden/>
    <w:unhideWhenUsed/>
    <w:rsid w:val="003A4F62"/>
    <w:rPr>
      <w:b/>
      <w:bCs/>
    </w:rPr>
  </w:style>
  <w:style w:type="character" w:customStyle="1" w:styleId="Char2">
    <w:name w:val="批注主题 Char"/>
    <w:basedOn w:val="Char1"/>
    <w:link w:val="a9"/>
    <w:uiPriority w:val="99"/>
    <w:semiHidden/>
    <w:rsid w:val="003A4F62"/>
    <w:rPr>
      <w:rFonts w:ascii="Times New Roman" w:eastAsia="宋体" w:hAnsi="Times New Roman" w:cs="Times New Roman"/>
      <w:b/>
      <w:bCs/>
      <w:szCs w:val="21"/>
    </w:rPr>
  </w:style>
  <w:style w:type="paragraph" w:styleId="aa">
    <w:name w:val="Balloon Text"/>
    <w:basedOn w:val="a"/>
    <w:link w:val="Char3"/>
    <w:uiPriority w:val="99"/>
    <w:semiHidden/>
    <w:unhideWhenUsed/>
    <w:rsid w:val="003A4F62"/>
    <w:rPr>
      <w:sz w:val="18"/>
      <w:szCs w:val="18"/>
    </w:rPr>
  </w:style>
  <w:style w:type="character" w:customStyle="1" w:styleId="Char3">
    <w:name w:val="批注框文本 Char"/>
    <w:basedOn w:val="a0"/>
    <w:link w:val="aa"/>
    <w:uiPriority w:val="99"/>
    <w:semiHidden/>
    <w:rsid w:val="003A4F62"/>
    <w:rPr>
      <w:rFonts w:ascii="Times New Roman" w:eastAsia="宋体" w:hAnsi="Times New Roman" w:cs="Times New Roman"/>
      <w:sz w:val="18"/>
      <w:szCs w:val="18"/>
    </w:rPr>
  </w:style>
  <w:style w:type="paragraph" w:customStyle="1" w:styleId="Default">
    <w:name w:val="Default"/>
    <w:rsid w:val="00B30E80"/>
    <w:pPr>
      <w:widowControl w:val="0"/>
      <w:autoSpaceDE w:val="0"/>
      <w:autoSpaceDN w:val="0"/>
      <w:adjustRightInd w:val="0"/>
    </w:pPr>
    <w:rPr>
      <w:rFonts w:ascii="宋体" w:eastAsia="宋体" w:cs="宋体"/>
      <w:color w:val="000000"/>
      <w:kern w:val="0"/>
      <w:sz w:val="24"/>
      <w:szCs w:val="24"/>
    </w:rPr>
  </w:style>
  <w:style w:type="paragraph" w:styleId="ab">
    <w:name w:val="List Paragraph"/>
    <w:basedOn w:val="a"/>
    <w:uiPriority w:val="34"/>
    <w:qFormat/>
    <w:rsid w:val="00E12F6C"/>
    <w:pPr>
      <w:widowControl/>
      <w:ind w:firstLine="420"/>
    </w:pPr>
    <w:rPr>
      <w:rFonts w:ascii="Calibri" w:hAnsi="Calibri"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5134">
      <w:bodyDiv w:val="1"/>
      <w:marLeft w:val="0"/>
      <w:marRight w:val="0"/>
      <w:marTop w:val="0"/>
      <w:marBottom w:val="0"/>
      <w:divBdr>
        <w:top w:val="none" w:sz="0" w:space="0" w:color="auto"/>
        <w:left w:val="none" w:sz="0" w:space="0" w:color="auto"/>
        <w:bottom w:val="none" w:sz="0" w:space="0" w:color="auto"/>
        <w:right w:val="none" w:sz="0" w:space="0" w:color="auto"/>
      </w:divBdr>
    </w:div>
    <w:div w:id="471751734">
      <w:bodyDiv w:val="1"/>
      <w:marLeft w:val="0"/>
      <w:marRight w:val="0"/>
      <w:marTop w:val="0"/>
      <w:marBottom w:val="0"/>
      <w:divBdr>
        <w:top w:val="none" w:sz="0" w:space="0" w:color="auto"/>
        <w:left w:val="none" w:sz="0" w:space="0" w:color="auto"/>
        <w:bottom w:val="none" w:sz="0" w:space="0" w:color="auto"/>
        <w:right w:val="none" w:sz="0" w:space="0" w:color="auto"/>
      </w:divBdr>
    </w:div>
    <w:div w:id="722216479">
      <w:bodyDiv w:val="1"/>
      <w:marLeft w:val="0"/>
      <w:marRight w:val="0"/>
      <w:marTop w:val="0"/>
      <w:marBottom w:val="0"/>
      <w:divBdr>
        <w:top w:val="none" w:sz="0" w:space="0" w:color="auto"/>
        <w:left w:val="none" w:sz="0" w:space="0" w:color="auto"/>
        <w:bottom w:val="none" w:sz="0" w:space="0" w:color="auto"/>
        <w:right w:val="none" w:sz="0" w:space="0" w:color="auto"/>
      </w:divBdr>
    </w:div>
    <w:div w:id="785470203">
      <w:bodyDiv w:val="1"/>
      <w:marLeft w:val="0"/>
      <w:marRight w:val="0"/>
      <w:marTop w:val="0"/>
      <w:marBottom w:val="0"/>
      <w:divBdr>
        <w:top w:val="none" w:sz="0" w:space="0" w:color="auto"/>
        <w:left w:val="none" w:sz="0" w:space="0" w:color="auto"/>
        <w:bottom w:val="none" w:sz="0" w:space="0" w:color="auto"/>
        <w:right w:val="none" w:sz="0" w:space="0" w:color="auto"/>
      </w:divBdr>
    </w:div>
    <w:div w:id="859701534">
      <w:bodyDiv w:val="1"/>
      <w:marLeft w:val="0"/>
      <w:marRight w:val="0"/>
      <w:marTop w:val="0"/>
      <w:marBottom w:val="0"/>
      <w:divBdr>
        <w:top w:val="none" w:sz="0" w:space="0" w:color="auto"/>
        <w:left w:val="none" w:sz="0" w:space="0" w:color="auto"/>
        <w:bottom w:val="none" w:sz="0" w:space="0" w:color="auto"/>
        <w:right w:val="none" w:sz="0" w:space="0" w:color="auto"/>
      </w:divBdr>
    </w:div>
    <w:div w:id="978650190">
      <w:bodyDiv w:val="1"/>
      <w:marLeft w:val="0"/>
      <w:marRight w:val="0"/>
      <w:marTop w:val="0"/>
      <w:marBottom w:val="0"/>
      <w:divBdr>
        <w:top w:val="none" w:sz="0" w:space="0" w:color="auto"/>
        <w:left w:val="none" w:sz="0" w:space="0" w:color="auto"/>
        <w:bottom w:val="none" w:sz="0" w:space="0" w:color="auto"/>
        <w:right w:val="none" w:sz="0" w:space="0" w:color="auto"/>
      </w:divBdr>
    </w:div>
    <w:div w:id="1623685467">
      <w:bodyDiv w:val="1"/>
      <w:marLeft w:val="0"/>
      <w:marRight w:val="0"/>
      <w:marTop w:val="0"/>
      <w:marBottom w:val="0"/>
      <w:divBdr>
        <w:top w:val="none" w:sz="0" w:space="0" w:color="auto"/>
        <w:left w:val="none" w:sz="0" w:space="0" w:color="auto"/>
        <w:bottom w:val="none" w:sz="0" w:space="0" w:color="auto"/>
        <w:right w:val="none" w:sz="0" w:space="0" w:color="auto"/>
      </w:divBdr>
    </w:div>
    <w:div w:id="20296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Sources xmlns:a="http://schemas.openxmlformats.org/drawingml/2006/main" xmlns:b="http://schemas.openxmlformats.org/officeDocument/2006/bibliography" xmlns:c="http://schemas.openxmlformats.org/drawingml/2006/chart" xmlns:dgm="http://schemas.openxmlformats.org/drawingml/2006/diagram" xmlns:dsp="http://schemas.microsoft.com/office/drawing/2008/diagram" xmlns:m="http://schemas.openxmlformats.org/officeDocument/2006/math" xmlns:mc="http://schemas.openxmlformats.org/markup-compatibility/2006" xmlns:ns10="http://schemas.openxmlformats.org/schemaLibrary/2006/main" xmlns:ns13="http://schemas.openxmlformats.org/drawingml/2006/chartDrawing" xmlns:ns18="urn:schemas-microsoft-com:office:excel" xmlns:ns22="urn:schemas-microsoft-com:office:powerpoint" xmlns:ns24="http://schemas.microsoft.com/office/2006/coverPageProps" xmlns:ns34="http://schemas.openxmlformats.org/drawingml/2006/compatibility" xmlns:ns35="http://schemas.openxmlformats.org/drawingml/2006/lockedCanvas"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SelectedStyle="\APA.XSL" StyleName="APA"/>
</file>

<file path=customXml/itemProps1.xml><?xml version="1.0" encoding="utf-8"?>
<ds:datastoreItem xmlns:ds="http://schemas.openxmlformats.org/officeDocument/2006/customXml" ds:itemID="{151FB9DA-21E3-4499-9D13-87B3BFDCC195}">
  <ds:schemaRefs>
    <ds:schemaRef ds:uri="http://schemas.openxmlformats.org/drawingml/2006/main"/>
    <ds:schemaRef ds:uri="http://schemas.openxmlformats.org/officeDocument/2006/bibliography"/>
    <ds:schemaRef ds:uri="http://schemas.openxmlformats.org/drawingml/2006/chart"/>
    <ds:schemaRef ds:uri="http://schemas.openxmlformats.org/drawingml/2006/diagram"/>
    <ds:schemaRef ds:uri="http://schemas.microsoft.com/office/drawing/2008/diagram"/>
    <ds:schemaRef ds:uri="http://schemas.openxmlformats.org/officeDocument/2006/math"/>
    <ds:schemaRef ds:uri="http://schemas.openxmlformats.org/markup-compatibility/2006"/>
    <ds:schemaRef ds:uri="http://schemas.openxmlformats.org/schemaLibrary/2006/main"/>
    <ds:schemaRef ds:uri="http://schemas.openxmlformats.org/drawingml/2006/chartDrawing"/>
    <ds:schemaRef ds:uri="urn:schemas-microsoft-com:office:excel"/>
    <ds:schemaRef ds:uri="urn:schemas-microsoft-com:office:powerpoint"/>
    <ds:schemaRef ds:uri="http://schemas.microsoft.com/office/2006/coverPageProps"/>
    <ds:schemaRef ds:uri="http://schemas.openxmlformats.org/drawingml/2006/compatibility"/>
    <ds:schemaRef ds:uri="http://schemas.openxmlformats.org/drawingml/2006/lockedCanvas"/>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http://schemas.openxmlformats.org/officeDocument/2006/relationships"/>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761</Words>
  <Characters>4338</Characters>
  <Application>Microsoft Office Word</Application>
  <DocSecurity>0</DocSecurity>
  <Lines>36</Lines>
  <Paragraphs>10</Paragraphs>
  <ScaleCrop>false</ScaleCrop>
  <Company>E Fund</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jizh</dc:creator>
  <cp:keywords/>
  <dc:description/>
  <cp:lastModifiedBy>谭中</cp:lastModifiedBy>
  <cp:revision>122</cp:revision>
  <dcterms:created xsi:type="dcterms:W3CDTF">2018-12-25T12:08:00Z</dcterms:created>
  <dcterms:modified xsi:type="dcterms:W3CDTF">2022-04-25T03:07:00Z</dcterms:modified>
</cp:coreProperties>
</file>