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代销财信证券财富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616号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集合资产管理计划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我行代销代销财信证券财富</w:t>
      </w:r>
      <w:r>
        <w:rPr>
          <w:rFonts w:hint="eastAsia"/>
          <w:lang w:val="en-US" w:eastAsia="zh-CN"/>
        </w:rPr>
        <w:t>616号</w:t>
      </w:r>
      <w:r>
        <w:rPr>
          <w:rFonts w:hint="eastAsia"/>
          <w:lang w:eastAsia="zh-CN"/>
        </w:rPr>
        <w:t>集合资产管理计划,产品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866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288"/>
        <w:gridCol w:w="1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320" w:right="0" w:hanging="1320" w:hangingChars="6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财信证券财富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616号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集合资产管理计划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5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2022/3/24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2023/9/25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2022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24</w:t>
      </w:r>
      <w:bookmarkStart w:id="2" w:name="_GoBack"/>
      <w:bookmarkEnd w:id="2"/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4B17E72"/>
    <w:rsid w:val="06205BA6"/>
    <w:rsid w:val="09E632D8"/>
    <w:rsid w:val="0A146F23"/>
    <w:rsid w:val="1C04607E"/>
    <w:rsid w:val="1D501723"/>
    <w:rsid w:val="1F4B09E0"/>
    <w:rsid w:val="1F841A00"/>
    <w:rsid w:val="24A57460"/>
    <w:rsid w:val="24D6222C"/>
    <w:rsid w:val="485D6CCB"/>
    <w:rsid w:val="54B46095"/>
    <w:rsid w:val="67FC34E8"/>
    <w:rsid w:val="6C7D55A4"/>
    <w:rsid w:val="6D464946"/>
    <w:rsid w:val="7AF15DC1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19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2022-04-08T10:02:11Z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