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D02116">
      <w:pPr>
        <w:adjustRightInd w:val="0"/>
        <w:snapToGrid w:val="0"/>
        <w:spacing w:line="324" w:lineRule="auto"/>
        <w:jc w:val="right"/>
        <w:rPr>
          <w:rFonts w:ascii="仿宋" w:hAnsi="仿宋" w:eastAsia="仿宋"/>
          <w:b/>
          <w:sz w:val="22"/>
          <w:szCs w:val="22"/>
          <w:highlight w:val="none"/>
        </w:rPr>
      </w:pPr>
      <w:r>
        <w:rPr>
          <w:rFonts w:hint="eastAsia" w:ascii="仿宋" w:hAnsi="仿宋" w:eastAsia="仿宋"/>
          <w:b/>
          <w:sz w:val="22"/>
          <w:szCs w:val="22"/>
          <w:highlight w:val="none"/>
        </w:rPr>
        <w:t>（</w:t>
      </w:r>
      <w:r>
        <w:rPr>
          <w:rFonts w:hint="eastAsia" w:ascii="仿宋" w:hAnsi="仿宋" w:eastAsia="仿宋"/>
          <w:b/>
          <w:sz w:val="22"/>
          <w:szCs w:val="22"/>
          <w:highlight w:val="none"/>
          <w:lang w:val="en-US" w:eastAsia="zh-CN"/>
        </w:rPr>
        <w:t>202609</w:t>
      </w:r>
      <w:r>
        <w:rPr>
          <w:rFonts w:hint="eastAsia" w:ascii="仿宋" w:hAnsi="仿宋" w:eastAsia="仿宋"/>
          <w:b/>
          <w:sz w:val="22"/>
          <w:szCs w:val="22"/>
          <w:highlight w:val="none"/>
        </w:rPr>
        <w:t>）</w:t>
      </w:r>
    </w:p>
    <w:p w14:paraId="234253F2">
      <w:pPr>
        <w:adjustRightInd w:val="0"/>
        <w:snapToGrid w:val="0"/>
        <w:spacing w:line="324" w:lineRule="auto"/>
        <w:jc w:val="center"/>
        <w:rPr>
          <w:rFonts w:ascii="仿宋" w:hAnsi="仿宋" w:eastAsia="仿宋"/>
          <w:b/>
          <w:sz w:val="36"/>
          <w:szCs w:val="36"/>
          <w:highlight w:val="none"/>
        </w:rPr>
      </w:pPr>
      <w:r>
        <w:rPr>
          <w:rFonts w:hint="eastAsia" w:ascii="仿宋" w:hAnsi="仿宋" w:eastAsia="仿宋"/>
          <w:b/>
          <w:sz w:val="36"/>
          <w:szCs w:val="36"/>
          <w:highlight w:val="none"/>
        </w:rPr>
        <w:t>徽银理财有限责任公司</w:t>
      </w:r>
      <w:r>
        <w:rPr>
          <w:rFonts w:ascii="仿宋" w:hAnsi="仿宋" w:eastAsia="仿宋"/>
          <w:b/>
          <w:sz w:val="36"/>
          <w:szCs w:val="36"/>
          <w:highlight w:val="none"/>
        </w:rPr>
        <w:t>理财产品风险揭示书</w:t>
      </w:r>
    </w:p>
    <w:p w14:paraId="1856BAC7">
      <w:pPr>
        <w:adjustRightInd w:val="0"/>
        <w:snapToGrid w:val="0"/>
        <w:spacing w:line="324" w:lineRule="auto"/>
        <w:jc w:val="center"/>
        <w:rPr>
          <w:rFonts w:ascii="仿宋_GB2312" w:hAnsi="宋体" w:eastAsia="仿宋_GB2312"/>
          <w:b/>
          <w:i/>
          <w:sz w:val="32"/>
          <w:szCs w:val="32"/>
          <w:highlight w:val="none"/>
          <w:u w:val="single"/>
        </w:rPr>
      </w:pPr>
      <w:r>
        <w:rPr>
          <w:rFonts w:hint="eastAsia" w:ascii="仿宋_GB2312" w:hAnsi="宋体" w:eastAsia="仿宋_GB2312"/>
          <w:b/>
          <w:i/>
          <w:sz w:val="32"/>
          <w:szCs w:val="32"/>
          <w:highlight w:val="none"/>
          <w:u w:val="single"/>
        </w:rPr>
        <w:t>理财非存款、产品有风险、投资须谨慎</w:t>
      </w:r>
    </w:p>
    <w:p w14:paraId="04945BCC">
      <w:pPr>
        <w:adjustRightInd w:val="0"/>
        <w:snapToGrid w:val="0"/>
        <w:spacing w:line="324" w:lineRule="auto"/>
        <w:jc w:val="center"/>
        <w:rPr>
          <w:rFonts w:ascii="仿宋" w:hAnsi="仿宋" w:eastAsia="仿宋" w:cs="仿宋"/>
          <w:sz w:val="28"/>
          <w:szCs w:val="28"/>
          <w:highlight w:val="none"/>
        </w:rPr>
      </w:pPr>
      <w:r>
        <w:rPr>
          <w:rFonts w:hint="eastAsia" w:ascii="仿宋_GB2312" w:hAnsi="宋体" w:eastAsia="仿宋_GB2312"/>
          <w:b/>
          <w:color w:val="000000"/>
          <w:kern w:val="0"/>
          <w:szCs w:val="21"/>
          <w:highlight w:val="none"/>
        </w:rPr>
        <w:t>本理财产品有投资风险，不保障理财资金本金和收益，可能会因市场变动导致本金和收益全部损失，您应充分认识投资风险，谨慎投资</w:t>
      </w:r>
    </w:p>
    <w:p w14:paraId="728C45BB">
      <w:pPr>
        <w:adjustRightInd w:val="0"/>
        <w:snapToGrid w:val="0"/>
        <w:spacing w:line="324" w:lineRule="auto"/>
        <w:rPr>
          <w:rFonts w:ascii="仿宋" w:hAnsi="仿宋" w:eastAsia="仿宋" w:cs="仿宋"/>
          <w:sz w:val="28"/>
          <w:szCs w:val="28"/>
          <w:highlight w:val="none"/>
        </w:rPr>
      </w:pPr>
      <w:r>
        <w:rPr>
          <w:rFonts w:hint="eastAsia" w:ascii="仿宋" w:hAnsi="仿宋" w:eastAsia="仿宋" w:cs="仿宋"/>
          <w:sz w:val="28"/>
          <w:szCs w:val="28"/>
          <w:highlight w:val="none"/>
        </w:rPr>
        <w:t>尊敬的投资者：</w:t>
      </w:r>
    </w:p>
    <w:p w14:paraId="4A48DC35">
      <w:pPr>
        <w:adjustRightInd w:val="0"/>
        <w:snapToGrid w:val="0"/>
        <w:spacing w:line="324" w:lineRule="auto"/>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由于理财产品投资运作管理中可能面临各种风险因素，为保护您的权益，在您选择投资理财产品前，请仔细阅读以下内容：</w:t>
      </w:r>
    </w:p>
    <w:p w14:paraId="79836432">
      <w:pPr>
        <w:adjustRightInd w:val="0"/>
        <w:snapToGrid w:val="0"/>
        <w:spacing w:line="324" w:lineRule="auto"/>
        <w:rPr>
          <w:rFonts w:ascii="仿宋" w:hAnsi="仿宋" w:eastAsia="仿宋" w:cs="仿宋"/>
          <w:b/>
          <w:bCs/>
          <w:sz w:val="28"/>
          <w:szCs w:val="28"/>
          <w:highlight w:val="none"/>
        </w:rPr>
      </w:pPr>
      <w:r>
        <w:rPr>
          <w:rFonts w:hint="eastAsia" w:ascii="仿宋" w:hAnsi="仿宋" w:eastAsia="仿宋" w:cs="仿宋"/>
          <w:b/>
          <w:bCs/>
          <w:sz w:val="28"/>
          <w:szCs w:val="28"/>
          <w:highlight w:val="none"/>
        </w:rPr>
        <w:t>一、重要提示：</w:t>
      </w:r>
    </w:p>
    <w:p w14:paraId="0EB1389E">
      <w:pPr>
        <w:adjustRightInd w:val="0"/>
        <w:snapToGrid w:val="0"/>
        <w:spacing w:line="324" w:lineRule="auto"/>
        <w:ind w:firstLine="562" w:firstLineChars="200"/>
        <w:rPr>
          <w:rFonts w:ascii="仿宋" w:hAnsi="仿宋" w:eastAsia="仿宋" w:cs="仿宋"/>
          <w:b/>
          <w:bCs/>
          <w:sz w:val="28"/>
          <w:szCs w:val="28"/>
          <w:highlight w:val="none"/>
        </w:rPr>
      </w:pPr>
      <w:r>
        <w:rPr>
          <w:rFonts w:hint="eastAsia" w:ascii="仿宋" w:hAnsi="仿宋" w:eastAsia="仿宋" w:cs="仿宋"/>
          <w:b/>
          <w:bCs/>
          <w:sz w:val="28"/>
          <w:szCs w:val="28"/>
          <w:highlight w:val="none"/>
        </w:rPr>
        <w:t>（一）理财非存款、产品有风险，投资须谨慎。</w:t>
      </w:r>
    </w:p>
    <w:p w14:paraId="746712B3">
      <w:pPr>
        <w:adjustRightInd w:val="0"/>
        <w:snapToGrid w:val="0"/>
        <w:spacing w:line="324" w:lineRule="auto"/>
        <w:ind w:firstLine="562" w:firstLineChars="200"/>
        <w:rPr>
          <w:rFonts w:ascii="仿宋" w:hAnsi="仿宋" w:eastAsia="仿宋" w:cs="仿宋"/>
          <w:b/>
          <w:bCs/>
          <w:sz w:val="28"/>
          <w:szCs w:val="28"/>
          <w:highlight w:val="none"/>
        </w:rPr>
      </w:pPr>
      <w:r>
        <w:rPr>
          <w:rFonts w:hint="eastAsia" w:ascii="仿宋" w:hAnsi="仿宋" w:eastAsia="仿宋" w:cs="仿宋"/>
          <w:b/>
          <w:bCs/>
          <w:sz w:val="28"/>
          <w:szCs w:val="28"/>
          <w:highlight w:val="none"/>
        </w:rPr>
        <w:t>（二）产品业绩比较基准不是预期收益率，不代表产品的未来表现和实际收益，不构成对产品收益的承诺。本产品业绩比较基准仅供投资者参考，测算收益及过往业绩不代表其未来表现，不等于理财产品实际收益，亦不作为产品管理人向投资者支付本产品收益的承诺，您所能获得的最终收益以产品管理人的实际支付为准，投资须谨慎。</w:t>
      </w:r>
    </w:p>
    <w:p w14:paraId="25B55265">
      <w:pPr>
        <w:adjustRightInd w:val="0"/>
        <w:snapToGrid w:val="0"/>
        <w:spacing w:line="324" w:lineRule="auto"/>
        <w:ind w:firstLine="562" w:firstLineChars="200"/>
        <w:rPr>
          <w:rFonts w:ascii="仿宋" w:hAnsi="仿宋" w:eastAsia="仿宋" w:cs="仿宋"/>
          <w:b/>
          <w:bCs/>
          <w:sz w:val="28"/>
          <w:szCs w:val="28"/>
          <w:highlight w:val="none"/>
        </w:rPr>
      </w:pPr>
      <w:r>
        <w:rPr>
          <w:rFonts w:hint="eastAsia" w:ascii="仿宋" w:hAnsi="仿宋" w:eastAsia="仿宋" w:cs="仿宋"/>
          <w:b/>
          <w:bCs/>
          <w:sz w:val="28"/>
          <w:szCs w:val="28"/>
          <w:highlight w:val="none"/>
        </w:rPr>
        <w:t>（三）本产品为非保本净值型理财产品，无预期收益率，该类产品不保证本金和收益，您可能会因为市场变动而蒙受损失，您应充分认识投资风险，谨慎投资。</w:t>
      </w:r>
    </w:p>
    <w:p w14:paraId="7EB9E18C">
      <w:pPr>
        <w:adjustRightInd w:val="0"/>
        <w:snapToGrid w:val="0"/>
        <w:spacing w:line="324" w:lineRule="auto"/>
        <w:ind w:firstLine="562" w:firstLineChars="200"/>
        <w:rPr>
          <w:rFonts w:ascii="仿宋" w:hAnsi="仿宋" w:eastAsia="仿宋" w:cs="仿宋"/>
          <w:b/>
          <w:bCs/>
          <w:sz w:val="28"/>
          <w:szCs w:val="28"/>
          <w:highlight w:val="none"/>
        </w:rPr>
      </w:pPr>
      <w:r>
        <w:rPr>
          <w:rFonts w:hint="eastAsia" w:ascii="仿宋" w:hAnsi="仿宋" w:eastAsia="仿宋" w:cs="仿宋"/>
          <w:b/>
          <w:bCs/>
          <w:sz w:val="28"/>
          <w:szCs w:val="28"/>
          <w:highlight w:val="none"/>
        </w:rPr>
        <w:t>（四）您在购买理财产品前，请认真阅读理财产品销售文件（包括但不限于风险揭示书、产品说明书、理财产品投资协议书、投资者权益须知、(代理)销售协议书）中全部条款与内容，同时向产品管理人或销售机构了解本产品的具体信息，确保自己完全理解该项投资的性质、投资所涉及的风险以及自身的风险承受能力，并独立地做出是否购买本产品的决策。</w:t>
      </w:r>
    </w:p>
    <w:p w14:paraId="7B96ADFD">
      <w:pPr>
        <w:adjustRightInd w:val="0"/>
        <w:snapToGrid w:val="0"/>
        <w:spacing w:line="324" w:lineRule="auto"/>
        <w:ind w:firstLine="562" w:firstLineChars="200"/>
        <w:rPr>
          <w:rFonts w:ascii="仿宋" w:hAnsi="仿宋" w:eastAsia="仿宋" w:cs="仿宋"/>
          <w:b/>
          <w:bCs/>
          <w:sz w:val="28"/>
          <w:szCs w:val="28"/>
          <w:highlight w:val="none"/>
        </w:rPr>
      </w:pPr>
      <w:r>
        <w:rPr>
          <w:rFonts w:hint="eastAsia" w:ascii="仿宋" w:hAnsi="仿宋" w:eastAsia="仿宋" w:cs="仿宋"/>
          <w:b/>
          <w:bCs/>
          <w:sz w:val="28"/>
          <w:szCs w:val="28"/>
          <w:highlight w:val="none"/>
        </w:rPr>
        <w:t>（五）您在购买理财产品后，应随时关注该理财产品的信息披露情况，及时获取相关信息。</w:t>
      </w:r>
    </w:p>
    <w:p w14:paraId="14723A2A">
      <w:pPr>
        <w:adjustRightInd w:val="0"/>
        <w:snapToGrid w:val="0"/>
        <w:spacing w:line="324" w:lineRule="auto"/>
        <w:ind w:firstLine="562" w:firstLineChars="200"/>
        <w:rPr>
          <w:rFonts w:ascii="仿宋" w:hAnsi="仿宋" w:eastAsia="仿宋" w:cs="仿宋"/>
          <w:b/>
          <w:bCs/>
          <w:sz w:val="28"/>
          <w:szCs w:val="28"/>
          <w:highlight w:val="none"/>
        </w:rPr>
      </w:pPr>
      <w:r>
        <w:rPr>
          <w:rFonts w:hint="eastAsia" w:ascii="仿宋" w:hAnsi="仿宋" w:eastAsia="仿宋" w:cs="仿宋"/>
          <w:b/>
          <w:bCs/>
          <w:sz w:val="28"/>
          <w:szCs w:val="28"/>
          <w:highlight w:val="none"/>
        </w:rPr>
        <w:t>（六）如影响您风险承受能力的因素发生变化，请及时完成风险承受能力评估。</w:t>
      </w:r>
    </w:p>
    <w:p w14:paraId="6FEADCC8">
      <w:pPr>
        <w:adjustRightInd w:val="0"/>
        <w:snapToGrid w:val="0"/>
        <w:spacing w:line="324" w:lineRule="auto"/>
        <w:ind w:firstLine="562" w:firstLineChars="200"/>
        <w:rPr>
          <w:rFonts w:ascii="仿宋" w:hAnsi="仿宋" w:eastAsia="仿宋" w:cs="仿宋"/>
          <w:b/>
          <w:bCs/>
          <w:sz w:val="28"/>
          <w:szCs w:val="28"/>
          <w:highlight w:val="none"/>
        </w:rPr>
      </w:pPr>
      <w:r>
        <w:rPr>
          <w:rFonts w:hint="eastAsia" w:ascii="仿宋" w:hAnsi="仿宋" w:eastAsia="仿宋" w:cs="仿宋"/>
          <w:b/>
          <w:bCs/>
          <w:sz w:val="28"/>
          <w:szCs w:val="28"/>
          <w:highlight w:val="none"/>
        </w:rPr>
        <w:t>（七）产品管理人将根据监管规定向全国银行业理财信息登记系统报送购买本理财产品投资者的身份信息和持有信息，您签署本风险揭示书即知晓并授权产品管理人报送。</w:t>
      </w:r>
    </w:p>
    <w:p w14:paraId="11FECFB5">
      <w:pPr>
        <w:adjustRightInd w:val="0"/>
        <w:snapToGrid w:val="0"/>
        <w:spacing w:line="324" w:lineRule="auto"/>
        <w:rPr>
          <w:rFonts w:ascii="仿宋" w:hAnsi="仿宋" w:eastAsia="仿宋" w:cs="仿宋"/>
          <w:b/>
          <w:bCs/>
          <w:sz w:val="28"/>
          <w:szCs w:val="28"/>
          <w:highlight w:val="none"/>
        </w:rPr>
      </w:pPr>
      <w:r>
        <w:rPr>
          <w:rFonts w:hint="eastAsia" w:ascii="仿宋" w:hAnsi="仿宋" w:eastAsia="仿宋" w:cs="仿宋"/>
          <w:b/>
          <w:bCs/>
          <w:sz w:val="28"/>
          <w:szCs w:val="28"/>
          <w:highlight w:val="none"/>
        </w:rPr>
        <w:t>二、产品要素：</w:t>
      </w:r>
    </w:p>
    <w:p w14:paraId="1F6D11DD">
      <w:pPr>
        <w:adjustRightInd w:val="0"/>
        <w:snapToGrid w:val="0"/>
        <w:spacing w:line="324" w:lineRule="auto"/>
        <w:ind w:firstLine="420" w:firstLineChars="150"/>
        <w:rPr>
          <w:rFonts w:ascii="仿宋" w:hAnsi="仿宋" w:eastAsia="仿宋"/>
          <w:color w:val="000000"/>
          <w:kern w:val="0"/>
          <w:sz w:val="28"/>
          <w:szCs w:val="28"/>
          <w:highlight w:val="none"/>
        </w:rPr>
      </w:pPr>
      <w:r>
        <w:rPr>
          <w:rFonts w:hint="eastAsia" w:ascii="仿宋" w:hAnsi="仿宋" w:eastAsia="仿宋"/>
          <w:color w:val="000000"/>
          <w:kern w:val="0"/>
          <w:sz w:val="28"/>
          <w:szCs w:val="28"/>
          <w:highlight w:val="none"/>
        </w:rPr>
        <w:t>该产品为</w:t>
      </w:r>
      <w:r>
        <w:rPr>
          <w:rFonts w:hint="eastAsia" w:ascii="仿宋" w:hAnsi="仿宋" w:eastAsia="仿宋"/>
          <w:color w:val="000000"/>
          <w:kern w:val="0"/>
          <w:sz w:val="28"/>
          <w:szCs w:val="28"/>
          <w:highlight w:val="none"/>
        </w:rPr>
        <w:sym w:font="Wingdings 2" w:char="0052"/>
      </w:r>
      <w:r>
        <w:rPr>
          <w:rFonts w:hint="eastAsia" w:ascii="仿宋" w:hAnsi="仿宋" w:eastAsia="仿宋"/>
          <w:color w:val="000000"/>
          <w:kern w:val="0"/>
          <w:sz w:val="28"/>
          <w:szCs w:val="28"/>
          <w:highlight w:val="none"/>
          <w:u w:val="single"/>
        </w:rPr>
        <w:t>固定</w:t>
      </w:r>
      <w:r>
        <w:rPr>
          <w:rFonts w:ascii="仿宋" w:hAnsi="仿宋" w:eastAsia="仿宋"/>
          <w:color w:val="000000"/>
          <w:kern w:val="0"/>
          <w:sz w:val="28"/>
          <w:szCs w:val="28"/>
          <w:highlight w:val="none"/>
          <w:u w:val="single"/>
        </w:rPr>
        <w:t>收益</w:t>
      </w:r>
      <w:r>
        <w:rPr>
          <w:rFonts w:hint="eastAsia" w:ascii="仿宋" w:hAnsi="仿宋" w:eastAsia="仿宋"/>
          <w:color w:val="000000"/>
          <w:kern w:val="0"/>
          <w:sz w:val="28"/>
          <w:szCs w:val="28"/>
          <w:highlight w:val="none"/>
          <w:u w:val="single"/>
        </w:rPr>
        <w:t>类</w:t>
      </w:r>
      <w:r>
        <w:rPr>
          <w:rFonts w:hint="eastAsia" w:ascii="仿宋" w:hAnsi="仿宋" w:eastAsia="仿宋"/>
          <w:color w:val="000000"/>
          <w:kern w:val="0"/>
          <w:sz w:val="28"/>
          <w:szCs w:val="28"/>
          <w:highlight w:val="none"/>
          <w:lang w:eastAsia="zh-CN"/>
        </w:rPr>
        <w:t>□</w:t>
      </w:r>
      <w:r>
        <w:rPr>
          <w:rFonts w:hint="eastAsia" w:ascii="仿宋" w:hAnsi="仿宋" w:eastAsia="仿宋"/>
          <w:color w:val="000000"/>
          <w:kern w:val="0"/>
          <w:sz w:val="28"/>
          <w:szCs w:val="28"/>
          <w:highlight w:val="none"/>
          <w:u w:val="single"/>
        </w:rPr>
        <w:t>权益类</w:t>
      </w:r>
      <w:r>
        <w:rPr>
          <w:rFonts w:hint="eastAsia" w:ascii="仿宋" w:hAnsi="仿宋" w:eastAsia="仿宋"/>
          <w:color w:val="000000"/>
          <w:kern w:val="0"/>
          <w:sz w:val="28"/>
          <w:szCs w:val="28"/>
          <w:highlight w:val="none"/>
        </w:rPr>
        <w:t>□</w:t>
      </w:r>
      <w:r>
        <w:rPr>
          <w:rFonts w:hint="eastAsia" w:ascii="仿宋" w:hAnsi="仿宋" w:eastAsia="仿宋"/>
          <w:color w:val="000000"/>
          <w:kern w:val="0"/>
          <w:sz w:val="28"/>
          <w:szCs w:val="28"/>
          <w:highlight w:val="none"/>
          <w:u w:val="single"/>
        </w:rPr>
        <w:t>混合</w:t>
      </w:r>
      <w:r>
        <w:rPr>
          <w:rFonts w:ascii="仿宋" w:hAnsi="仿宋" w:eastAsia="仿宋"/>
          <w:color w:val="000000"/>
          <w:kern w:val="0"/>
          <w:sz w:val="28"/>
          <w:szCs w:val="28"/>
          <w:highlight w:val="none"/>
          <w:u w:val="single"/>
        </w:rPr>
        <w:t>类</w:t>
      </w:r>
      <w:r>
        <w:rPr>
          <w:rFonts w:hint="eastAsia" w:ascii="仿宋" w:hAnsi="仿宋" w:eastAsia="仿宋"/>
          <w:color w:val="000000"/>
          <w:kern w:val="0"/>
          <w:sz w:val="28"/>
          <w:szCs w:val="28"/>
          <w:highlight w:val="none"/>
        </w:rPr>
        <w:t>□</w:t>
      </w:r>
      <w:r>
        <w:rPr>
          <w:rFonts w:hint="eastAsia" w:ascii="仿宋" w:hAnsi="仿宋" w:eastAsia="仿宋"/>
          <w:color w:val="000000"/>
          <w:kern w:val="0"/>
          <w:sz w:val="28"/>
          <w:szCs w:val="28"/>
          <w:highlight w:val="none"/>
          <w:u w:val="single"/>
        </w:rPr>
        <w:t>商品及衍生品</w:t>
      </w:r>
      <w:r>
        <w:rPr>
          <w:rFonts w:ascii="仿宋" w:hAnsi="仿宋" w:eastAsia="仿宋"/>
          <w:color w:val="000000"/>
          <w:kern w:val="0"/>
          <w:sz w:val="28"/>
          <w:szCs w:val="28"/>
          <w:highlight w:val="none"/>
          <w:u w:val="single"/>
        </w:rPr>
        <w:t>类</w:t>
      </w:r>
      <w:r>
        <w:rPr>
          <w:rFonts w:hint="eastAsia" w:ascii="仿宋" w:hAnsi="仿宋" w:eastAsia="仿宋"/>
          <w:color w:val="000000"/>
          <w:kern w:val="0"/>
          <w:sz w:val="28"/>
          <w:szCs w:val="28"/>
          <w:highlight w:val="none"/>
        </w:rPr>
        <w:t>净值型理财产品，产品期限为</w:t>
      </w:r>
      <w:r>
        <w:rPr>
          <w:rFonts w:hint="eastAsia" w:ascii="仿宋" w:hAnsi="仿宋" w:eastAsia="仿宋"/>
          <w:color w:val="000000"/>
          <w:kern w:val="0"/>
          <w:sz w:val="28"/>
          <w:szCs w:val="28"/>
          <w:highlight w:val="none"/>
          <w:u w:val="single"/>
        </w:rPr>
        <w:t xml:space="preserve"> </w:t>
      </w:r>
      <w:r>
        <w:rPr>
          <w:rFonts w:hint="eastAsia" w:ascii="仿宋" w:hAnsi="仿宋" w:eastAsia="仿宋"/>
          <w:color w:val="000000"/>
          <w:kern w:val="0"/>
          <w:sz w:val="28"/>
          <w:szCs w:val="28"/>
          <w:highlight w:val="none"/>
          <w:u w:val="single"/>
          <w:lang w:val="en-US" w:eastAsia="zh-CN"/>
        </w:rPr>
        <w:t>376天</w:t>
      </w:r>
      <w:r>
        <w:rPr>
          <w:rFonts w:ascii="仿宋" w:hAnsi="仿宋" w:eastAsia="仿宋"/>
          <w:color w:val="000000"/>
          <w:kern w:val="0"/>
          <w:sz w:val="28"/>
          <w:szCs w:val="28"/>
          <w:highlight w:val="none"/>
          <w:u w:val="single"/>
        </w:rPr>
        <w:t xml:space="preserve"> </w:t>
      </w:r>
      <w:r>
        <w:rPr>
          <w:rFonts w:hint="eastAsia" w:ascii="仿宋" w:hAnsi="仿宋" w:eastAsia="仿宋"/>
          <w:color w:val="000000"/>
          <w:kern w:val="0"/>
          <w:sz w:val="28"/>
          <w:szCs w:val="28"/>
          <w:highlight w:val="none"/>
        </w:rPr>
        <w:t>；</w:t>
      </w:r>
      <w:r>
        <w:rPr>
          <w:rFonts w:hint="eastAsia" w:ascii="仿宋" w:hAnsi="仿宋" w:eastAsia="仿宋" w:cs="仿宋"/>
          <w:color w:val="000000"/>
          <w:kern w:val="0"/>
          <w:sz w:val="28"/>
          <w:szCs w:val="28"/>
          <w:highlight w:val="none"/>
        </w:rPr>
        <w:t>产品内部风险评级为</w:t>
      </w:r>
      <w:r>
        <w:rPr>
          <w:rFonts w:hint="eastAsia" w:ascii="仿宋" w:hAnsi="仿宋" w:eastAsia="仿宋" w:cs="仿宋"/>
          <w:color w:val="000000"/>
          <w:kern w:val="0"/>
          <w:sz w:val="28"/>
          <w:szCs w:val="28"/>
          <w:highlight w:val="none"/>
          <w:u w:val="single"/>
        </w:rPr>
        <w:t xml:space="preserve"> </w:t>
      </w:r>
      <w:r>
        <w:rPr>
          <w:rFonts w:hint="eastAsia" w:ascii="仿宋" w:hAnsi="仿宋" w:eastAsia="仿宋" w:cs="仿宋"/>
          <w:color w:val="000000"/>
          <w:kern w:val="0"/>
          <w:sz w:val="28"/>
          <w:szCs w:val="28"/>
          <w:highlight w:val="none"/>
          <w:u w:val="single"/>
          <w:lang w:val="en-US" w:eastAsia="zh-CN"/>
        </w:rPr>
        <w:t>二</w:t>
      </w:r>
      <w:r>
        <w:rPr>
          <w:rFonts w:hint="eastAsia" w:ascii="仿宋" w:hAnsi="仿宋" w:eastAsia="仿宋" w:cs="仿宋"/>
          <w:color w:val="000000"/>
          <w:kern w:val="0"/>
          <w:sz w:val="28"/>
          <w:szCs w:val="28"/>
          <w:highlight w:val="none"/>
          <w:u w:val="single"/>
        </w:rPr>
        <w:t xml:space="preserve"> </w:t>
      </w:r>
      <w:r>
        <w:rPr>
          <w:rFonts w:hint="eastAsia" w:ascii="仿宋" w:hAnsi="仿宋" w:eastAsia="仿宋" w:cs="仿宋"/>
          <w:color w:val="000000"/>
          <w:kern w:val="0"/>
          <w:sz w:val="28"/>
          <w:szCs w:val="28"/>
          <w:highlight w:val="none"/>
        </w:rPr>
        <w:t>级（产品管理人内部评级，仅供参考。</w:t>
      </w:r>
      <w:r>
        <w:rPr>
          <w:rFonts w:hint="eastAsia" w:ascii="仿宋" w:hAnsi="仿宋" w:eastAsia="仿宋" w:cs="仿宋"/>
          <w:b/>
          <w:bCs/>
          <w:color w:val="000000"/>
          <w:kern w:val="0"/>
          <w:sz w:val="28"/>
          <w:szCs w:val="28"/>
          <w:highlight w:val="none"/>
        </w:rPr>
        <w:t>本产品通</w:t>
      </w:r>
      <w:bookmarkStart w:id="0" w:name="_GoBack"/>
      <w:bookmarkEnd w:id="0"/>
      <w:r>
        <w:rPr>
          <w:rFonts w:hint="eastAsia" w:ascii="仿宋" w:hAnsi="仿宋" w:eastAsia="仿宋" w:cs="仿宋"/>
          <w:b/>
          <w:bCs/>
          <w:color w:val="000000"/>
          <w:kern w:val="0"/>
          <w:sz w:val="28"/>
          <w:szCs w:val="28"/>
          <w:highlight w:val="none"/>
        </w:rPr>
        <w:t>过代理销售机构渠道销售的，理财产品评级应当以代理销售机构最终披露的评级结果为准</w:t>
      </w:r>
      <w:r>
        <w:rPr>
          <w:rFonts w:hint="eastAsia" w:ascii="仿宋" w:hAnsi="仿宋" w:eastAsia="仿宋" w:cs="仿宋"/>
          <w:b/>
          <w:bCs/>
          <w:color w:val="000000"/>
          <w:kern w:val="0"/>
          <w:sz w:val="28"/>
          <w:szCs w:val="28"/>
          <w:highlight w:val="none"/>
          <w:lang w:eastAsia="zh-CN"/>
        </w:rPr>
        <w:t xml:space="preserve">；代销机构的评级结果与管理人不一致的， </w:t>
      </w:r>
      <w:r>
        <w:rPr>
          <w:rFonts w:hint="eastAsia" w:ascii="仿宋" w:hAnsi="仿宋" w:eastAsia="仿宋" w:cs="仿宋"/>
          <w:b/>
          <w:bCs/>
          <w:color w:val="000000"/>
          <w:kern w:val="0"/>
          <w:sz w:val="28"/>
          <w:szCs w:val="28"/>
          <w:highlight w:val="none"/>
          <w:lang w:val="en-US" w:eastAsia="zh-CN"/>
        </w:rPr>
        <w:t>应当</w:t>
      </w:r>
      <w:r>
        <w:rPr>
          <w:rFonts w:hint="eastAsia" w:ascii="仿宋" w:hAnsi="仿宋" w:eastAsia="仿宋" w:cs="仿宋"/>
          <w:b/>
          <w:bCs/>
          <w:color w:val="000000"/>
          <w:kern w:val="0"/>
          <w:sz w:val="28"/>
          <w:szCs w:val="28"/>
          <w:highlight w:val="none"/>
          <w:lang w:eastAsia="zh-CN"/>
        </w:rPr>
        <w:t>采用对应较高风险等级的评级结果。</w:t>
      </w:r>
      <w:r>
        <w:rPr>
          <w:rFonts w:hint="eastAsia" w:ascii="仿宋" w:hAnsi="仿宋" w:eastAsia="仿宋" w:cs="仿宋"/>
          <w:b/>
          <w:bCs/>
          <w:color w:val="000000"/>
          <w:kern w:val="0"/>
          <w:sz w:val="28"/>
          <w:szCs w:val="28"/>
          <w:highlight w:val="none"/>
          <w:lang w:val="en-US" w:eastAsia="zh-CN"/>
        </w:rPr>
        <w:t>理财</w:t>
      </w:r>
      <w:r>
        <w:rPr>
          <w:rFonts w:hint="eastAsia" w:ascii="仿宋" w:hAnsi="仿宋" w:eastAsia="仿宋" w:cs="仿宋"/>
          <w:b/>
          <w:bCs/>
          <w:color w:val="000000"/>
          <w:kern w:val="0"/>
          <w:sz w:val="28"/>
          <w:szCs w:val="28"/>
          <w:highlight w:val="none"/>
          <w:lang w:val="en-US"/>
        </w:rPr>
        <w:t>产品风险等级可能因市场或运作情况等影响而发生调整</w:t>
      </w:r>
      <w:r>
        <w:rPr>
          <w:rFonts w:hint="eastAsia" w:ascii="仿宋" w:hAnsi="仿宋" w:eastAsia="仿宋" w:cs="仿宋"/>
          <w:b/>
          <w:bCs/>
          <w:color w:val="000000"/>
          <w:kern w:val="0"/>
          <w:sz w:val="28"/>
          <w:szCs w:val="28"/>
          <w:highlight w:val="none"/>
          <w:lang w:val="en-US" w:eastAsia="zh-CN"/>
        </w:rPr>
        <w:t>，投资者应及时关注理财产品风险等级的变化</w:t>
      </w:r>
      <w:r>
        <w:rPr>
          <w:rFonts w:hint="eastAsia" w:ascii="仿宋" w:hAnsi="仿宋" w:eastAsia="仿宋" w:cs="仿宋"/>
          <w:color w:val="000000"/>
          <w:kern w:val="0"/>
          <w:sz w:val="28"/>
          <w:szCs w:val="28"/>
          <w:highlight w:val="none"/>
        </w:rPr>
        <w:t>）</w:t>
      </w:r>
      <w:r>
        <w:rPr>
          <w:rFonts w:hint="eastAsia" w:ascii="仿宋" w:hAnsi="仿宋" w:eastAsia="仿宋"/>
          <w:color w:val="000000"/>
          <w:kern w:val="0"/>
          <w:sz w:val="28"/>
          <w:szCs w:val="28"/>
          <w:highlight w:val="none"/>
        </w:rPr>
        <w:t>；</w:t>
      </w:r>
      <w:r>
        <w:rPr>
          <w:rFonts w:hint="eastAsia" w:ascii="仿宋" w:hAnsi="仿宋" w:eastAsia="仿宋" w:cs="仿宋"/>
          <w:sz w:val="28"/>
          <w:szCs w:val="28"/>
          <w:highlight w:val="none"/>
        </w:rPr>
        <w:t>适合投资者风险承受能力评级为</w:t>
      </w:r>
      <w:r>
        <w:rPr>
          <w:rFonts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二</w:t>
      </w:r>
      <w:r>
        <w:rPr>
          <w:rFonts w:ascii="仿宋" w:hAnsi="仿宋" w:eastAsia="仿宋" w:cs="仿宋"/>
          <w:sz w:val="28"/>
          <w:szCs w:val="28"/>
          <w:highlight w:val="none"/>
          <w:u w:val="single"/>
        </w:rPr>
        <w:t xml:space="preserve">  </w:t>
      </w:r>
      <w:r>
        <w:rPr>
          <w:rFonts w:hint="eastAsia" w:ascii="仿宋" w:hAnsi="仿宋" w:eastAsia="仿宋" w:cs="仿宋"/>
          <w:sz w:val="28"/>
          <w:szCs w:val="28"/>
          <w:highlight w:val="none"/>
        </w:rPr>
        <w:t>级及以上的投资者购买。</w:t>
      </w:r>
    </w:p>
    <w:p w14:paraId="2A6D679A">
      <w:pPr>
        <w:adjustRightInd w:val="0"/>
        <w:snapToGrid w:val="0"/>
        <w:spacing w:line="324" w:lineRule="auto"/>
        <w:rPr>
          <w:rFonts w:ascii="仿宋" w:hAnsi="仿宋" w:eastAsia="仿宋" w:cs="仿宋"/>
          <w:b/>
          <w:bCs/>
          <w:sz w:val="28"/>
          <w:szCs w:val="28"/>
          <w:highlight w:val="none"/>
        </w:rPr>
      </w:pPr>
      <w:r>
        <w:rPr>
          <w:rFonts w:hint="eastAsia" w:ascii="仿宋" w:hAnsi="仿宋" w:eastAsia="仿宋" w:cs="仿宋"/>
          <w:b/>
          <w:bCs/>
          <w:sz w:val="28"/>
          <w:szCs w:val="28"/>
          <w:highlight w:val="none"/>
        </w:rPr>
        <w:t>三、购买本产品，您可能面临以下风险：</w:t>
      </w:r>
    </w:p>
    <w:p w14:paraId="4A3D020E">
      <w:pPr>
        <w:widowControl/>
        <w:adjustRightInd w:val="0"/>
        <w:snapToGrid w:val="0"/>
        <w:spacing w:line="324" w:lineRule="auto"/>
        <w:ind w:firstLine="562" w:firstLineChars="200"/>
        <w:rPr>
          <w:rFonts w:ascii="仿宋" w:hAnsi="仿宋" w:eastAsia="仿宋" w:cs="仿宋"/>
          <w:sz w:val="28"/>
          <w:szCs w:val="28"/>
          <w:highlight w:val="none"/>
        </w:rPr>
      </w:pPr>
      <w:r>
        <w:rPr>
          <w:rFonts w:hint="eastAsia" w:ascii="仿宋" w:hAnsi="仿宋" w:eastAsia="仿宋" w:cs="仿宋"/>
          <w:b/>
          <w:bCs/>
          <w:sz w:val="28"/>
          <w:szCs w:val="28"/>
          <w:highlight w:val="none"/>
        </w:rPr>
        <w:t>1、理财本金与收益风险：</w:t>
      </w:r>
      <w:r>
        <w:rPr>
          <w:rFonts w:hint="eastAsia" w:ascii="仿宋" w:hAnsi="仿宋" w:eastAsia="仿宋" w:cs="仿宋"/>
          <w:sz w:val="28"/>
          <w:szCs w:val="28"/>
          <w:highlight w:val="none"/>
        </w:rPr>
        <w:t>理财本金可能会因市场和交易对手等因素变动而蒙受重大损失。本产品有投资风险，不保证理财本金及收益，您应当充分认识投资风险，谨慎投资。</w:t>
      </w:r>
    </w:p>
    <w:p w14:paraId="706F4274">
      <w:pPr>
        <w:widowControl/>
        <w:adjustRightInd w:val="0"/>
        <w:snapToGrid w:val="0"/>
        <w:spacing w:line="324" w:lineRule="auto"/>
        <w:ind w:firstLine="562" w:firstLineChars="200"/>
        <w:rPr>
          <w:rFonts w:ascii="仿宋" w:hAnsi="仿宋" w:eastAsia="仿宋" w:cs="仿宋"/>
          <w:b/>
          <w:bCs/>
          <w:sz w:val="28"/>
          <w:szCs w:val="28"/>
          <w:highlight w:val="none"/>
        </w:rPr>
      </w:pPr>
      <w:r>
        <w:rPr>
          <w:rFonts w:hint="eastAsia" w:ascii="仿宋" w:hAnsi="仿宋" w:eastAsia="仿宋" w:cs="仿宋"/>
          <w:b/>
          <w:bCs/>
          <w:sz w:val="28"/>
          <w:szCs w:val="28"/>
          <w:highlight w:val="none"/>
        </w:rPr>
        <w:t>2、理财产品不成立风险：</w:t>
      </w:r>
      <w:r>
        <w:rPr>
          <w:rFonts w:hint="eastAsia" w:ascii="仿宋" w:hAnsi="仿宋" w:eastAsia="仿宋" w:cs="仿宋"/>
          <w:bCs/>
          <w:sz w:val="28"/>
          <w:szCs w:val="28"/>
          <w:highlight w:val="none"/>
        </w:rPr>
        <w:t>产品管理人有权在本理财产品遇以下情况宣告产品不成立：(1)理财产品发售结束后募集资金未达到规模下限；(2)国家宏观政策以及市场相关法规政策发生变化使得本理财产品无法成立；(3)市场发生剧烈波动,为保护投资者利益，经产品管理人合理判断难以按照产品说明书规定向投资者提供本理财产品。</w:t>
      </w:r>
    </w:p>
    <w:p w14:paraId="7F63CBFB">
      <w:pPr>
        <w:widowControl/>
        <w:adjustRightInd w:val="0"/>
        <w:snapToGrid w:val="0"/>
        <w:spacing w:line="324" w:lineRule="auto"/>
        <w:ind w:firstLine="562" w:firstLineChars="200"/>
        <w:rPr>
          <w:rFonts w:ascii="仿宋" w:hAnsi="仿宋" w:eastAsia="仿宋" w:cs="仿宋"/>
          <w:sz w:val="28"/>
          <w:szCs w:val="28"/>
          <w:highlight w:val="none"/>
        </w:rPr>
      </w:pPr>
      <w:r>
        <w:rPr>
          <w:rFonts w:hint="eastAsia" w:ascii="仿宋" w:hAnsi="仿宋" w:eastAsia="仿宋" w:cs="仿宋"/>
          <w:b/>
          <w:bCs/>
          <w:sz w:val="28"/>
          <w:szCs w:val="28"/>
          <w:highlight w:val="none"/>
        </w:rPr>
        <w:t>3、政策风险：</w:t>
      </w:r>
      <w:r>
        <w:rPr>
          <w:rFonts w:hint="eastAsia" w:ascii="仿宋" w:hAnsi="仿宋" w:eastAsia="仿宋" w:cs="仿宋"/>
          <w:sz w:val="28"/>
          <w:szCs w:val="28"/>
          <w:highlight w:val="none"/>
        </w:rPr>
        <w:t>本理财产品是针对当前的相关法规和政策设计的。如国家有关法律、法规、规章、政策发生变化，可能影响理财产品的受理、投资、清算等业务的正常进行，并导致本理财产品本金和收益遭受部分甚至全部损失。由于政策风险导致的任何损失，由投资者自行承担，产品管理人对此不承担任何责任。</w:t>
      </w:r>
    </w:p>
    <w:p w14:paraId="5309960C">
      <w:pPr>
        <w:pStyle w:val="3"/>
        <w:adjustRightInd w:val="0"/>
        <w:snapToGrid w:val="0"/>
        <w:spacing w:line="324" w:lineRule="auto"/>
        <w:ind w:left="119" w:firstLine="562" w:firstLineChars="200"/>
        <w:rPr>
          <w:highlight w:val="none"/>
        </w:rPr>
      </w:pPr>
      <w:r>
        <w:rPr>
          <w:rFonts w:hint="eastAsia"/>
          <w:b/>
          <w:bCs/>
          <w:highlight w:val="none"/>
        </w:rPr>
        <w:t>4、信用风险：</w:t>
      </w:r>
      <w:r>
        <w:rPr>
          <w:rFonts w:hint="eastAsia"/>
          <w:highlight w:val="none"/>
        </w:rPr>
        <w:t>在理财产品存续期限内，受国家政策、法规、行业和市场等因素的影响，理财产品配置资产所涉及的相关债务主体和（或）增信机构未能履行偿债义务，或相关交易对手发生违约等风险发生，从而导致本理财产品本金和收益遭受部分甚至全部损失。</w:t>
      </w:r>
    </w:p>
    <w:p w14:paraId="08EE343B">
      <w:pPr>
        <w:widowControl/>
        <w:adjustRightInd w:val="0"/>
        <w:snapToGrid w:val="0"/>
        <w:spacing w:line="324" w:lineRule="auto"/>
        <w:ind w:firstLine="562" w:firstLineChars="200"/>
        <w:rPr>
          <w:rFonts w:ascii="仿宋" w:hAnsi="仿宋" w:eastAsia="仿宋" w:cs="仿宋"/>
          <w:sz w:val="28"/>
          <w:szCs w:val="28"/>
          <w:highlight w:val="none"/>
        </w:rPr>
      </w:pPr>
      <w:r>
        <w:rPr>
          <w:rFonts w:hint="eastAsia" w:ascii="仿宋" w:hAnsi="仿宋" w:eastAsia="仿宋" w:cs="仿宋"/>
          <w:b/>
          <w:bCs/>
          <w:sz w:val="28"/>
          <w:szCs w:val="28"/>
          <w:highlight w:val="none"/>
        </w:rPr>
        <w:t>5、市场风险：</w:t>
      </w:r>
      <w:r>
        <w:rPr>
          <w:rFonts w:hint="eastAsia" w:ascii="仿宋" w:hAnsi="仿宋" w:eastAsia="仿宋" w:cs="仿宋"/>
          <w:sz w:val="28"/>
          <w:szCs w:val="28"/>
          <w:highlight w:val="none"/>
        </w:rPr>
        <w:t>在理财产品说明书约定的投资范围内，产品可能面临投资债券的利率、汇率变化等市场风险、债券价格波动情况、投资股票面临的风险、股票价格情况波动情况等。受以上情况及其他重要市场因素变化的影响，本产品投资组合内的资产价格变化可能出现波动，从而影响本产品的收益，可能出现本产品本金和收益遭受部分甚至全部损失的风险。</w:t>
      </w:r>
    </w:p>
    <w:p w14:paraId="60E0662E">
      <w:pPr>
        <w:widowControl/>
        <w:adjustRightInd w:val="0"/>
        <w:snapToGrid w:val="0"/>
        <w:spacing w:line="324" w:lineRule="auto"/>
        <w:ind w:firstLine="562" w:firstLineChars="200"/>
        <w:rPr>
          <w:rFonts w:hint="eastAsia" w:ascii="仿宋" w:hAnsi="仿宋" w:eastAsia="仿宋" w:cs="仿宋"/>
          <w:sz w:val="28"/>
          <w:szCs w:val="28"/>
          <w:highlight w:val="none"/>
        </w:rPr>
      </w:pPr>
      <w:r>
        <w:rPr>
          <w:rFonts w:hint="eastAsia" w:ascii="仿宋" w:hAnsi="仿宋" w:eastAsia="仿宋" w:cs="仿宋"/>
          <w:b/>
          <w:bCs/>
          <w:sz w:val="28"/>
          <w:szCs w:val="28"/>
          <w:highlight w:val="none"/>
        </w:rPr>
        <w:t>6、流动性风险：</w:t>
      </w:r>
      <w:r>
        <w:rPr>
          <w:rFonts w:hint="eastAsia" w:ascii="仿宋" w:hAnsi="仿宋" w:eastAsia="仿宋" w:cs="仿宋"/>
          <w:sz w:val="28"/>
          <w:szCs w:val="28"/>
          <w:highlight w:val="none"/>
        </w:rPr>
        <w:t>流动性风险是指理财产品无法通过变现资产等途径以合理成本及时获得充足资金，用于满足本理财产品的投资者赎回需求、履行其他支付义务的风险。除理财产品</w:t>
      </w:r>
      <w:r>
        <w:rPr>
          <w:rFonts w:hint="eastAsia" w:ascii="仿宋" w:hAnsi="仿宋" w:eastAsia="仿宋" w:cs="仿宋"/>
          <w:sz w:val="28"/>
          <w:szCs w:val="28"/>
          <w:highlight w:val="none"/>
          <w:lang w:val="en-US" w:eastAsia="zh-CN"/>
        </w:rPr>
        <w:t>说明书</w:t>
      </w:r>
      <w:r>
        <w:rPr>
          <w:rFonts w:hint="eastAsia" w:ascii="仿宋" w:hAnsi="仿宋" w:eastAsia="仿宋" w:cs="仿宋"/>
          <w:sz w:val="28"/>
          <w:szCs w:val="28"/>
          <w:highlight w:val="none"/>
        </w:rPr>
        <w:t>另有约定外，封闭式理财产品封闭期内投资者不能提前赎回产品，且无提前终止权；开放式产品在开放期</w:t>
      </w:r>
      <w:r>
        <w:rPr>
          <w:rFonts w:hint="eastAsia" w:ascii="仿宋" w:hAnsi="仿宋" w:eastAsia="仿宋" w:cs="仿宋"/>
          <w:sz w:val="28"/>
          <w:szCs w:val="28"/>
          <w:highlight w:val="none"/>
          <w:lang w:val="en-US" w:eastAsia="zh-CN"/>
        </w:rPr>
        <w:t>内，</w:t>
      </w:r>
      <w:r>
        <w:rPr>
          <w:rFonts w:hint="eastAsia" w:ascii="仿宋" w:hAnsi="仿宋" w:eastAsia="仿宋" w:cs="仿宋"/>
          <w:sz w:val="28"/>
          <w:szCs w:val="28"/>
          <w:highlight w:val="none"/>
        </w:rPr>
        <w:t>投资者只能</w:t>
      </w:r>
      <w:r>
        <w:rPr>
          <w:rFonts w:hint="eastAsia" w:ascii="仿宋" w:hAnsi="仿宋" w:eastAsia="仿宋" w:cs="仿宋"/>
          <w:sz w:val="28"/>
          <w:szCs w:val="28"/>
          <w:highlight w:val="none"/>
          <w:lang w:val="en-US" w:eastAsia="zh-CN"/>
        </w:rPr>
        <w:t>根据</w:t>
      </w:r>
      <w:r>
        <w:rPr>
          <w:rFonts w:hint="eastAsia" w:ascii="仿宋" w:hAnsi="仿宋" w:eastAsia="仿宋" w:cs="仿宋"/>
          <w:sz w:val="28"/>
          <w:szCs w:val="28"/>
          <w:highlight w:val="none"/>
        </w:rPr>
        <w:t>理财产品说明书的规定进行申购与赎回</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产品管理人按照产品</w:t>
      </w:r>
      <w:r>
        <w:rPr>
          <w:rFonts w:hint="eastAsia" w:ascii="仿宋" w:hAnsi="仿宋" w:eastAsia="仿宋" w:cs="仿宋"/>
          <w:sz w:val="28"/>
          <w:szCs w:val="28"/>
          <w:highlight w:val="none"/>
          <w:lang w:val="en-US" w:eastAsia="zh-CN"/>
        </w:rPr>
        <w:t>说明书</w:t>
      </w:r>
      <w:r>
        <w:rPr>
          <w:rFonts w:hint="eastAsia" w:ascii="仿宋" w:hAnsi="仿宋" w:eastAsia="仿宋" w:cs="仿宋"/>
          <w:sz w:val="28"/>
          <w:szCs w:val="28"/>
          <w:highlight w:val="none"/>
        </w:rPr>
        <w:t>约定，可能采取巨额赎回控制、暂停接受申购赎回或延缓支付赎回款项等管控措施；由此，如果投资者产生流动性需求，可能面临理财产品不能随时变现、持有期与资金需求日不匹配的流动性风险。</w:t>
      </w:r>
    </w:p>
    <w:p w14:paraId="02D343A1">
      <w:pPr>
        <w:pStyle w:val="3"/>
        <w:adjustRightInd w:val="0"/>
        <w:snapToGrid w:val="0"/>
        <w:spacing w:line="324" w:lineRule="auto"/>
        <w:ind w:firstLine="562" w:firstLineChars="200"/>
        <w:rPr>
          <w:highlight w:val="none"/>
        </w:rPr>
      </w:pPr>
      <w:r>
        <w:rPr>
          <w:rFonts w:hint="eastAsia"/>
          <w:b/>
          <w:bCs/>
          <w:highlight w:val="none"/>
        </w:rPr>
        <w:t>7、提前终止及再投资风险：</w:t>
      </w:r>
      <w:r>
        <w:rPr>
          <w:rFonts w:hint="eastAsia"/>
          <w:highlight w:val="none"/>
        </w:rPr>
        <w:t>本理财产品存续期内，为保护投资者利益，产品管理人有权根据理财</w:t>
      </w:r>
      <w:r>
        <w:rPr>
          <w:rFonts w:hint="eastAsia"/>
          <w:highlight w:val="none"/>
          <w:lang w:val="en-US" w:eastAsia="zh-CN"/>
        </w:rPr>
        <w:t>产品</w:t>
      </w:r>
      <w:r>
        <w:rPr>
          <w:rFonts w:hint="eastAsia"/>
          <w:highlight w:val="none"/>
        </w:rPr>
        <w:t>说明书约定的情形提前终止本理财产品，但投资者除约定条件外不可提前赎回，产品提前终止后，投资者可能届时面临较差的再投资环境和机会。</w:t>
      </w:r>
    </w:p>
    <w:p w14:paraId="5799D69E">
      <w:pPr>
        <w:pStyle w:val="3"/>
        <w:adjustRightInd w:val="0"/>
        <w:snapToGrid w:val="0"/>
        <w:spacing w:line="324" w:lineRule="auto"/>
        <w:ind w:firstLine="562" w:firstLineChars="200"/>
        <w:rPr>
          <w:highlight w:val="none"/>
        </w:rPr>
      </w:pPr>
      <w:r>
        <w:rPr>
          <w:rFonts w:hint="eastAsia"/>
          <w:b/>
          <w:highlight w:val="none"/>
        </w:rPr>
        <w:t>8、</w:t>
      </w:r>
      <w:r>
        <w:rPr>
          <w:rFonts w:hint="eastAsia"/>
          <w:b/>
          <w:bCs/>
          <w:highlight w:val="none"/>
        </w:rPr>
        <w:t>延期风险：</w:t>
      </w:r>
      <w:r>
        <w:rPr>
          <w:rFonts w:hint="eastAsia"/>
          <w:highlight w:val="none"/>
        </w:rPr>
        <w:t>因市场内外部原因导致理财基础资产未能及时变现，而导致理财产品不能按时兑付，理财产品期限将延期、调整。</w:t>
      </w:r>
    </w:p>
    <w:p w14:paraId="2AE08061">
      <w:pPr>
        <w:pStyle w:val="3"/>
        <w:adjustRightInd w:val="0"/>
        <w:snapToGrid w:val="0"/>
        <w:spacing w:line="324" w:lineRule="auto"/>
        <w:ind w:firstLine="562" w:firstLineChars="200"/>
        <w:rPr>
          <w:highlight w:val="none"/>
        </w:rPr>
      </w:pPr>
      <w:r>
        <w:rPr>
          <w:rFonts w:hint="eastAsia"/>
          <w:b/>
          <w:bCs/>
          <w:highlight w:val="none"/>
        </w:rPr>
        <w:t>9、交易对手风险</w:t>
      </w:r>
      <w:r>
        <w:rPr>
          <w:rFonts w:hint="eastAsia"/>
          <w:highlight w:val="none"/>
        </w:rPr>
        <w:t>：由于交易对手受经验、技能、执行力等综合因素的限制，可能会影响本产品的投资管理，可能会影响本产品的投资收益，甚至本产品本金损失。</w:t>
      </w:r>
    </w:p>
    <w:p w14:paraId="3EDBA619">
      <w:pPr>
        <w:pStyle w:val="3"/>
        <w:adjustRightInd w:val="0"/>
        <w:snapToGrid w:val="0"/>
        <w:spacing w:line="324" w:lineRule="auto"/>
        <w:ind w:firstLine="562" w:firstLineChars="200"/>
        <w:rPr>
          <w:highlight w:val="none"/>
        </w:rPr>
      </w:pPr>
      <w:r>
        <w:rPr>
          <w:rFonts w:hint="eastAsia"/>
          <w:b/>
          <w:bCs/>
          <w:highlight w:val="none"/>
        </w:rPr>
        <w:t>10、管理人风险：</w:t>
      </w:r>
      <w:r>
        <w:rPr>
          <w:rFonts w:hint="eastAsia"/>
          <w:highlight w:val="none"/>
        </w:rPr>
        <w:t>因理财产品管理人和理财投资资产相关服务机构受经验、技能等因素的限制，可能导致本理财产品本金和收益遭受部分甚至全部损失。</w:t>
      </w:r>
    </w:p>
    <w:p w14:paraId="047BCCFC">
      <w:pPr>
        <w:pStyle w:val="3"/>
        <w:adjustRightInd w:val="0"/>
        <w:snapToGrid w:val="0"/>
        <w:spacing w:line="324" w:lineRule="auto"/>
        <w:ind w:firstLine="562" w:firstLineChars="200"/>
        <w:rPr>
          <w:highlight w:val="none"/>
        </w:rPr>
      </w:pPr>
      <w:r>
        <w:rPr>
          <w:rFonts w:hint="eastAsia"/>
          <w:b/>
          <w:bCs/>
          <w:highlight w:val="none"/>
        </w:rPr>
        <w:t>11、托管风险：</w:t>
      </w:r>
      <w:r>
        <w:rPr>
          <w:rFonts w:hint="eastAsia"/>
          <w:highlight w:val="none"/>
        </w:rPr>
        <w:t>若托管行因任何原因未能按照约定履行托管职责，或者丧失托管的能力或者法定资格，或第三方对托管账户及账户内资金主张权利，或由于政府机构、法院执行的原因导致托管账户或者账户内资金被冻结，均可能给本产品带来风险。</w:t>
      </w:r>
    </w:p>
    <w:p w14:paraId="52C905FA">
      <w:pPr>
        <w:pStyle w:val="3"/>
        <w:adjustRightInd w:val="0"/>
        <w:snapToGrid w:val="0"/>
        <w:spacing w:line="324" w:lineRule="auto"/>
        <w:ind w:firstLine="562" w:firstLineChars="200"/>
        <w:rPr>
          <w:highlight w:val="none"/>
        </w:rPr>
      </w:pPr>
      <w:r>
        <w:rPr>
          <w:rFonts w:hint="eastAsia"/>
          <w:b/>
          <w:bCs/>
          <w:highlight w:val="none"/>
        </w:rPr>
        <w:t>12、税务风险：</w:t>
      </w:r>
      <w:r>
        <w:rPr>
          <w:rFonts w:hint="eastAsia"/>
          <w:highlight w:val="none"/>
        </w:rPr>
        <w:t>产品管理人暂不负责代扣代缴投资者购买本理财产品所得收益应缴纳的各项税款。若相关税法法规规定理财产品管理人应代扣代缴相关税款，产品管理人有权依法履行代扣代缴义务，则投资者面临其取得的收益扣减相应税费的风险。此外，税收法规的执行及修订可能对投资运作等过程中需缴纳的相关税费产生影响，可能降低投资者的收益水平。</w:t>
      </w:r>
    </w:p>
    <w:p w14:paraId="43FDA220">
      <w:pPr>
        <w:pStyle w:val="3"/>
        <w:adjustRightInd w:val="0"/>
        <w:snapToGrid w:val="0"/>
        <w:spacing w:line="324" w:lineRule="auto"/>
        <w:ind w:firstLine="562" w:firstLineChars="200"/>
        <w:rPr>
          <w:highlight w:val="none"/>
        </w:rPr>
      </w:pPr>
      <w:r>
        <w:rPr>
          <w:rFonts w:hint="eastAsia"/>
          <w:b/>
          <w:bCs/>
          <w:highlight w:val="none"/>
        </w:rPr>
        <w:t>13、信息传递风险：</w:t>
      </w:r>
      <w:r>
        <w:rPr>
          <w:rFonts w:hint="eastAsia"/>
          <w:highlight w:val="none"/>
        </w:rPr>
        <w:t>产品管理人按照本理财产品</w:t>
      </w:r>
      <w:r>
        <w:rPr>
          <w:rFonts w:hint="eastAsia"/>
          <w:highlight w:val="none"/>
          <w:lang w:val="en-US"/>
        </w:rPr>
        <w:t>投资</w:t>
      </w:r>
      <w:r>
        <w:rPr>
          <w:rFonts w:hint="eastAsia"/>
          <w:highlight w:val="none"/>
        </w:rPr>
        <w:t>协议书、产品说明书、</w:t>
      </w:r>
      <w:r>
        <w:rPr>
          <w:rFonts w:hint="eastAsia"/>
          <w:highlight w:val="none"/>
          <w:lang w:val="en-US"/>
        </w:rPr>
        <w:t>投资者</w:t>
      </w:r>
      <w:r>
        <w:rPr>
          <w:rFonts w:hint="eastAsia"/>
          <w:highlight w:val="none"/>
        </w:rPr>
        <w:t>权益须知、(代理)销售协议书等有关文件的约定，发布本理财产品的相关信息。投资者应根据本理财产品说明书所载明的公告方式及时查询本理财产品的相关信息。如果投资者未及时查询，或由于通讯故障、系统故障以及其他不可抗力等因素的影响使得投资者无法及时了解产品信息，因此而产生的风险和责任由投资者自行承担。另外，投资者预留在销售机构的有效联系方式变更的，应及时通知销售机构。如投资者未及时通知销售机构联系变更或因投资者其他原因导致销售机构在需要联系投资者时无法及时联系上，并可能会由此影响投资者的投资决策，由此而产生的责任和风险由投资者自行承担。</w:t>
      </w:r>
    </w:p>
    <w:p w14:paraId="5C6EEF9F">
      <w:pPr>
        <w:pStyle w:val="3"/>
        <w:adjustRightInd w:val="0"/>
        <w:snapToGrid w:val="0"/>
        <w:spacing w:line="324" w:lineRule="auto"/>
        <w:ind w:firstLine="562" w:firstLineChars="200"/>
        <w:rPr>
          <w:highlight w:val="none"/>
        </w:rPr>
      </w:pPr>
      <w:r>
        <w:rPr>
          <w:rFonts w:hint="eastAsia"/>
          <w:b/>
          <w:bCs/>
          <w:highlight w:val="none"/>
        </w:rPr>
        <w:t>14、不可抗力风险：</w:t>
      </w:r>
      <w:r>
        <w:rPr>
          <w:rFonts w:hint="eastAsia"/>
          <w:highlight w:val="none"/>
        </w:rPr>
        <w:t>由于自然灾害、社会动乱、战争、罢工等不可抗力因素的出现,可能对本理财产品的产品成立、投资运作、资金返还、信息披露、公告通知造成影响，甚至导致本理财产品本金和收益遭受部分甚至全部损失。对于由不可抗力风险所导致的任何损失，由投资者自行承担，产品管理人对此不承担任何责任。</w:t>
      </w:r>
    </w:p>
    <w:p w14:paraId="00EE4626">
      <w:pPr>
        <w:pStyle w:val="3"/>
        <w:adjustRightInd w:val="0"/>
        <w:snapToGrid w:val="0"/>
        <w:spacing w:line="324" w:lineRule="auto"/>
        <w:ind w:firstLine="562" w:firstLineChars="200"/>
        <w:rPr>
          <w:highlight w:val="none"/>
        </w:rPr>
      </w:pPr>
      <w:r>
        <w:rPr>
          <w:rFonts w:hint="eastAsia"/>
          <w:b/>
          <w:bCs/>
          <w:highlight w:val="none"/>
        </w:rPr>
        <w:t>15、代销风险：</w:t>
      </w:r>
      <w:r>
        <w:rPr>
          <w:rFonts w:hint="eastAsia"/>
          <w:highlight w:val="none"/>
        </w:rPr>
        <w:t>理财产品可以通过代销渠道销售，认购/申购时投资者购买理财产品的资金由代销机构从投资者清算账户扣收并划付管理人，到期/赎回时理财本金及收益相应款项由管理人按理财合同约定划付至代销机构，并由代销机构向投资者支付投资者应得理财本金及收益。如因投资者清算账户余额不足，或代销机构未及时足额划付资金，或代销机构清算账户内资金被依法冻结或扣划，或代销机构清算账户处于被挂失、冻结、注销或其他非正常状态等原因而导致交易失败，由代销机构与投资者依法协商解决，但前述约定不免除因代销机构过错依法应由代销机构承担的责任。</w:t>
      </w:r>
    </w:p>
    <w:p w14:paraId="0A1EB931">
      <w:pPr>
        <w:pStyle w:val="3"/>
        <w:adjustRightInd w:val="0"/>
        <w:snapToGrid w:val="0"/>
        <w:spacing w:line="324" w:lineRule="auto"/>
        <w:ind w:firstLine="562" w:firstLineChars="200"/>
        <w:rPr>
          <w:rFonts w:hint="eastAsia"/>
          <w:highlight w:val="none"/>
          <w:lang w:val="en-US"/>
        </w:rPr>
      </w:pPr>
      <w:r>
        <w:rPr>
          <w:rFonts w:hint="eastAsia"/>
          <w:b/>
          <w:bCs/>
          <w:highlight w:val="none"/>
          <w:lang w:val="en-US"/>
        </w:rPr>
        <w:t>16、关联交易风险：</w:t>
      </w:r>
      <w:r>
        <w:rPr>
          <w:rFonts w:hint="eastAsia"/>
          <w:highlight w:val="none"/>
          <w:lang w:val="en-US"/>
        </w:rPr>
        <w:t>在合法合规且履行应履行的内外部程序后，理财产品可能与产品管理人及其控股股东、实际控制人等发生关联交易。本理财产品可能通过</w:t>
      </w:r>
      <w:r>
        <w:rPr>
          <w:rFonts w:hint="eastAsia"/>
          <w:highlight w:val="none"/>
          <w:lang w:val="en-US" w:eastAsia="zh-CN"/>
        </w:rPr>
        <w:t>产品</w:t>
      </w:r>
      <w:r>
        <w:rPr>
          <w:rFonts w:hint="eastAsia"/>
          <w:highlight w:val="none"/>
          <w:lang w:val="en-US"/>
        </w:rPr>
        <w:t>管理人的关联方进行托管或销售，本理财产品的销售机构及托管</w:t>
      </w:r>
      <w:r>
        <w:rPr>
          <w:rFonts w:hint="eastAsia"/>
          <w:highlight w:val="none"/>
          <w:lang w:val="en-US" w:eastAsia="zh-CN"/>
        </w:rPr>
        <w:t>机构</w:t>
      </w:r>
      <w:r>
        <w:rPr>
          <w:rFonts w:hint="eastAsia"/>
          <w:highlight w:val="none"/>
          <w:lang w:val="en-US"/>
        </w:rPr>
        <w:t>以说明书披露为准。上述各方在业务执行及实施上具有隔离机制，并符合相关法律法规要求，且上述各方将依照恪尽职守、诚实信用、谨慎勤勉的原则进行业务操作，但仍可能存在利益冲突。如果发生道德风险等情形将对投资者权益产生不利影响。</w:t>
      </w:r>
    </w:p>
    <w:p w14:paraId="47F483BD">
      <w:pPr>
        <w:shd w:val="clear"/>
        <w:adjustRightInd w:val="0"/>
        <w:snapToGrid w:val="0"/>
        <w:spacing w:line="324" w:lineRule="auto"/>
        <w:ind w:firstLine="562" w:firstLineChars="200"/>
        <w:rPr>
          <w:rFonts w:hint="eastAsia" w:ascii="仿宋" w:hAnsi="仿宋" w:eastAsia="仿宋" w:cs="仿宋"/>
          <w:b/>
          <w:bCs/>
          <w:kern w:val="2"/>
          <w:sz w:val="28"/>
          <w:szCs w:val="28"/>
          <w:highlight w:val="none"/>
          <w:lang w:val="en-US" w:eastAsia="zh-CN" w:bidi="zh-CN"/>
        </w:rPr>
      </w:pPr>
      <w:r>
        <w:rPr>
          <w:rFonts w:hint="eastAsia" w:ascii="仿宋" w:hAnsi="仿宋" w:eastAsia="仿宋" w:cs="仿宋"/>
          <w:b/>
          <w:bCs/>
          <w:kern w:val="2"/>
          <w:sz w:val="28"/>
          <w:szCs w:val="28"/>
          <w:highlight w:val="none"/>
          <w:lang w:val="en-US" w:eastAsia="zh-CN" w:bidi="zh-CN"/>
        </w:rPr>
        <w:t>17、投资特定标的可能引起的其他特殊风险：</w:t>
      </w:r>
    </w:p>
    <w:p w14:paraId="18650D0A">
      <w:pPr>
        <w:shd w:val="clear"/>
        <w:adjustRightInd w:val="0"/>
        <w:snapToGrid w:val="0"/>
        <w:spacing w:line="324" w:lineRule="auto"/>
        <w:ind w:firstLine="562" w:firstLineChars="200"/>
        <w:rPr>
          <w:rFonts w:hint="eastAsia" w:ascii="仿宋" w:hAnsi="仿宋" w:eastAsia="仿宋" w:cs="仿宋"/>
          <w:b/>
          <w:bCs/>
          <w:kern w:val="2"/>
          <w:sz w:val="28"/>
          <w:szCs w:val="28"/>
          <w:highlight w:val="none"/>
          <w:lang w:val="en-US" w:eastAsia="zh-CN" w:bidi="zh-CN"/>
        </w:rPr>
      </w:pPr>
      <w:r>
        <w:rPr>
          <w:rFonts w:hint="eastAsia" w:ascii="仿宋" w:hAnsi="仿宋" w:eastAsia="仿宋" w:cs="仿宋"/>
          <w:b/>
          <w:bCs/>
          <w:kern w:val="2"/>
          <w:sz w:val="28"/>
          <w:szCs w:val="28"/>
          <w:highlight w:val="none"/>
          <w:lang w:val="en-US" w:eastAsia="zh-CN" w:bidi="zh-CN"/>
        </w:rPr>
        <w:t>产品具体投资范围根据理财产品说明书约定为准。如投资以下资产，可能会面临相应资产风险：</w:t>
      </w:r>
    </w:p>
    <w:p w14:paraId="6211B835">
      <w:pPr>
        <w:adjustRightInd w:val="0"/>
        <w:snapToGrid w:val="0"/>
        <w:spacing w:line="324" w:lineRule="auto"/>
        <w:ind w:firstLine="562" w:firstLineChars="200"/>
        <w:rPr>
          <w:rFonts w:hint="eastAsia" w:ascii="仿宋" w:hAnsi="仿宋" w:eastAsia="仿宋" w:cs="仿宋"/>
          <w:b/>
          <w:bCs w:val="0"/>
          <w:sz w:val="28"/>
          <w:szCs w:val="28"/>
          <w:highlight w:val="none"/>
          <w:shd w:val="clear" w:fill="FFFF00"/>
          <w:lang w:val="en-US" w:eastAsia="zh-CN"/>
        </w:rPr>
      </w:pPr>
      <w:r>
        <w:rPr>
          <w:rFonts w:hint="eastAsia" w:ascii="仿宋" w:hAnsi="仿宋" w:eastAsia="仿宋" w:cs="仿宋"/>
          <w:b/>
          <w:bCs/>
          <w:kern w:val="2"/>
          <w:sz w:val="28"/>
          <w:szCs w:val="28"/>
          <w:highlight w:val="none"/>
          <w:lang w:val="en-US" w:eastAsia="zh-CN" w:bidi="zh-CN"/>
        </w:rPr>
        <w:t>（1）债券投资风险（如有）：</w:t>
      </w:r>
      <w:r>
        <w:rPr>
          <w:rFonts w:hint="eastAsia" w:ascii="仿宋" w:hAnsi="仿宋" w:eastAsia="仿宋" w:cs="仿宋"/>
          <w:kern w:val="2"/>
          <w:sz w:val="28"/>
          <w:szCs w:val="28"/>
          <w:highlight w:val="none"/>
          <w:lang w:val="en-US" w:eastAsia="zh-CN" w:bidi="zh-CN"/>
        </w:rPr>
        <w:t>债券市场不同期限、不同信用等级、不同种类债券之间的利差变动，可能导致债券价格下跌。债券投资可能会运用正回购来增加组合杠杆，较高的债券正回购比例可能增加组合的利率风险。所投资债券的发行人如出现违约、无法支付到期本息，或由于债券发行人信用等级降低导致债券价格下降等，可能影响投资者收益，甚至使产品本金遭受损失。</w:t>
      </w:r>
    </w:p>
    <w:p w14:paraId="0E6F444C">
      <w:pPr>
        <w:adjustRightInd w:val="0"/>
        <w:snapToGrid w:val="0"/>
        <w:spacing w:line="324" w:lineRule="auto"/>
        <w:ind w:firstLine="562" w:firstLineChars="200"/>
        <w:rPr>
          <w:rFonts w:hint="eastAsia" w:ascii="仿宋" w:hAnsi="仿宋" w:eastAsia="仿宋" w:cs="仿宋"/>
          <w:kern w:val="2"/>
          <w:sz w:val="28"/>
          <w:szCs w:val="28"/>
          <w:highlight w:val="none"/>
          <w:lang w:val="en-US" w:eastAsia="zh-CN" w:bidi="zh-CN"/>
        </w:rPr>
      </w:pPr>
      <w:r>
        <w:rPr>
          <w:rFonts w:hint="eastAsia" w:ascii="仿宋" w:hAnsi="仿宋" w:eastAsia="仿宋" w:cs="仿宋"/>
          <w:b/>
          <w:bCs/>
          <w:kern w:val="2"/>
          <w:sz w:val="28"/>
          <w:szCs w:val="28"/>
          <w:highlight w:val="none"/>
          <w:lang w:val="en-US" w:eastAsia="zh-CN" w:bidi="zh-CN"/>
        </w:rPr>
        <w:t>（2）股票投资风险（如有）：</w:t>
      </w:r>
      <w:r>
        <w:rPr>
          <w:rFonts w:hint="eastAsia" w:ascii="仿宋" w:hAnsi="仿宋" w:eastAsia="仿宋" w:cs="仿宋"/>
          <w:kern w:val="2"/>
          <w:sz w:val="28"/>
          <w:szCs w:val="28"/>
          <w:highlight w:val="none"/>
          <w:lang w:val="en-US" w:eastAsia="zh-CN" w:bidi="zh-CN"/>
        </w:rPr>
        <w:t>上市公司的经营状况受多种因素影响，如市场、技术、竞争、管理、财务等都可能导致公司盈利发生变化，从而导致股票价格下跌，影响投资者收益，甚至使本理财产品遭受损失。若投资科创板股票，可能面临因投资标的、市场制度以及交易规则等差异带来的特有风险；若投资港股通股票，可能面临境内外法律、法规、监管政策、业务规则和交易规则等不同规则适用造成的风险，以及受到投资标的或投资额度限制、交易通讯故障等影响；若投资于北交所股票，可能面临北交所机制下因投资标的、市场制度以及交易规则等差异带来的特有风险，由此可能给本产品净值带来不利影响或者损失。股票投资受到包括但不限于上述因素影响时，可能影响投资者收益，甚至使本理财产品遭受损失。</w:t>
      </w:r>
    </w:p>
    <w:p w14:paraId="71141988">
      <w:pPr>
        <w:adjustRightInd w:val="0"/>
        <w:snapToGrid w:val="0"/>
        <w:spacing w:line="324" w:lineRule="auto"/>
        <w:ind w:firstLine="562" w:firstLineChars="200"/>
        <w:rPr>
          <w:rFonts w:hint="eastAsia" w:ascii="仿宋" w:hAnsi="仿宋" w:eastAsia="仿宋" w:cs="仿宋"/>
          <w:b w:val="0"/>
          <w:bCs/>
          <w:sz w:val="28"/>
          <w:szCs w:val="28"/>
          <w:highlight w:val="none"/>
          <w:shd w:val="clear" w:fill="FFFF00"/>
          <w:lang w:val="en-US" w:eastAsia="zh-CN"/>
        </w:rPr>
      </w:pPr>
      <w:r>
        <w:rPr>
          <w:rFonts w:hint="eastAsia" w:ascii="仿宋" w:hAnsi="仿宋" w:eastAsia="仿宋" w:cs="仿宋"/>
          <w:b/>
          <w:bCs/>
          <w:kern w:val="2"/>
          <w:sz w:val="28"/>
          <w:szCs w:val="28"/>
          <w:highlight w:val="none"/>
          <w:lang w:val="en-US" w:eastAsia="zh-CN" w:bidi="zh-CN"/>
        </w:rPr>
        <w:t>（3）非标准化债权类资产投资风险（如有）：</w:t>
      </w:r>
      <w:r>
        <w:rPr>
          <w:rFonts w:hint="eastAsia" w:ascii="仿宋" w:hAnsi="仿宋" w:eastAsia="仿宋" w:cs="仿宋"/>
          <w:kern w:val="2"/>
          <w:sz w:val="28"/>
          <w:szCs w:val="28"/>
          <w:highlight w:val="none"/>
          <w:lang w:val="en-US" w:eastAsia="zh-CN" w:bidi="zh-CN"/>
        </w:rPr>
        <w:t>由于还款履约能力发生变化等原因，融资方/义务人可能无法偿还或逾期偿还相关融资本金利息，或无法履行相关合同约定的其他义务，或者因融资方/义务人按照相关合同的约定申请提前/立即偿还款项或者融资方/义务人发生相关合同约定的违约情形，或者由于市场原因、政府机构等原因可能导致相关债权被宣布提前/立即到期，或者因发生相关合同约定的情形导致相关债权延期；或者因相关合同约定的原状分配发生后所分配的财产无法及时进行变现等原因造成无法按计划进行投资本金、收益分配，非标准化债权类资产受到包括但不限于上述因素影响时，可能影响投资者收益，甚至使产品本金遭受损失。此外，本产品投资范围可能包含非标准化债权类资产中的证券公司收益凭证，收益凭证的收益情况与其关联标的的市场表现相关，关联标的受宏观经济、货币政策、经济周期、地缘政治等系统性因素影响。若上述某因素发生剧烈变化，关联标的价格将可能出现大幅波动，在不利的情况下可能导致理财产品本金及收益发生损失。</w:t>
      </w:r>
    </w:p>
    <w:p w14:paraId="7FA6CA6B">
      <w:pPr>
        <w:adjustRightInd w:val="0"/>
        <w:snapToGrid w:val="0"/>
        <w:spacing w:line="324" w:lineRule="auto"/>
        <w:ind w:firstLine="562" w:firstLineChars="200"/>
        <w:rPr>
          <w:rFonts w:hint="eastAsia" w:ascii="仿宋" w:hAnsi="仿宋" w:eastAsia="仿宋" w:cs="仿宋"/>
          <w:kern w:val="2"/>
          <w:sz w:val="28"/>
          <w:szCs w:val="28"/>
          <w:highlight w:val="none"/>
          <w:lang w:val="en-US" w:eastAsia="zh-CN" w:bidi="zh-CN"/>
        </w:rPr>
      </w:pPr>
      <w:r>
        <w:rPr>
          <w:rFonts w:hint="eastAsia" w:ascii="仿宋" w:hAnsi="仿宋" w:eastAsia="仿宋" w:cs="仿宋"/>
          <w:b/>
          <w:bCs/>
          <w:kern w:val="2"/>
          <w:sz w:val="28"/>
          <w:szCs w:val="28"/>
          <w:highlight w:val="none"/>
          <w:lang w:val="en-US" w:eastAsia="zh-CN" w:bidi="zh-CN"/>
        </w:rPr>
        <w:t>（4）基金资产投资风险（如有）：</w:t>
      </w:r>
      <w:r>
        <w:rPr>
          <w:rFonts w:hint="eastAsia" w:ascii="仿宋" w:hAnsi="仿宋" w:eastAsia="仿宋" w:cs="仿宋"/>
          <w:kern w:val="2"/>
          <w:sz w:val="28"/>
          <w:szCs w:val="28"/>
          <w:highlight w:val="none"/>
          <w:lang w:val="en-US" w:eastAsia="zh-CN" w:bidi="zh-CN"/>
        </w:rPr>
        <w:t>若投资基金产品，可能因为基金产品的管理人违法违规、未尽管理人职责或发生其他情形，或基金产品因特定原因被提前终止，可能造成所投资的基金产品的财产损失；本产品投资的基金份额可能因拒绝或暂停申购/赎回、暂停上市或二级市场交易停牌等原因无法及时变现，产品管理人无法找到其他合适的可替代基金品种时，本理财产品可能暂停或拒绝投资者的申购或赎回申请。此外，本产品投资范围可能包含封闭式基金和定期开放式基金等流通受限基金，对于封闭式基金，卖出时可能面临在一定的价格下无法卖出而降价卖出的风险；对于定期开放式基金，由于非流通特性，在本产品投资后将在一定期限内无法流通，在面临大规模赎回时可能因无法变现造成流动性风险。上述风险可能影响投资者收益，甚至使本理财产品遭受损失。</w:t>
      </w:r>
    </w:p>
    <w:p w14:paraId="547CFE41">
      <w:pPr>
        <w:adjustRightInd w:val="0"/>
        <w:snapToGrid w:val="0"/>
        <w:spacing w:line="324" w:lineRule="auto"/>
        <w:ind w:firstLine="562" w:firstLineChars="200"/>
        <w:rPr>
          <w:rFonts w:hint="eastAsia" w:ascii="仿宋" w:hAnsi="仿宋" w:eastAsia="仿宋" w:cs="仿宋"/>
          <w:b w:val="0"/>
          <w:bCs/>
          <w:sz w:val="28"/>
          <w:szCs w:val="28"/>
          <w:highlight w:val="none"/>
          <w:shd w:val="clear" w:fill="FFFF00"/>
          <w:lang w:val="en-US" w:eastAsia="zh-CN"/>
        </w:rPr>
      </w:pPr>
      <w:r>
        <w:rPr>
          <w:rFonts w:hint="eastAsia" w:ascii="仿宋" w:hAnsi="仿宋" w:eastAsia="仿宋" w:cs="仿宋"/>
          <w:b/>
          <w:bCs/>
          <w:kern w:val="2"/>
          <w:sz w:val="28"/>
          <w:szCs w:val="28"/>
          <w:highlight w:val="none"/>
          <w:lang w:val="en-US" w:eastAsia="zh-CN" w:bidi="zh-CN"/>
        </w:rPr>
        <w:t>（5）资产管理计划、信托计划等资产投资风险（如有）：</w:t>
      </w:r>
      <w:r>
        <w:rPr>
          <w:rFonts w:hint="eastAsia" w:ascii="仿宋" w:hAnsi="仿宋" w:eastAsia="仿宋" w:cs="仿宋"/>
          <w:kern w:val="2"/>
          <w:sz w:val="28"/>
          <w:szCs w:val="28"/>
          <w:highlight w:val="none"/>
          <w:lang w:val="en-US" w:eastAsia="zh-CN" w:bidi="zh-CN"/>
        </w:rPr>
        <w:t>若投资资产管理计划、信托计划等时，可能因为资产管理计划、信托计划等的管理人或受托人违法违规、未尽管理人或受托人职责或发生其他情形，或资产管理计划、信托计划等出现因为特定原因而被提前终止的情况，可能造成所投资的资产管理计划、信托计划等的财产损失，从而影响投资者收益，甚至使本理财产品遭受损失。</w:t>
      </w:r>
    </w:p>
    <w:p w14:paraId="28AFAFCF">
      <w:pPr>
        <w:adjustRightInd w:val="0"/>
        <w:snapToGrid w:val="0"/>
        <w:spacing w:line="324" w:lineRule="auto"/>
        <w:ind w:firstLine="562" w:firstLineChars="200"/>
        <w:rPr>
          <w:rFonts w:hint="eastAsia" w:ascii="仿宋" w:hAnsi="仿宋" w:eastAsia="仿宋" w:cs="仿宋"/>
          <w:b/>
          <w:bCs/>
          <w:kern w:val="2"/>
          <w:sz w:val="28"/>
          <w:szCs w:val="28"/>
          <w:highlight w:val="none"/>
          <w:lang w:val="en-US" w:eastAsia="zh-CN" w:bidi="zh-CN"/>
        </w:rPr>
      </w:pPr>
      <w:r>
        <w:rPr>
          <w:rFonts w:hint="eastAsia" w:ascii="仿宋" w:hAnsi="仿宋" w:eastAsia="仿宋" w:cs="仿宋"/>
          <w:b/>
          <w:bCs/>
          <w:kern w:val="2"/>
          <w:sz w:val="28"/>
          <w:szCs w:val="28"/>
          <w:highlight w:val="none"/>
          <w:lang w:val="en-US" w:eastAsia="zh-CN" w:bidi="zh-CN"/>
        </w:rPr>
        <w:t>18、其他产品特有风险：</w:t>
      </w:r>
    </w:p>
    <w:p w14:paraId="5A921FDC">
      <w:pPr>
        <w:adjustRightInd w:val="0"/>
        <w:snapToGrid w:val="0"/>
        <w:spacing w:line="324" w:lineRule="auto"/>
        <w:ind w:firstLine="562" w:firstLineChars="200"/>
        <w:rPr>
          <w:rFonts w:hint="eastAsia" w:ascii="仿宋" w:hAnsi="仿宋" w:eastAsia="仿宋" w:cs="仿宋"/>
          <w:b w:val="0"/>
          <w:bCs/>
          <w:sz w:val="28"/>
          <w:szCs w:val="28"/>
          <w:highlight w:val="none"/>
          <w:shd w:val="clear" w:fill="FFFF00"/>
          <w:lang w:val="en-US" w:eastAsia="zh-CN"/>
        </w:rPr>
      </w:pPr>
      <w:r>
        <w:rPr>
          <w:rFonts w:hint="eastAsia" w:ascii="仿宋" w:hAnsi="仿宋" w:eastAsia="仿宋" w:cs="仿宋"/>
          <w:b/>
          <w:bCs/>
          <w:kern w:val="2"/>
          <w:sz w:val="28"/>
          <w:szCs w:val="28"/>
          <w:highlight w:val="none"/>
          <w:lang w:val="en-US" w:eastAsia="zh-CN" w:bidi="zh-CN"/>
        </w:rPr>
        <w:t>产品如设置设置止盈观察期与止盈条件，可能会面临收益不达目标止盈收益率风险：</w:t>
      </w:r>
      <w:r>
        <w:rPr>
          <w:rFonts w:hint="eastAsia" w:ascii="仿宋" w:hAnsi="仿宋" w:eastAsia="仿宋" w:cs="仿宋"/>
          <w:kern w:val="2"/>
          <w:sz w:val="28"/>
          <w:szCs w:val="28"/>
          <w:highlight w:val="none"/>
          <w:lang w:val="en-US" w:eastAsia="zh-CN" w:bidi="zh-CN"/>
        </w:rPr>
        <w:t>本产品止盈观察期内，若触发止盈条件理财产品将提前终止。由于资产价格波动、资产变现损失、产品止盈到账时间等因素的影响，产品触发止盈条件时，产品管理人不保证投资者本理财产品实际投资年化收益率达到或超过产品止盈目标收益率，有可能低于目标止盈收益率甚至本金损失。</w:t>
      </w:r>
    </w:p>
    <w:p w14:paraId="0868B09A">
      <w:pPr>
        <w:adjustRightInd w:val="0"/>
        <w:snapToGrid w:val="0"/>
        <w:spacing w:line="324" w:lineRule="auto"/>
        <w:ind w:firstLine="562" w:firstLineChars="200"/>
        <w:rPr>
          <w:rFonts w:hint="eastAsia" w:ascii="仿宋" w:hAnsi="仿宋" w:eastAsia="仿宋" w:cs="仿宋"/>
          <w:b/>
          <w:bCs/>
          <w:kern w:val="2"/>
          <w:sz w:val="28"/>
          <w:szCs w:val="28"/>
          <w:highlight w:val="none"/>
          <w:lang w:val="en-US" w:eastAsia="zh-CN" w:bidi="zh-CN"/>
        </w:rPr>
      </w:pPr>
      <w:r>
        <w:rPr>
          <w:rFonts w:hint="eastAsia" w:ascii="仿宋" w:hAnsi="仿宋" w:eastAsia="仿宋" w:cs="仿宋"/>
          <w:b/>
          <w:bCs/>
          <w:kern w:val="2"/>
          <w:sz w:val="28"/>
          <w:szCs w:val="28"/>
          <w:highlight w:val="none"/>
          <w:lang w:val="en-US" w:eastAsia="zh-CN" w:bidi="zh-CN"/>
        </w:rPr>
        <w:t>以上风险事项仅为列举性质，未能详尽列明投资本产品可能面临的全部风险和可能导致投资者投资本金及收益损失的所有因素，请投资者充分评估投资风险。理财产品管理人将严格遵循诚实守信、勤勉尽责原则，管理和运作理财产品资金，在产品募集、存续、终止全流程落实全面风险管理工作，持续对产品各类风险开展识别、评估、监测与报告。管理人将按照法律法规及产品合同约定，持续完善风险管控体系、强化投资运作管控、健全内部管理制度，在产品运作过程中实施常态化监测与精细化管理，通过合理举措防范和应对各类潜在风险。但任何风险管理措施均无法确保投资本理财产品可能面临的潜在风险不会实际发生，理财产品在实际运作中可能受市场波动、政策调整、不可抗力等各类不确定因素影响，引发超出管理人风险控制措施覆盖范围的风险情形，由此可能导致理财产品净值发生波动，投资者或将面临收益下跌乃至本金亏损的风险。</w:t>
      </w:r>
    </w:p>
    <w:p w14:paraId="37569F14">
      <w:pPr>
        <w:adjustRightInd w:val="0"/>
        <w:snapToGrid w:val="0"/>
        <w:spacing w:line="324" w:lineRule="auto"/>
        <w:ind w:firstLine="551" w:firstLineChars="196"/>
        <w:rPr>
          <w:rFonts w:ascii="黑体" w:hAnsi="黑体" w:eastAsia="黑体"/>
          <w:b/>
          <w:kern w:val="0"/>
          <w:sz w:val="28"/>
          <w:szCs w:val="28"/>
          <w:highlight w:val="none"/>
        </w:rPr>
      </w:pPr>
      <w:r>
        <w:rPr>
          <w:rFonts w:hint="eastAsia" w:ascii="黑体" w:hAnsi="黑体" w:eastAsia="黑体"/>
          <w:b/>
          <w:kern w:val="0"/>
          <w:sz w:val="28"/>
          <w:szCs w:val="28"/>
          <w:highlight w:val="none"/>
        </w:rPr>
        <w:t>本产品最不利的投资情形：本产品为非保本净值型理财产品，若发生重大政策风险、不可抗力风险或理财产品配置资产所涉及的相关债务主体未能履行偿债义务、市场剧烈波动导致投资的资产大幅贬值等极端事件，可能导致投资者本金及投资收益全部损失，该损失由投资者自行承担。</w:t>
      </w:r>
    </w:p>
    <w:p w14:paraId="50750F38">
      <w:pPr>
        <w:adjustRightInd w:val="0"/>
        <w:snapToGrid w:val="0"/>
        <w:spacing w:line="324" w:lineRule="auto"/>
        <w:ind w:firstLine="562" w:firstLineChars="200"/>
        <w:rPr>
          <w:rFonts w:ascii="仿宋" w:hAnsi="仿宋" w:eastAsia="仿宋" w:cs="仿宋"/>
          <w:b/>
          <w:bCs/>
          <w:sz w:val="28"/>
          <w:szCs w:val="28"/>
          <w:highlight w:val="none"/>
        </w:rPr>
      </w:pPr>
      <w:r>
        <w:rPr>
          <w:rFonts w:hint="eastAsia" w:ascii="仿宋" w:hAnsi="仿宋" w:eastAsia="仿宋" w:cs="仿宋"/>
          <w:b/>
          <w:bCs/>
          <w:sz w:val="28"/>
          <w:szCs w:val="28"/>
          <w:highlight w:val="none"/>
        </w:rPr>
        <w:t>产品示例：若投资者购买本理财产品，理财产品本金为100000元，在资产组合项下资产全部亏损的最不利情况下，理财产品100000元本金将全部损失。</w:t>
      </w:r>
    </w:p>
    <w:p w14:paraId="0E49AF5E">
      <w:pPr>
        <w:adjustRightInd w:val="0"/>
        <w:snapToGrid w:val="0"/>
        <w:spacing w:line="324" w:lineRule="auto"/>
        <w:ind w:firstLine="562" w:firstLineChars="200"/>
        <w:rPr>
          <w:rFonts w:ascii="仿宋" w:hAnsi="仿宋" w:eastAsia="仿宋" w:cs="仿宋"/>
          <w:b/>
          <w:bCs/>
          <w:sz w:val="28"/>
          <w:szCs w:val="28"/>
          <w:highlight w:val="none"/>
        </w:rPr>
      </w:pPr>
      <w:r>
        <w:rPr>
          <w:rFonts w:hint="eastAsia" w:ascii="仿宋" w:hAnsi="仿宋" w:eastAsia="仿宋" w:cs="仿宋"/>
          <w:b/>
          <w:bCs/>
          <w:sz w:val="28"/>
          <w:szCs w:val="28"/>
          <w:highlight w:val="none"/>
        </w:rPr>
        <w:t>四、您签署本风险揭示书表示您对本产品的风险有清楚的认识并自愿承担由此带来的一切后果。您已独立作出决定，投资于本产品是您真实意思表示。</w:t>
      </w:r>
      <w:r>
        <w:rPr>
          <w:rFonts w:ascii="仿宋" w:hAnsi="仿宋" w:eastAsia="仿宋" w:cs="仿宋"/>
          <w:b/>
          <w:bCs/>
          <w:sz w:val="28"/>
          <w:szCs w:val="28"/>
          <w:highlight w:val="none"/>
        </w:rPr>
        <w:t>本风险揭示书及相应的</w:t>
      </w:r>
      <w:r>
        <w:rPr>
          <w:rFonts w:hint="eastAsia" w:ascii="仿宋" w:hAnsi="仿宋" w:eastAsia="仿宋" w:cs="仿宋"/>
          <w:b/>
          <w:bCs/>
          <w:sz w:val="28"/>
          <w:szCs w:val="28"/>
          <w:highlight w:val="none"/>
        </w:rPr>
        <w:t>产品投资</w:t>
      </w:r>
      <w:r>
        <w:rPr>
          <w:rFonts w:ascii="仿宋" w:hAnsi="仿宋" w:eastAsia="仿宋" w:cs="仿宋"/>
          <w:b/>
          <w:bCs/>
          <w:sz w:val="28"/>
          <w:szCs w:val="28"/>
          <w:highlight w:val="none"/>
        </w:rPr>
        <w:t>协议书、产品说明书、</w:t>
      </w:r>
      <w:r>
        <w:rPr>
          <w:rFonts w:hint="eastAsia" w:ascii="仿宋" w:hAnsi="仿宋" w:eastAsia="仿宋" w:cs="仿宋"/>
          <w:b/>
          <w:bCs/>
          <w:sz w:val="28"/>
          <w:szCs w:val="28"/>
          <w:highlight w:val="none"/>
        </w:rPr>
        <w:t>投资者权益须知、(代理)销售协议书将共同构成完整的不可分割的理财交易合同。</w:t>
      </w:r>
    </w:p>
    <w:p w14:paraId="4533E1BF">
      <w:pPr>
        <w:adjustRightInd w:val="0"/>
        <w:snapToGrid w:val="0"/>
        <w:spacing w:line="324" w:lineRule="auto"/>
        <w:rPr>
          <w:rFonts w:ascii="仿宋" w:hAnsi="仿宋" w:eastAsia="仿宋" w:cs="仿宋"/>
          <w:b/>
          <w:bCs/>
          <w:sz w:val="28"/>
          <w:szCs w:val="28"/>
          <w:highlight w:val="none"/>
        </w:rPr>
      </w:pPr>
    </w:p>
    <w:p w14:paraId="147F947A">
      <w:pPr>
        <w:adjustRightInd w:val="0"/>
        <w:snapToGrid w:val="0"/>
        <w:spacing w:line="324" w:lineRule="auto"/>
        <w:jc w:val="right"/>
        <w:rPr>
          <w:highlight w:val="none"/>
        </w:rPr>
      </w:pPr>
      <w:r>
        <w:rPr>
          <w:rFonts w:hint="eastAsia" w:ascii="仿宋" w:hAnsi="仿宋" w:eastAsia="仿宋" w:cs="仿宋"/>
          <w:sz w:val="28"/>
          <w:szCs w:val="28"/>
          <w:highlight w:val="none"/>
        </w:rPr>
        <w:t>风险揭示方：徽银理财有限责任公司</w:t>
      </w:r>
    </w:p>
    <w:p w14:paraId="03407980">
      <w:pPr>
        <w:widowControl/>
        <w:jc w:val="left"/>
        <w:rPr>
          <w:highlight w:val="none"/>
        </w:rPr>
      </w:pPr>
    </w:p>
    <w:p w14:paraId="3DB2C068">
      <w:pPr>
        <w:widowControl/>
        <w:jc w:val="left"/>
        <w:rPr>
          <w:highlight w:val="none"/>
        </w:rPr>
      </w:pPr>
    </w:p>
    <w:p w14:paraId="106C8098">
      <w:pPr>
        <w:widowControl/>
        <w:jc w:val="left"/>
        <w:rPr>
          <w:highlight w:val="none"/>
        </w:rPr>
      </w:pPr>
    </w:p>
    <w:p w14:paraId="00F6B1DC">
      <w:pPr>
        <w:widowControl/>
        <w:jc w:val="left"/>
        <w:rPr>
          <w:highlight w:val="none"/>
        </w:rPr>
      </w:pPr>
    </w:p>
    <w:p w14:paraId="38F46F00">
      <w:pPr>
        <w:widowControl/>
        <w:jc w:val="left"/>
        <w:rPr>
          <w:highlight w:val="none"/>
        </w:rPr>
      </w:pPr>
    </w:p>
    <w:p w14:paraId="12DBDB68">
      <w:pPr>
        <w:widowControl/>
        <w:jc w:val="left"/>
        <w:rPr>
          <w:highlight w:val="none"/>
        </w:rPr>
      </w:pPr>
    </w:p>
    <w:p w14:paraId="6D0CBD72">
      <w:pPr>
        <w:widowControl/>
        <w:jc w:val="left"/>
        <w:rPr>
          <w:highlight w:val="none"/>
        </w:rPr>
      </w:pPr>
    </w:p>
    <w:p w14:paraId="5656ECDE">
      <w:pPr>
        <w:widowControl/>
        <w:jc w:val="left"/>
        <w:rPr>
          <w:highlight w:val="none"/>
        </w:rPr>
      </w:pPr>
    </w:p>
    <w:p w14:paraId="43FCD18D">
      <w:pPr>
        <w:widowControl/>
        <w:jc w:val="left"/>
        <w:rPr>
          <w:highlight w:val="none"/>
        </w:rPr>
      </w:pPr>
    </w:p>
    <w:p w14:paraId="3CF178C1">
      <w:pPr>
        <w:widowControl/>
        <w:jc w:val="left"/>
        <w:rPr>
          <w:highlight w:val="none"/>
        </w:rPr>
      </w:pPr>
    </w:p>
    <w:p w14:paraId="091A6F59">
      <w:pPr>
        <w:widowControl/>
        <w:jc w:val="left"/>
        <w:rPr>
          <w:highlight w:val="none"/>
        </w:rPr>
      </w:pPr>
    </w:p>
    <w:p w14:paraId="77EFCC3F">
      <w:pPr>
        <w:widowControl/>
        <w:jc w:val="left"/>
        <w:rPr>
          <w:highlight w:val="none"/>
        </w:rPr>
      </w:pPr>
    </w:p>
    <w:tbl>
      <w:tblPr>
        <w:tblStyle w:val="7"/>
        <w:tblW w:w="8822"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822"/>
      </w:tblGrid>
      <w:tr w14:paraId="440D7FD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c>
          <w:tcPr>
            <w:tcW w:w="8414" w:type="dxa"/>
            <w:tcBorders>
              <w:top w:val="single" w:color="auto" w:sz="12" w:space="0"/>
              <w:left w:val="single" w:color="auto" w:sz="12" w:space="0"/>
              <w:bottom w:val="single" w:color="auto" w:sz="12" w:space="0"/>
              <w:right w:val="single" w:color="auto" w:sz="12" w:space="0"/>
            </w:tcBorders>
          </w:tcPr>
          <w:p w14:paraId="3AA9BF75">
            <w:pPr>
              <w:widowControl/>
              <w:jc w:val="center"/>
              <w:rPr>
                <w:highlight w:val="none"/>
              </w:rPr>
            </w:pPr>
            <w:r>
              <w:rPr>
                <w:rStyle w:val="10"/>
                <w:rFonts w:hint="eastAsia" w:ascii="仿宋" w:hAnsi="仿宋" w:eastAsia="仿宋" w:cs="Arial"/>
                <w:sz w:val="32"/>
                <w:szCs w:val="32"/>
                <w:highlight w:val="none"/>
              </w:rPr>
              <w:t>投资者确认栏</w:t>
            </w:r>
          </w:p>
        </w:tc>
      </w:tr>
      <w:tr w14:paraId="2BA5E3C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414" w:type="dxa"/>
            <w:tcBorders>
              <w:top w:val="single" w:color="auto" w:sz="12" w:space="0"/>
              <w:left w:val="single" w:color="auto" w:sz="12" w:space="0"/>
              <w:bottom w:val="single" w:color="auto" w:sz="12" w:space="0"/>
              <w:right w:val="single" w:color="auto" w:sz="12" w:space="0"/>
            </w:tcBorders>
          </w:tcPr>
          <w:p w14:paraId="1A19C512">
            <w:pPr>
              <w:ind w:firstLine="562" w:firstLineChars="200"/>
              <w:rPr>
                <w:rFonts w:ascii="仿宋" w:hAnsi="仿宋" w:eastAsia="仿宋" w:cs="仿宋"/>
                <w:b/>
                <w:bCs/>
                <w:sz w:val="28"/>
                <w:szCs w:val="28"/>
                <w:highlight w:val="none"/>
              </w:rPr>
            </w:pPr>
            <w:r>
              <w:rPr>
                <w:rFonts w:hint="eastAsia" w:ascii="仿宋" w:hAnsi="仿宋" w:eastAsia="仿宋" w:cs="仿宋"/>
                <w:b/>
                <w:bCs/>
                <w:sz w:val="28"/>
                <w:szCs w:val="28"/>
                <w:highlight w:val="none"/>
              </w:rPr>
              <w:t>本人</w:t>
            </w:r>
            <w:r>
              <w:rPr>
                <w:rFonts w:hint="eastAsia" w:ascii="仿宋" w:hAnsi="仿宋" w:eastAsia="仿宋" w:cs="仿宋"/>
                <w:b/>
                <w:bCs/>
                <w:sz w:val="28"/>
                <w:szCs w:val="28"/>
                <w:highlight w:val="none"/>
                <w:lang w:val="en-US" w:eastAsia="zh-CN"/>
              </w:rPr>
              <w:t>/本机构</w:t>
            </w:r>
            <w:r>
              <w:rPr>
                <w:rFonts w:hint="eastAsia" w:ascii="仿宋" w:hAnsi="仿宋" w:eastAsia="仿宋" w:cs="仿宋"/>
                <w:b/>
                <w:bCs/>
                <w:sz w:val="28"/>
                <w:szCs w:val="28"/>
                <w:highlight w:val="none"/>
              </w:rPr>
              <w:t>已在产品销售机构接受理财产品投资风险承受能力评估，风险承受能力评估为</w:t>
            </w:r>
            <w:r>
              <w:rPr>
                <w:rFonts w:hint="eastAsia" w:ascii="仿宋" w:hAnsi="仿宋" w:eastAsia="仿宋" w:cs="仿宋"/>
                <w:b/>
                <w:bCs/>
                <w:sz w:val="28"/>
                <w:szCs w:val="28"/>
                <w:highlight w:val="none"/>
                <w:u w:val="single"/>
              </w:rPr>
              <w:t xml:space="preserve"> </w:t>
            </w:r>
            <w:r>
              <w:rPr>
                <w:rFonts w:ascii="仿宋" w:hAnsi="仿宋" w:eastAsia="仿宋" w:cs="仿宋"/>
                <w:b/>
                <w:bCs/>
                <w:sz w:val="28"/>
                <w:szCs w:val="28"/>
                <w:highlight w:val="none"/>
                <w:u w:val="single"/>
              </w:rPr>
              <w:t xml:space="preserve"> </w:t>
            </w:r>
            <w:r>
              <w:rPr>
                <w:rFonts w:hint="eastAsia" w:ascii="仿宋" w:hAnsi="仿宋" w:eastAsia="仿宋" w:cs="仿宋"/>
                <w:b/>
                <w:bCs/>
                <w:sz w:val="28"/>
                <w:szCs w:val="28"/>
                <w:highlight w:val="none"/>
                <w:u w:val="single"/>
              </w:rPr>
              <w:t xml:space="preserve"> </w:t>
            </w:r>
            <w:r>
              <w:rPr>
                <w:rFonts w:ascii="仿宋" w:hAnsi="仿宋" w:eastAsia="仿宋" w:cs="仿宋"/>
                <w:b/>
                <w:bCs/>
                <w:sz w:val="28"/>
                <w:szCs w:val="28"/>
                <w:highlight w:val="none"/>
                <w:u w:val="single"/>
              </w:rPr>
              <w:t xml:space="preserve"> </w:t>
            </w:r>
            <w:r>
              <w:rPr>
                <w:rFonts w:hint="eastAsia" w:ascii="仿宋" w:hAnsi="仿宋" w:eastAsia="仿宋" w:cs="仿宋"/>
                <w:b/>
                <w:bCs/>
                <w:sz w:val="28"/>
                <w:szCs w:val="28"/>
                <w:highlight w:val="none"/>
              </w:rPr>
              <w:t>级。（由投资者填写）。</w:t>
            </w:r>
          </w:p>
          <w:p w14:paraId="3D3B61E0">
            <w:pPr>
              <w:ind w:firstLine="562" w:firstLineChars="200"/>
              <w:rPr>
                <w:rFonts w:ascii="仿宋" w:hAnsi="仿宋" w:eastAsia="仿宋" w:cs="仿宋"/>
                <w:b/>
                <w:bCs/>
                <w:sz w:val="28"/>
                <w:szCs w:val="28"/>
                <w:highlight w:val="none"/>
              </w:rPr>
            </w:pPr>
            <w:r>
              <w:rPr>
                <w:rFonts w:hint="eastAsia" w:ascii="仿宋" w:hAnsi="仿宋" w:eastAsia="仿宋" w:cs="仿宋"/>
                <w:b/>
                <w:bCs/>
                <w:sz w:val="28"/>
                <w:szCs w:val="28"/>
                <w:highlight w:val="none"/>
              </w:rPr>
              <w:t>本人</w:t>
            </w:r>
            <w:r>
              <w:rPr>
                <w:rFonts w:hint="eastAsia" w:ascii="仿宋" w:hAnsi="仿宋" w:eastAsia="仿宋" w:cs="仿宋"/>
                <w:b/>
                <w:bCs/>
                <w:sz w:val="28"/>
                <w:szCs w:val="28"/>
                <w:highlight w:val="none"/>
                <w:lang w:val="en-US" w:eastAsia="zh-CN"/>
              </w:rPr>
              <w:t>/本机构</w:t>
            </w:r>
            <w:r>
              <w:rPr>
                <w:rFonts w:hint="eastAsia" w:ascii="仿宋" w:hAnsi="仿宋" w:eastAsia="仿宋" w:cs="仿宋"/>
                <w:b/>
                <w:bCs/>
                <w:sz w:val="28"/>
                <w:szCs w:val="28"/>
                <w:highlight w:val="none"/>
              </w:rPr>
              <w:t>确认已收到并已仔细阅读产品管理人/代销机构提供的关于本理财产品的投资协议书、</w:t>
            </w:r>
            <w:r>
              <w:rPr>
                <w:rFonts w:hint="eastAsia" w:ascii="仿宋" w:hAnsi="仿宋" w:eastAsia="仿宋" w:cs="仿宋"/>
                <w:b/>
                <w:bCs/>
                <w:sz w:val="28"/>
                <w:szCs w:val="28"/>
                <w:highlight w:val="none"/>
                <w:lang w:val="en-US" w:eastAsia="zh-CN"/>
              </w:rPr>
              <w:t>产品</w:t>
            </w:r>
            <w:r>
              <w:rPr>
                <w:rFonts w:hint="eastAsia" w:ascii="仿宋" w:hAnsi="仿宋" w:eastAsia="仿宋" w:cs="仿宋"/>
                <w:b/>
                <w:bCs/>
                <w:sz w:val="28"/>
                <w:szCs w:val="28"/>
                <w:highlight w:val="none"/>
              </w:rPr>
              <w:t>说明书、风险揭示书、投资者权益须知、(代理)销售协议书等法律文件，对理财产品的风险有足够了解。本人</w:t>
            </w:r>
            <w:r>
              <w:rPr>
                <w:rFonts w:hint="eastAsia" w:ascii="仿宋" w:hAnsi="仿宋" w:eastAsia="仿宋" w:cs="仿宋"/>
                <w:b/>
                <w:bCs/>
                <w:sz w:val="28"/>
                <w:szCs w:val="28"/>
                <w:highlight w:val="none"/>
                <w:lang w:val="en-US" w:eastAsia="zh-CN"/>
              </w:rPr>
              <w:t>/本机构</w:t>
            </w:r>
            <w:r>
              <w:rPr>
                <w:rFonts w:hint="eastAsia" w:ascii="仿宋" w:hAnsi="仿宋" w:eastAsia="仿宋" w:cs="仿宋"/>
                <w:b/>
                <w:bCs/>
                <w:sz w:val="28"/>
                <w:szCs w:val="28"/>
                <w:highlight w:val="none"/>
              </w:rPr>
              <w:t>已知悉并接受本产品的管理人、销售机构、托管机构间可能存在关联关系。本人</w:t>
            </w:r>
            <w:r>
              <w:rPr>
                <w:rFonts w:hint="eastAsia" w:ascii="仿宋" w:hAnsi="仿宋" w:eastAsia="仿宋" w:cs="仿宋"/>
                <w:b/>
                <w:bCs/>
                <w:sz w:val="28"/>
                <w:szCs w:val="28"/>
                <w:highlight w:val="none"/>
                <w:lang w:val="en-US" w:eastAsia="zh-CN"/>
              </w:rPr>
              <w:t>/本机构</w:t>
            </w:r>
            <w:r>
              <w:rPr>
                <w:rFonts w:hint="eastAsia" w:ascii="仿宋" w:hAnsi="仿宋" w:eastAsia="仿宋" w:cs="仿宋"/>
                <w:b/>
                <w:bCs/>
                <w:sz w:val="28"/>
                <w:szCs w:val="28"/>
                <w:highlight w:val="none"/>
              </w:rPr>
              <w:t>自愿申请办理该产品的交易，接受上述法律文件以及本风险揭示书的约束，并愿意承担办理该理财产品交易可能导致的一切风险、财务损益和法律责任。本人</w:t>
            </w:r>
            <w:r>
              <w:rPr>
                <w:rFonts w:hint="eastAsia" w:ascii="仿宋" w:hAnsi="仿宋" w:eastAsia="仿宋" w:cs="仿宋"/>
                <w:b/>
                <w:bCs/>
                <w:sz w:val="28"/>
                <w:szCs w:val="28"/>
                <w:highlight w:val="none"/>
                <w:lang w:val="en-US" w:eastAsia="zh-CN"/>
              </w:rPr>
              <w:t>/本机构</w:t>
            </w:r>
            <w:r>
              <w:rPr>
                <w:rFonts w:hint="eastAsia" w:ascii="仿宋" w:hAnsi="仿宋" w:eastAsia="仿宋" w:cs="仿宋"/>
                <w:b/>
                <w:bCs/>
                <w:sz w:val="28"/>
                <w:szCs w:val="28"/>
                <w:highlight w:val="none"/>
              </w:rPr>
              <w:t>保证在办理该产品交易时所提供的信息资料真实有效。本人/本机构承诺理财购买资金来源合法合规，本人/本机构将配合管理人及销售机构开展反洗钱、反恐怖融资及非居民金融账户涉税信息尽职调查等工作。</w:t>
            </w:r>
          </w:p>
          <w:p w14:paraId="7EB4058A">
            <w:pPr>
              <w:widowControl/>
              <w:ind w:firstLine="360" w:firstLineChars="200"/>
              <w:jc w:val="left"/>
              <w:rPr>
                <w:highlight w:val="none"/>
              </w:rPr>
            </w:pPr>
            <w:r>
              <w:rPr>
                <w:rFonts w:hint="eastAsia" w:ascii="宋体" w:hAnsi="宋体" w:cs="Arial"/>
                <w:sz w:val="18"/>
                <w:szCs w:val="18"/>
                <w:highlight w:val="none"/>
              </w:rPr>
              <w:t>   </w:t>
            </w:r>
          </w:p>
          <w:p w14:paraId="3E7D22F5">
            <w:pPr>
              <w:ind w:firstLine="562" w:firstLineChars="200"/>
              <w:rPr>
                <w:rFonts w:ascii="仿宋" w:hAnsi="仿宋" w:eastAsia="仿宋" w:cs="仿宋"/>
                <w:b/>
                <w:bCs/>
                <w:sz w:val="28"/>
                <w:szCs w:val="28"/>
                <w:highlight w:val="none"/>
              </w:rPr>
            </w:pPr>
            <w:r>
              <w:rPr>
                <w:rFonts w:hint="eastAsia" w:ascii="仿宋" w:hAnsi="仿宋" w:eastAsia="仿宋" w:cs="仿宋"/>
                <w:b/>
                <w:bCs/>
                <w:sz w:val="28"/>
                <w:szCs w:val="28"/>
                <w:highlight w:val="none"/>
              </w:rPr>
              <w:t>投资者需抄录的内容：本人/本机构已经阅读风险揭示，愿意承担投资风险。</w:t>
            </w:r>
          </w:p>
          <w:p w14:paraId="2FA47ECA">
            <w:pPr>
              <w:ind w:firstLine="562" w:firstLineChars="200"/>
              <w:rPr>
                <w:rFonts w:ascii="仿宋" w:hAnsi="仿宋" w:eastAsia="仿宋" w:cs="仿宋"/>
                <w:b/>
                <w:bCs/>
                <w:sz w:val="28"/>
                <w:szCs w:val="28"/>
                <w:highlight w:val="none"/>
                <w:u w:val="single"/>
              </w:rPr>
            </w:pPr>
            <w:r>
              <w:rPr>
                <w:rFonts w:hint="eastAsia" w:ascii="仿宋" w:hAnsi="仿宋" w:eastAsia="仿宋" w:cs="仿宋"/>
                <w:b/>
                <w:bCs/>
                <w:sz w:val="28"/>
                <w:szCs w:val="28"/>
                <w:highlight w:val="none"/>
              </w:rPr>
              <w:t>请投资者在此抄录：</w:t>
            </w:r>
            <w:r>
              <w:rPr>
                <w:rFonts w:hint="eastAsia" w:ascii="仿宋" w:hAnsi="仿宋" w:eastAsia="仿宋" w:cs="仿宋"/>
                <w:b/>
                <w:bCs/>
                <w:sz w:val="28"/>
                <w:szCs w:val="28"/>
                <w:highlight w:val="none"/>
                <w:u w:val="single"/>
              </w:rPr>
              <w:t xml:space="preserve"> </w:t>
            </w:r>
            <w:r>
              <w:rPr>
                <w:rFonts w:ascii="仿宋" w:hAnsi="仿宋" w:eastAsia="仿宋" w:cs="仿宋"/>
                <w:b/>
                <w:bCs/>
                <w:sz w:val="28"/>
                <w:szCs w:val="28"/>
                <w:highlight w:val="none"/>
                <w:u w:val="single"/>
              </w:rPr>
              <w:t xml:space="preserve">                                      </w:t>
            </w:r>
          </w:p>
          <w:p w14:paraId="2474C936">
            <w:pPr>
              <w:ind w:firstLine="562" w:firstLineChars="200"/>
              <w:rPr>
                <w:rFonts w:ascii="仿宋" w:hAnsi="仿宋" w:eastAsia="仿宋" w:cs="仿宋"/>
                <w:b/>
                <w:bCs/>
                <w:sz w:val="28"/>
                <w:szCs w:val="28"/>
                <w:highlight w:val="none"/>
                <w:u w:val="single"/>
              </w:rPr>
            </w:pPr>
            <w:r>
              <w:rPr>
                <w:rFonts w:ascii="仿宋" w:hAnsi="仿宋" w:eastAsia="仿宋" w:cs="仿宋"/>
                <w:b/>
                <w:bCs/>
                <w:sz w:val="28"/>
                <w:szCs w:val="28"/>
                <w:highlight w:val="none"/>
                <w:u w:val="single"/>
              </w:rPr>
              <w:t xml:space="preserve">                                                         </w:t>
            </w:r>
          </w:p>
          <w:p w14:paraId="47757507">
            <w:pPr>
              <w:ind w:firstLine="562" w:firstLineChars="200"/>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val="en-US" w:eastAsia="zh-CN"/>
              </w:rPr>
              <w:t>个人</w:t>
            </w:r>
            <w:r>
              <w:rPr>
                <w:rFonts w:hint="eastAsia" w:ascii="仿宋" w:hAnsi="仿宋" w:eastAsia="仿宋" w:cs="仿宋"/>
                <w:b/>
                <w:bCs/>
                <w:sz w:val="28"/>
                <w:szCs w:val="28"/>
                <w:highlight w:val="none"/>
              </w:rPr>
              <w:t>投资者签名：</w:t>
            </w:r>
          </w:p>
          <w:p w14:paraId="70A47B4E">
            <w:pPr>
              <w:ind w:firstLine="562" w:firstLineChars="200"/>
              <w:rPr>
                <w:rFonts w:hint="eastAsia" w:ascii="仿宋" w:hAnsi="仿宋" w:eastAsia="仿宋" w:cs="仿宋"/>
                <w:b/>
                <w:bCs/>
                <w:sz w:val="28"/>
                <w:szCs w:val="28"/>
                <w:highlight w:val="none"/>
              </w:rPr>
            </w:pPr>
          </w:p>
          <w:p w14:paraId="41FA69CB">
            <w:pPr>
              <w:ind w:firstLine="562" w:firstLineChars="200"/>
              <w:jc w:val="right"/>
              <w:rPr>
                <w:rFonts w:hint="eastAsia" w:ascii="仿宋" w:hAnsi="仿宋" w:eastAsia="仿宋" w:cs="仿宋"/>
                <w:b/>
                <w:bCs/>
                <w:sz w:val="28"/>
                <w:szCs w:val="28"/>
                <w:highlight w:val="none"/>
              </w:rPr>
            </w:pPr>
          </w:p>
          <w:p w14:paraId="60BB6F9F">
            <w:pPr>
              <w:ind w:firstLine="562" w:firstLineChars="200"/>
              <w:jc w:val="right"/>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 日期：</w:t>
            </w:r>
            <w:r>
              <w:rPr>
                <w:rFonts w:hint="eastAsia" w:ascii="仿宋" w:hAnsi="仿宋" w:eastAsia="仿宋" w:cs="仿宋"/>
                <w:b/>
                <w:bCs/>
                <w:sz w:val="28"/>
                <w:szCs w:val="28"/>
                <w:highlight w:val="none"/>
                <w:lang w:val="en-US" w:eastAsia="zh-CN"/>
              </w:rPr>
              <w:t xml:space="preserve">    </w:t>
            </w:r>
            <w:r>
              <w:rPr>
                <w:rFonts w:hint="eastAsia" w:ascii="仿宋" w:hAnsi="仿宋" w:eastAsia="仿宋" w:cs="仿宋"/>
                <w:b/>
                <w:bCs/>
                <w:sz w:val="28"/>
                <w:szCs w:val="28"/>
                <w:highlight w:val="none"/>
              </w:rPr>
              <w:t>年</w:t>
            </w:r>
            <w:r>
              <w:rPr>
                <w:rFonts w:hint="eastAsia" w:ascii="仿宋" w:hAnsi="仿宋" w:eastAsia="仿宋" w:cs="仿宋"/>
                <w:b/>
                <w:bCs/>
                <w:sz w:val="28"/>
                <w:szCs w:val="28"/>
                <w:highlight w:val="none"/>
                <w:lang w:val="en-US" w:eastAsia="zh-CN"/>
              </w:rPr>
              <w:t xml:space="preserve">  </w:t>
            </w:r>
            <w:r>
              <w:rPr>
                <w:rFonts w:hint="eastAsia" w:ascii="仿宋" w:hAnsi="仿宋" w:eastAsia="仿宋" w:cs="仿宋"/>
                <w:b/>
                <w:bCs/>
                <w:sz w:val="28"/>
                <w:szCs w:val="28"/>
                <w:highlight w:val="none"/>
              </w:rPr>
              <w:t xml:space="preserve"> 月 </w:t>
            </w:r>
            <w:r>
              <w:rPr>
                <w:rFonts w:hint="eastAsia" w:ascii="仿宋" w:hAnsi="仿宋" w:eastAsia="仿宋" w:cs="仿宋"/>
                <w:b/>
                <w:bCs/>
                <w:sz w:val="28"/>
                <w:szCs w:val="28"/>
                <w:highlight w:val="none"/>
                <w:lang w:val="en-US" w:eastAsia="zh-CN"/>
              </w:rPr>
              <w:t xml:space="preserve">  </w:t>
            </w:r>
            <w:r>
              <w:rPr>
                <w:rFonts w:hint="eastAsia" w:ascii="仿宋" w:hAnsi="仿宋" w:eastAsia="仿宋" w:cs="仿宋"/>
                <w:b/>
                <w:bCs/>
                <w:sz w:val="28"/>
                <w:szCs w:val="28"/>
                <w:highlight w:val="none"/>
              </w:rPr>
              <w:t>日</w:t>
            </w:r>
            <w:r>
              <w:rPr>
                <w:rFonts w:hint="eastAsia" w:ascii="宋体" w:hAnsi="宋体" w:cs="Arial"/>
                <w:sz w:val="18"/>
                <w:szCs w:val="18"/>
                <w:highlight w:val="none"/>
              </w:rPr>
              <w:t> </w:t>
            </w:r>
          </w:p>
          <w:p w14:paraId="3FAE51FA">
            <w:pPr>
              <w:widowControl/>
              <w:ind w:firstLine="562" w:firstLineChars="200"/>
              <w:jc w:val="left"/>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机构投资者（盖章）：</w:t>
            </w:r>
          </w:p>
          <w:p w14:paraId="46E54FE7">
            <w:pPr>
              <w:widowControl/>
              <w:ind w:firstLine="562" w:firstLineChars="200"/>
              <w:jc w:val="left"/>
              <w:rPr>
                <w:rFonts w:hint="eastAsia" w:ascii="仿宋" w:hAnsi="仿宋" w:eastAsia="仿宋" w:cs="仿宋"/>
                <w:b/>
                <w:bCs/>
                <w:sz w:val="28"/>
                <w:szCs w:val="28"/>
                <w:highlight w:val="none"/>
              </w:rPr>
            </w:pPr>
          </w:p>
          <w:p w14:paraId="79D6F338">
            <w:pPr>
              <w:widowControl/>
              <w:ind w:firstLine="562" w:firstLineChars="200"/>
              <w:jc w:val="left"/>
              <w:rPr>
                <w:rFonts w:hint="eastAsia" w:ascii="仿宋" w:hAnsi="仿宋" w:eastAsia="仿宋" w:cs="仿宋"/>
                <w:b/>
                <w:bCs/>
                <w:sz w:val="28"/>
                <w:szCs w:val="28"/>
                <w:highlight w:val="none"/>
              </w:rPr>
            </w:pPr>
          </w:p>
          <w:p w14:paraId="754132C4">
            <w:pPr>
              <w:widowControl/>
              <w:ind w:firstLine="562" w:firstLineChars="200"/>
              <w:jc w:val="left"/>
              <w:rPr>
                <w:rFonts w:ascii="仿宋" w:hAnsi="仿宋" w:eastAsia="仿宋" w:cs="仿宋"/>
                <w:b/>
                <w:bCs/>
                <w:sz w:val="28"/>
                <w:szCs w:val="28"/>
                <w:highlight w:val="none"/>
              </w:rPr>
            </w:pPr>
            <w:r>
              <w:rPr>
                <w:rFonts w:hint="eastAsia" w:ascii="仿宋" w:hAnsi="仿宋" w:eastAsia="仿宋" w:cs="仿宋"/>
                <w:b/>
                <w:bCs/>
                <w:sz w:val="28"/>
                <w:szCs w:val="28"/>
                <w:highlight w:val="none"/>
              </w:rPr>
              <w:t>机构投资者法定代表人或授权代表（签名或签章）：</w:t>
            </w:r>
          </w:p>
          <w:p w14:paraId="7D2D822F">
            <w:pPr>
              <w:ind w:firstLine="562" w:firstLineChars="200"/>
              <w:rPr>
                <w:rFonts w:hint="eastAsia" w:ascii="仿宋" w:hAnsi="仿宋" w:eastAsia="仿宋" w:cs="仿宋"/>
                <w:b/>
                <w:bCs/>
                <w:sz w:val="28"/>
                <w:szCs w:val="28"/>
                <w:highlight w:val="none"/>
              </w:rPr>
            </w:pPr>
          </w:p>
          <w:p w14:paraId="2DDC9221">
            <w:pPr>
              <w:ind w:firstLine="562" w:firstLineChars="200"/>
              <w:rPr>
                <w:rFonts w:hint="eastAsia" w:ascii="仿宋" w:hAnsi="仿宋" w:eastAsia="仿宋" w:cs="仿宋"/>
                <w:b/>
                <w:bCs/>
                <w:sz w:val="28"/>
                <w:szCs w:val="28"/>
                <w:highlight w:val="none"/>
              </w:rPr>
            </w:pPr>
          </w:p>
          <w:p w14:paraId="5EE52B52">
            <w:pPr>
              <w:ind w:firstLine="562" w:firstLineChars="200"/>
              <w:jc w:val="right"/>
              <w:rPr>
                <w:highlight w:val="none"/>
              </w:rPr>
            </w:pPr>
            <w:r>
              <w:rPr>
                <w:rFonts w:hint="eastAsia" w:ascii="仿宋" w:hAnsi="仿宋" w:eastAsia="仿宋" w:cs="仿宋"/>
                <w:b/>
                <w:bCs/>
                <w:sz w:val="28"/>
                <w:szCs w:val="28"/>
                <w:highlight w:val="none"/>
              </w:rPr>
              <w:t> 日期：</w:t>
            </w:r>
            <w:r>
              <w:rPr>
                <w:rFonts w:hint="eastAsia" w:ascii="仿宋" w:hAnsi="仿宋" w:eastAsia="仿宋" w:cs="仿宋"/>
                <w:b/>
                <w:bCs/>
                <w:sz w:val="28"/>
                <w:szCs w:val="28"/>
                <w:highlight w:val="none"/>
                <w:lang w:val="en-US" w:eastAsia="zh-CN"/>
              </w:rPr>
              <w:t xml:space="preserve">     </w:t>
            </w:r>
            <w:r>
              <w:rPr>
                <w:rFonts w:hint="eastAsia" w:ascii="仿宋" w:hAnsi="仿宋" w:eastAsia="仿宋" w:cs="仿宋"/>
                <w:b/>
                <w:bCs/>
                <w:sz w:val="28"/>
                <w:szCs w:val="28"/>
                <w:highlight w:val="none"/>
              </w:rPr>
              <w:t>年</w:t>
            </w:r>
            <w:r>
              <w:rPr>
                <w:rFonts w:hint="eastAsia" w:ascii="仿宋" w:hAnsi="仿宋" w:eastAsia="仿宋" w:cs="仿宋"/>
                <w:b/>
                <w:bCs/>
                <w:sz w:val="28"/>
                <w:szCs w:val="28"/>
                <w:highlight w:val="none"/>
                <w:lang w:val="en-US" w:eastAsia="zh-CN"/>
              </w:rPr>
              <w:t xml:space="preserve">  </w:t>
            </w:r>
            <w:r>
              <w:rPr>
                <w:rFonts w:hint="eastAsia" w:ascii="仿宋" w:hAnsi="仿宋" w:eastAsia="仿宋" w:cs="仿宋"/>
                <w:b/>
                <w:bCs/>
                <w:sz w:val="28"/>
                <w:szCs w:val="28"/>
                <w:highlight w:val="none"/>
              </w:rPr>
              <w:t xml:space="preserve"> 月 </w:t>
            </w:r>
            <w:r>
              <w:rPr>
                <w:rFonts w:hint="eastAsia" w:ascii="仿宋" w:hAnsi="仿宋" w:eastAsia="仿宋" w:cs="仿宋"/>
                <w:b/>
                <w:bCs/>
                <w:sz w:val="28"/>
                <w:szCs w:val="28"/>
                <w:highlight w:val="none"/>
                <w:lang w:val="en-US" w:eastAsia="zh-CN"/>
              </w:rPr>
              <w:t xml:space="preserve">  </w:t>
            </w:r>
            <w:r>
              <w:rPr>
                <w:rFonts w:hint="eastAsia" w:ascii="仿宋" w:hAnsi="仿宋" w:eastAsia="仿宋" w:cs="仿宋"/>
                <w:b/>
                <w:bCs/>
                <w:sz w:val="28"/>
                <w:szCs w:val="28"/>
                <w:highlight w:val="none"/>
              </w:rPr>
              <w:t>日</w:t>
            </w:r>
            <w:r>
              <w:rPr>
                <w:rFonts w:hint="eastAsia" w:ascii="宋体" w:hAnsi="宋体" w:cs="Arial"/>
                <w:sz w:val="18"/>
                <w:szCs w:val="18"/>
                <w:highlight w:val="none"/>
              </w:rPr>
              <w:t> </w:t>
            </w:r>
          </w:p>
          <w:p w14:paraId="38980811">
            <w:pPr>
              <w:widowControl/>
              <w:jc w:val="right"/>
              <w:rPr>
                <w:highlight w:val="none"/>
              </w:rPr>
            </w:pPr>
            <w:r>
              <w:rPr>
                <w:rFonts w:hint="eastAsia" w:ascii="宋体" w:hAnsi="宋体" w:cs="宋体"/>
                <w:sz w:val="18"/>
                <w:szCs w:val="18"/>
                <w:highlight w:val="none"/>
              </w:rPr>
              <w:t> </w:t>
            </w:r>
          </w:p>
        </w:tc>
      </w:tr>
    </w:tbl>
    <w:p w14:paraId="7E9A5957">
      <w:pPr>
        <w:rPr>
          <w:rFonts w:ascii="仿宋" w:hAnsi="仿宋" w:eastAsia="仿宋" w:cs="仿宋"/>
          <w:sz w:val="28"/>
          <w:szCs w:val="28"/>
          <w:highlight w:val="none"/>
        </w:rPr>
      </w:pPr>
    </w:p>
    <w:p w14:paraId="693C3E4E">
      <w:pPr>
        <w:rPr>
          <w:rFonts w:ascii="仿宋" w:hAnsi="仿宋" w:eastAsia="仿宋" w:cs="仿宋"/>
          <w:sz w:val="28"/>
          <w:szCs w:val="28"/>
          <w:highlight w:val="none"/>
        </w:rPr>
      </w:pPr>
    </w:p>
    <w:p w14:paraId="00C57297">
      <w:pPr>
        <w:rPr>
          <w:highlight w:val="none"/>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imesNewRomanPSMT">
    <w:altName w:val="Times New Roman"/>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1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Wingdings 2">
    <w:altName w:val="Wingdings"/>
    <w:panose1 w:val="00000000000000000000"/>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74130">
    <w:pPr>
      <w:pStyle w:val="4"/>
      <w:jc w:val="center"/>
    </w:pPr>
    <w:r>
      <w:rPr>
        <w:rFonts w:hint="eastAsia"/>
        <w:b/>
        <w:i/>
        <w:sz w:val="15"/>
        <w:szCs w:val="15"/>
      </w:rPr>
      <w:t>理财产品过往业绩不代表其未来表现，不等于理财产品实际收益，投资须谨慎；理财非存款、产品有风险、投资须谨慎！</w:t>
    </w:r>
  </w:p>
  <w:p w14:paraId="7EDE5BEB">
    <w:pPr>
      <w:pStyle w:val="4"/>
      <w:jc w:val="center"/>
    </w:pPr>
    <w:r>
      <w:fldChar w:fldCharType="begin"/>
    </w:r>
    <w:r>
      <w:instrText xml:space="preserve"> PAGE   \* MERGEFORMAT </w:instrText>
    </w:r>
    <w:r>
      <w:fldChar w:fldCharType="separate"/>
    </w:r>
    <w:r>
      <w:rPr>
        <w:lang w:val="zh-CN"/>
      </w:rPr>
      <w:t>7</w:t>
    </w:r>
    <w:r>
      <w:rPr>
        <w:lang w:val="zh-CN"/>
      </w:rPr>
      <w:fldChar w:fldCharType="end"/>
    </w:r>
  </w:p>
  <w:p w14:paraId="223565D3">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29AA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82B66">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ECBA9">
    <w:pPr>
      <w:pStyle w:val="5"/>
    </w:pPr>
    <w:r>
      <w:drawing>
        <wp:inline distT="0" distB="0" distL="0" distR="0">
          <wp:extent cx="2066925" cy="354330"/>
          <wp:effectExtent l="0" t="0" r="0" b="7620"/>
          <wp:docPr id="1154202497" name="图片 1" descr="文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202497" name="图片 1" descr="文本&#10;&#10;AI 生成的内容可能不正确。"/>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089716" cy="358769"/>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4276F">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EB519">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U4NzViMzU3NWQ3MjQ1NmVkZWU2YTc4ZjEwODIzYTMifQ=="/>
  </w:docVars>
  <w:rsids>
    <w:rsidRoot w:val="002A698F"/>
    <w:rsid w:val="000221A8"/>
    <w:rsid w:val="002A698F"/>
    <w:rsid w:val="00365C82"/>
    <w:rsid w:val="004A45B1"/>
    <w:rsid w:val="00524950"/>
    <w:rsid w:val="0053341C"/>
    <w:rsid w:val="00562946"/>
    <w:rsid w:val="005F6B74"/>
    <w:rsid w:val="00662B1A"/>
    <w:rsid w:val="0074358C"/>
    <w:rsid w:val="0084074A"/>
    <w:rsid w:val="00862A9E"/>
    <w:rsid w:val="008925BA"/>
    <w:rsid w:val="008C5D63"/>
    <w:rsid w:val="009B215A"/>
    <w:rsid w:val="00A676EF"/>
    <w:rsid w:val="00AD558A"/>
    <w:rsid w:val="00B409E6"/>
    <w:rsid w:val="00CF3D15"/>
    <w:rsid w:val="00DD4113"/>
    <w:rsid w:val="00E014E5"/>
    <w:rsid w:val="00E8676A"/>
    <w:rsid w:val="00EE4163"/>
    <w:rsid w:val="00F8061F"/>
    <w:rsid w:val="00F84D42"/>
    <w:rsid w:val="024B505A"/>
    <w:rsid w:val="039B2EF1"/>
    <w:rsid w:val="03F97F78"/>
    <w:rsid w:val="06A116ED"/>
    <w:rsid w:val="08BD7959"/>
    <w:rsid w:val="092F7271"/>
    <w:rsid w:val="09DD371C"/>
    <w:rsid w:val="0AB74A61"/>
    <w:rsid w:val="0BBF2615"/>
    <w:rsid w:val="0BFB516E"/>
    <w:rsid w:val="0C506411"/>
    <w:rsid w:val="0C5C4B69"/>
    <w:rsid w:val="0DD00D08"/>
    <w:rsid w:val="117E416C"/>
    <w:rsid w:val="13135FC8"/>
    <w:rsid w:val="152216C8"/>
    <w:rsid w:val="17DF4AC8"/>
    <w:rsid w:val="194D74B2"/>
    <w:rsid w:val="1D1011FD"/>
    <w:rsid w:val="20356173"/>
    <w:rsid w:val="220D6D7A"/>
    <w:rsid w:val="236024A5"/>
    <w:rsid w:val="23C860B3"/>
    <w:rsid w:val="257518EA"/>
    <w:rsid w:val="26E56181"/>
    <w:rsid w:val="26F85E8F"/>
    <w:rsid w:val="277948C0"/>
    <w:rsid w:val="2B110EC2"/>
    <w:rsid w:val="2B4E2555"/>
    <w:rsid w:val="2B732DA8"/>
    <w:rsid w:val="2E5E68B8"/>
    <w:rsid w:val="2E9E5D79"/>
    <w:rsid w:val="30077F63"/>
    <w:rsid w:val="31104BF6"/>
    <w:rsid w:val="32755658"/>
    <w:rsid w:val="3290235C"/>
    <w:rsid w:val="33D8305A"/>
    <w:rsid w:val="35BC2A92"/>
    <w:rsid w:val="380F3E59"/>
    <w:rsid w:val="38107BD1"/>
    <w:rsid w:val="38AE3672"/>
    <w:rsid w:val="39465827"/>
    <w:rsid w:val="3A3D2536"/>
    <w:rsid w:val="3A6C5B9E"/>
    <w:rsid w:val="3BF933CB"/>
    <w:rsid w:val="3C0E2679"/>
    <w:rsid w:val="3F9E26A6"/>
    <w:rsid w:val="3FDA2830"/>
    <w:rsid w:val="42662D30"/>
    <w:rsid w:val="44BC2899"/>
    <w:rsid w:val="460054E7"/>
    <w:rsid w:val="47E63536"/>
    <w:rsid w:val="48B932A6"/>
    <w:rsid w:val="4A7A0DF6"/>
    <w:rsid w:val="4ADD100C"/>
    <w:rsid w:val="4DA1519F"/>
    <w:rsid w:val="4E544DD0"/>
    <w:rsid w:val="4E7B5C92"/>
    <w:rsid w:val="4F067E67"/>
    <w:rsid w:val="52C64D2E"/>
    <w:rsid w:val="53E27C72"/>
    <w:rsid w:val="54702393"/>
    <w:rsid w:val="54E029AD"/>
    <w:rsid w:val="5AFB0EC1"/>
    <w:rsid w:val="5B661EA0"/>
    <w:rsid w:val="5BF6524B"/>
    <w:rsid w:val="5C125416"/>
    <w:rsid w:val="5C1A6267"/>
    <w:rsid w:val="5C232184"/>
    <w:rsid w:val="5F304531"/>
    <w:rsid w:val="5FA81BEA"/>
    <w:rsid w:val="60C93FFE"/>
    <w:rsid w:val="630261E5"/>
    <w:rsid w:val="675C0966"/>
    <w:rsid w:val="68796E9F"/>
    <w:rsid w:val="688007EE"/>
    <w:rsid w:val="698060B5"/>
    <w:rsid w:val="6B5352D3"/>
    <w:rsid w:val="6D1B71C8"/>
    <w:rsid w:val="6E5524D3"/>
    <w:rsid w:val="71F15531"/>
    <w:rsid w:val="768148D6"/>
    <w:rsid w:val="7872008D"/>
    <w:rsid w:val="797F1EE5"/>
    <w:rsid w:val="7B7148C7"/>
    <w:rsid w:val="7BD36518"/>
    <w:rsid w:val="7FE000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Heading 2"/>
    <w:basedOn w:val="1"/>
    <w:next w:val="1"/>
    <w:qFormat/>
    <w:uiPriority w:val="9"/>
    <w:pPr>
      <w:spacing w:line="360" w:lineRule="auto"/>
      <w:jc w:val="center"/>
      <w:outlineLvl w:val="1"/>
    </w:pPr>
    <w:rPr>
      <w:rFonts w:ascii="宋体" w:hAnsi="宋体" w:cs="宋体"/>
      <w:b/>
      <w:sz w:val="28"/>
      <w:szCs w:val="28"/>
    </w:rPr>
  </w:style>
  <w:style w:type="paragraph" w:styleId="3">
    <w:name w:val="Body Text"/>
    <w:basedOn w:val="1"/>
    <w:qFormat/>
    <w:uiPriority w:val="1"/>
    <w:pPr>
      <w:ind w:left="120"/>
    </w:pPr>
    <w:rPr>
      <w:rFonts w:ascii="仿宋" w:hAnsi="仿宋" w:eastAsia="仿宋" w:cs="仿宋"/>
      <w:sz w:val="28"/>
      <w:szCs w:val="28"/>
      <w:lang w:val="zh-CN" w:bidi="zh-CN"/>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qFormat/>
    <w:uiPriority w:val="0"/>
    <w:rPr>
      <w:b/>
    </w:rPr>
  </w:style>
  <w:style w:type="character" w:customStyle="1" w:styleId="11">
    <w:name w:val="fontstyle01"/>
    <w:basedOn w:val="9"/>
    <w:qFormat/>
    <w:uiPriority w:val="0"/>
    <w:rPr>
      <w:rFonts w:ascii="宋体" w:hAnsi="宋体" w:eastAsia="宋体" w:cs="宋体"/>
      <w:color w:val="000000"/>
      <w:sz w:val="24"/>
      <w:szCs w:val="24"/>
    </w:rPr>
  </w:style>
  <w:style w:type="character" w:customStyle="1" w:styleId="12">
    <w:name w:val="fontstyle21"/>
    <w:basedOn w:val="9"/>
    <w:qFormat/>
    <w:uiPriority w:val="0"/>
    <w:rPr>
      <w:rFonts w:ascii="TimesNewRomanPSMT" w:hAnsi="TimesNewRomanPSMT" w:eastAsia="TimesNewRomanPSMT" w:cs="TimesNewRomanPSMT"/>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6169</Words>
  <Characters>6201</Characters>
  <Lines>30</Lines>
  <Paragraphs>8</Paragraphs>
  <TotalTime>1</TotalTime>
  <ScaleCrop>false</ScaleCrop>
  <LinksUpToDate>false</LinksUpToDate>
  <CharactersWithSpaces>6339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2021-06-11T05:08:00Z</dcterms:created>
  <dc:creator>Lenovo</dc:creator>
  <cp:lastModifiedBy>余心语</cp:lastModifiedBy>
  <cp:lastPrinted>2026-08-20T03:29:00Z</cp:lastPrinted>
  <dcterms:modified xsi:type="dcterms:W3CDTF">2026-09-02T11:02:24Z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8127C66620184A40BEE46C9F97E23FA0</vt:lpwstr>
  </property>
  <property fmtid="{D5CDD505-2E9C-101B-9397-08002B2CF9AE}" pid="4" name="_KSOProductBuildMID">
    <vt:lpwstr>CGWMD6GC79TA0THGQARNRL0Y7NN0OAYR9S0XOJDWXGHRTFLT66BRDCJ7FY5HPFIRBFM6SOZNZIA78IEJQEFTQFFU8RFMWIWBANOOKHB3C0442BD65A675B848CB5CBAA347E07EA</vt:lpwstr>
  </property>
  <property fmtid="{D5CDD505-2E9C-101B-9397-08002B2CF9AE}" pid="5" name="_KSOProductBuildSID">
    <vt:lpwstr>CPWFD6GC7R9Q0TBG9GR8ILJM7N80OSVR9S0XXJEPXF88TQCTZ7BJYCJVFYSHP8RRXJM6OOLYZIX78IEJQSFAPFFX89C0WLCBBJOOZHB30C12B74199691628BADF7C68EA2220F4</vt:lpwstr>
  </property>
  <property fmtid="{D5CDD505-2E9C-101B-9397-08002B2CF9AE}" pid="6" name="KSOTemplateDocerSaveRecord">
    <vt:lpwstr>eyJoZGlkIjoiNzlhNjAzMThhNzM5YTJjMWZiOWNlZDk5OTlmMzNlYzciLCJ1c2VySWQiOiIxMDg2NTkzNTY4In0=</vt:lpwstr>
  </property>
</Properties>
</file>