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 w:lineRule="atLeast"/>
        <w:jc w:val="center"/>
        <w:outlineLvl w:val="0"/>
        <w:rPr>
          <w:rFonts w:ascii="宋体" w:hAnsi="宋体"/>
          <w:b/>
          <w:sz w:val="32"/>
          <w:szCs w:val="32"/>
        </w:rPr>
      </w:pPr>
      <w:r>
        <w:rPr>
          <w:rFonts w:hint="eastAsia" w:ascii="宋体" w:hAnsi="宋体"/>
          <w:b/>
          <w:sz w:val="32"/>
          <w:szCs w:val="32"/>
        </w:rPr>
        <w:t>湖南银行代销理财产品协议</w:t>
      </w:r>
      <w:bookmarkStart w:id="0" w:name="OLE_LINK1"/>
      <w:r>
        <w:rPr>
          <w:rFonts w:hint="eastAsia" w:ascii="宋体" w:hAnsi="宋体"/>
          <w:b/>
          <w:sz w:val="32"/>
          <w:szCs w:val="32"/>
        </w:rPr>
        <w:t>书</w:t>
      </w:r>
      <w:bookmarkEnd w:id="0"/>
    </w:p>
    <w:p>
      <w:pPr>
        <w:spacing w:line="60" w:lineRule="atLeast"/>
        <w:jc w:val="center"/>
        <w:outlineLvl w:val="0"/>
        <w:rPr>
          <w:rFonts w:ascii="宋体" w:hAnsi="宋体"/>
          <w:b/>
          <w:sz w:val="32"/>
          <w:szCs w:val="32"/>
        </w:rPr>
      </w:pPr>
      <w:r>
        <w:rPr>
          <w:rFonts w:hint="eastAsia" w:ascii="仿宋" w:hAnsi="仿宋" w:eastAsia="仿宋"/>
          <w:b/>
          <w:sz w:val="28"/>
          <w:szCs w:val="28"/>
        </w:rPr>
        <w:t>理财非存款、产品有风险、投资须谨慎</w:t>
      </w:r>
    </w:p>
    <w:p>
      <w:pPr>
        <w:spacing w:line="360" w:lineRule="exact"/>
        <w:ind w:right="-382" w:rightChars="-182"/>
        <w:jc w:val="center"/>
        <w:rPr>
          <w:rFonts w:ascii="楷体_GB2312" w:eastAsia="楷体_GB2312"/>
          <w:sz w:val="28"/>
          <w:szCs w:val="28"/>
        </w:rPr>
      </w:pPr>
    </w:p>
    <w:p>
      <w:pPr>
        <w:ind w:left="-176" w:leftChars="-84" w:firstLine="462" w:firstLineChars="220"/>
        <w:rPr>
          <w:rFonts w:ascii="宋体" w:hAnsi="宋体"/>
          <w:szCs w:val="21"/>
        </w:rPr>
      </w:pPr>
      <w:r>
        <w:rPr>
          <w:rFonts w:hint="eastAsia" w:ascii="宋体" w:hAnsi="宋体" w:cs="宋体"/>
          <w:bCs/>
          <w:szCs w:val="21"/>
        </w:rPr>
        <w:t>协议编号</w:t>
      </w:r>
      <w:r>
        <w:rPr>
          <w:rFonts w:ascii="宋体" w:hAnsi="宋体" w:cs="宋体"/>
          <w:bCs/>
          <w:szCs w:val="21"/>
        </w:rPr>
        <w:t>:</w:t>
      </w:r>
    </w:p>
    <w:tbl>
      <w:tblPr>
        <w:tblStyle w:val="8"/>
        <w:tblW w:w="10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108"/>
        <w:gridCol w:w="613"/>
        <w:gridCol w:w="1748"/>
        <w:gridCol w:w="31"/>
        <w:gridCol w:w="1181"/>
        <w:gridCol w:w="566"/>
        <w:gridCol w:w="31"/>
        <w:gridCol w:w="675"/>
        <w:gridCol w:w="574"/>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5" w:type="dxa"/>
            <w:gridSpan w:val="11"/>
          </w:tcPr>
          <w:p>
            <w:pPr>
              <w:jc w:val="center"/>
              <w:rPr>
                <w:rFonts w:ascii="宋体" w:hAnsi="宋体"/>
                <w:b/>
                <w:bCs/>
                <w:sz w:val="22"/>
                <w:szCs w:val="24"/>
              </w:rPr>
            </w:pPr>
            <w:r>
              <w:rPr>
                <w:rFonts w:hint="eastAsia" w:ascii="宋体" w:hAnsi="宋体"/>
                <w:b/>
                <w:bCs/>
                <w:sz w:val="22"/>
                <w:szCs w:val="24"/>
              </w:rPr>
              <w:t>客户信息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Align w:val="center"/>
          </w:tcPr>
          <w:p>
            <w:pPr>
              <w:jc w:val="center"/>
              <w:rPr>
                <w:rFonts w:ascii="宋体" w:hAnsi="宋体"/>
                <w:bCs/>
                <w:sz w:val="22"/>
                <w:szCs w:val="24"/>
              </w:rPr>
            </w:pPr>
            <w:r>
              <w:rPr>
                <w:rFonts w:hint="eastAsia" w:ascii="宋体" w:hAnsi="宋体"/>
                <w:bCs/>
                <w:sz w:val="22"/>
                <w:szCs w:val="24"/>
              </w:rPr>
              <w:t>甲方（客户）姓名/名称</w:t>
            </w:r>
          </w:p>
        </w:tc>
        <w:tc>
          <w:tcPr>
            <w:tcW w:w="1721" w:type="dxa"/>
            <w:gridSpan w:val="2"/>
            <w:vAlign w:val="center"/>
          </w:tcPr>
          <w:p>
            <w:pPr>
              <w:jc w:val="center"/>
              <w:rPr>
                <w:rFonts w:ascii="宋体" w:hAnsi="宋体"/>
                <w:bCs/>
                <w:sz w:val="22"/>
                <w:szCs w:val="24"/>
              </w:rPr>
            </w:pPr>
          </w:p>
        </w:tc>
        <w:tc>
          <w:tcPr>
            <w:tcW w:w="1779" w:type="dxa"/>
            <w:gridSpan w:val="2"/>
            <w:vAlign w:val="center"/>
          </w:tcPr>
          <w:p>
            <w:pPr>
              <w:jc w:val="center"/>
              <w:rPr>
                <w:rFonts w:ascii="宋体" w:hAnsi="宋体"/>
                <w:bCs/>
                <w:sz w:val="22"/>
                <w:szCs w:val="24"/>
              </w:rPr>
            </w:pPr>
            <w:r>
              <w:rPr>
                <w:rFonts w:hint="eastAsia" w:ascii="宋体" w:hAnsi="宋体"/>
                <w:bCs/>
                <w:sz w:val="22"/>
                <w:szCs w:val="24"/>
              </w:rPr>
              <w:t>证件类型</w:t>
            </w:r>
          </w:p>
        </w:tc>
        <w:tc>
          <w:tcPr>
            <w:tcW w:w="1181" w:type="dxa"/>
            <w:vAlign w:val="center"/>
          </w:tcPr>
          <w:p>
            <w:pPr>
              <w:jc w:val="center"/>
              <w:rPr>
                <w:rFonts w:ascii="宋体" w:hAnsi="宋体"/>
                <w:bCs/>
                <w:sz w:val="22"/>
                <w:szCs w:val="24"/>
              </w:rPr>
            </w:pPr>
          </w:p>
        </w:tc>
        <w:tc>
          <w:tcPr>
            <w:tcW w:w="1272" w:type="dxa"/>
            <w:gridSpan w:val="3"/>
            <w:vAlign w:val="center"/>
          </w:tcPr>
          <w:p>
            <w:pPr>
              <w:jc w:val="center"/>
              <w:rPr>
                <w:rFonts w:ascii="宋体" w:hAnsi="宋体"/>
                <w:bCs/>
                <w:sz w:val="22"/>
                <w:szCs w:val="24"/>
              </w:rPr>
            </w:pPr>
            <w:r>
              <w:rPr>
                <w:rFonts w:hint="eastAsia" w:ascii="宋体" w:hAnsi="宋体"/>
                <w:bCs/>
                <w:sz w:val="22"/>
                <w:szCs w:val="24"/>
              </w:rPr>
              <w:t>证件号码</w:t>
            </w:r>
          </w:p>
        </w:tc>
        <w:tc>
          <w:tcPr>
            <w:tcW w:w="2449" w:type="dxa"/>
            <w:gridSpan w:val="2"/>
            <w:vAlign w:val="center"/>
          </w:tcPr>
          <w:p>
            <w:pPr>
              <w:jc w:val="center"/>
              <w:rPr>
                <w:rFonts w:ascii="宋体" w:hAnsi="宋体"/>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Align w:val="center"/>
          </w:tcPr>
          <w:p>
            <w:pPr>
              <w:jc w:val="center"/>
              <w:rPr>
                <w:rFonts w:ascii="宋体" w:hAnsi="宋体"/>
                <w:bCs/>
                <w:sz w:val="22"/>
                <w:szCs w:val="24"/>
              </w:rPr>
            </w:pPr>
            <w:r>
              <w:rPr>
                <w:rFonts w:hint="eastAsia" w:ascii="宋体" w:hAnsi="宋体"/>
                <w:bCs/>
                <w:sz w:val="22"/>
                <w:szCs w:val="24"/>
              </w:rPr>
              <w:t>联系电话</w:t>
            </w:r>
          </w:p>
        </w:tc>
        <w:tc>
          <w:tcPr>
            <w:tcW w:w="3500" w:type="dxa"/>
            <w:gridSpan w:val="4"/>
            <w:vAlign w:val="center"/>
          </w:tcPr>
          <w:p>
            <w:pPr>
              <w:jc w:val="center"/>
              <w:rPr>
                <w:rFonts w:ascii="宋体" w:hAnsi="宋体"/>
                <w:bCs/>
                <w:sz w:val="22"/>
                <w:szCs w:val="24"/>
              </w:rPr>
            </w:pPr>
          </w:p>
        </w:tc>
        <w:tc>
          <w:tcPr>
            <w:tcW w:w="1181" w:type="dxa"/>
            <w:vAlign w:val="center"/>
          </w:tcPr>
          <w:p>
            <w:pPr>
              <w:jc w:val="center"/>
              <w:rPr>
                <w:rFonts w:ascii="宋体" w:hAnsi="宋体"/>
                <w:bCs/>
                <w:sz w:val="22"/>
                <w:szCs w:val="24"/>
              </w:rPr>
            </w:pPr>
            <w:r>
              <w:rPr>
                <w:rFonts w:hint="eastAsia" w:ascii="宋体" w:hAnsi="宋体"/>
                <w:bCs/>
                <w:sz w:val="22"/>
                <w:szCs w:val="24"/>
              </w:rPr>
              <w:t>邮编</w:t>
            </w:r>
          </w:p>
        </w:tc>
        <w:tc>
          <w:tcPr>
            <w:tcW w:w="3721" w:type="dxa"/>
            <w:gridSpan w:val="5"/>
            <w:vAlign w:val="center"/>
          </w:tcPr>
          <w:p>
            <w:pPr>
              <w:jc w:val="center"/>
              <w:rPr>
                <w:rFonts w:ascii="宋体" w:hAnsi="宋体"/>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Align w:val="center"/>
          </w:tcPr>
          <w:p>
            <w:pPr>
              <w:jc w:val="center"/>
              <w:rPr>
                <w:rFonts w:ascii="宋体" w:hAnsi="宋体"/>
                <w:bCs/>
                <w:sz w:val="22"/>
                <w:szCs w:val="24"/>
              </w:rPr>
            </w:pPr>
            <w:r>
              <w:rPr>
                <w:rFonts w:hint="eastAsia" w:ascii="宋体" w:hAnsi="宋体"/>
                <w:bCs/>
                <w:sz w:val="22"/>
                <w:szCs w:val="24"/>
              </w:rPr>
              <w:t>通讯地址</w:t>
            </w:r>
          </w:p>
        </w:tc>
        <w:tc>
          <w:tcPr>
            <w:tcW w:w="8402" w:type="dxa"/>
            <w:gridSpan w:val="10"/>
            <w:vAlign w:val="center"/>
          </w:tcPr>
          <w:p>
            <w:pPr>
              <w:jc w:val="center"/>
              <w:rPr>
                <w:rFonts w:ascii="宋体" w:hAnsi="宋体"/>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5" w:type="dxa"/>
            <w:gridSpan w:val="11"/>
          </w:tcPr>
          <w:p>
            <w:pPr>
              <w:jc w:val="center"/>
              <w:rPr>
                <w:rFonts w:ascii="宋体" w:hAnsi="宋体"/>
                <w:b/>
                <w:bCs/>
                <w:sz w:val="22"/>
                <w:szCs w:val="24"/>
              </w:rPr>
            </w:pPr>
            <w:r>
              <w:rPr>
                <w:rFonts w:hint="eastAsia" w:ascii="宋体" w:hAnsi="宋体"/>
                <w:b/>
                <w:bCs/>
                <w:sz w:val="22"/>
                <w:szCs w:val="24"/>
              </w:rPr>
              <w:t>银行信息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1" w:type="dxa"/>
            <w:gridSpan w:val="2"/>
          </w:tcPr>
          <w:p>
            <w:pPr>
              <w:jc w:val="center"/>
              <w:rPr>
                <w:rFonts w:ascii="宋体" w:hAnsi="宋体"/>
                <w:bCs/>
                <w:sz w:val="22"/>
                <w:szCs w:val="24"/>
              </w:rPr>
            </w:pPr>
            <w:r>
              <w:rPr>
                <w:rFonts w:hint="eastAsia" w:ascii="宋体" w:hAnsi="宋体"/>
                <w:bCs/>
                <w:sz w:val="22"/>
                <w:szCs w:val="24"/>
              </w:rPr>
              <w:t>乙方（代销行）名称</w:t>
            </w:r>
          </w:p>
        </w:tc>
        <w:tc>
          <w:tcPr>
            <w:tcW w:w="7294" w:type="dxa"/>
            <w:gridSpan w:val="9"/>
          </w:tcPr>
          <w:p>
            <w:pPr>
              <w:ind w:firstLine="440" w:firstLineChars="200"/>
              <w:rPr>
                <w:rFonts w:ascii="宋体" w:hAnsi="宋体"/>
                <w:bCs/>
                <w:sz w:val="22"/>
                <w:szCs w:val="24"/>
                <w:u w:val="single"/>
              </w:rPr>
            </w:pPr>
            <w:r>
              <w:rPr>
                <w:rFonts w:hint="eastAsia" w:ascii="宋体" w:hAnsi="宋体"/>
                <w:bCs/>
                <w:sz w:val="22"/>
                <w:szCs w:val="24"/>
              </w:rPr>
              <w:t>湖南银行股份有限公司</w:t>
            </w:r>
            <w:r>
              <w:rPr>
                <w:rFonts w:hint="eastAsia" w:ascii="宋体" w:hAnsi="宋体"/>
                <w:bCs/>
                <w:sz w:val="22"/>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tcPr>
          <w:p>
            <w:pPr>
              <w:jc w:val="center"/>
              <w:rPr>
                <w:rFonts w:ascii="宋体" w:hAnsi="宋体"/>
                <w:bCs/>
                <w:sz w:val="22"/>
                <w:szCs w:val="24"/>
              </w:rPr>
            </w:pPr>
            <w:r>
              <w:rPr>
                <w:rFonts w:hint="eastAsia" w:ascii="宋体" w:hAnsi="宋体"/>
                <w:bCs/>
                <w:sz w:val="22"/>
                <w:szCs w:val="24"/>
              </w:rPr>
              <w:t>通讯地址</w:t>
            </w:r>
          </w:p>
        </w:tc>
        <w:tc>
          <w:tcPr>
            <w:tcW w:w="5278" w:type="dxa"/>
            <w:gridSpan w:val="7"/>
          </w:tcPr>
          <w:p>
            <w:pPr>
              <w:jc w:val="center"/>
              <w:rPr>
                <w:rFonts w:ascii="宋体" w:hAnsi="宋体"/>
                <w:bCs/>
                <w:sz w:val="22"/>
                <w:szCs w:val="24"/>
              </w:rPr>
            </w:pPr>
          </w:p>
        </w:tc>
        <w:tc>
          <w:tcPr>
            <w:tcW w:w="1249" w:type="dxa"/>
            <w:gridSpan w:val="2"/>
          </w:tcPr>
          <w:p>
            <w:pPr>
              <w:jc w:val="center"/>
              <w:rPr>
                <w:rFonts w:ascii="宋体" w:hAnsi="宋体"/>
                <w:bCs/>
                <w:sz w:val="22"/>
                <w:szCs w:val="24"/>
              </w:rPr>
            </w:pPr>
            <w:r>
              <w:rPr>
                <w:rFonts w:hint="eastAsia" w:ascii="宋体" w:hAnsi="宋体"/>
                <w:bCs/>
                <w:sz w:val="22"/>
                <w:szCs w:val="24"/>
              </w:rPr>
              <w:t>邮编</w:t>
            </w:r>
          </w:p>
        </w:tc>
        <w:tc>
          <w:tcPr>
            <w:tcW w:w="1875" w:type="dxa"/>
          </w:tcPr>
          <w:p>
            <w:pPr>
              <w:jc w:val="center"/>
              <w:rPr>
                <w:rFonts w:ascii="宋体" w:hAnsi="宋体"/>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5" w:type="dxa"/>
            <w:gridSpan w:val="11"/>
          </w:tcPr>
          <w:p>
            <w:pPr>
              <w:jc w:val="center"/>
              <w:rPr>
                <w:rFonts w:ascii="宋体" w:hAnsi="宋体"/>
                <w:b/>
                <w:bCs/>
                <w:sz w:val="22"/>
                <w:szCs w:val="24"/>
              </w:rPr>
            </w:pPr>
            <w:r>
              <w:rPr>
                <w:rFonts w:hint="eastAsia" w:ascii="宋体" w:hAnsi="宋体"/>
                <w:b/>
                <w:bCs/>
                <w:sz w:val="22"/>
                <w:szCs w:val="24"/>
              </w:rPr>
              <w:t>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tcPr>
          <w:p>
            <w:pPr>
              <w:rPr>
                <w:rFonts w:ascii="宋体" w:hAnsi="宋体"/>
                <w:bCs/>
                <w:sz w:val="22"/>
                <w:szCs w:val="24"/>
              </w:rPr>
            </w:pPr>
            <w:r>
              <w:rPr>
                <w:rFonts w:hint="eastAsia" w:ascii="宋体" w:hAnsi="宋体"/>
                <w:bCs/>
                <w:sz w:val="22"/>
                <w:szCs w:val="24"/>
              </w:rPr>
              <w:t>产品名称</w:t>
            </w:r>
          </w:p>
        </w:tc>
        <w:tc>
          <w:tcPr>
            <w:tcW w:w="3469" w:type="dxa"/>
            <w:gridSpan w:val="3"/>
          </w:tcPr>
          <w:p>
            <w:pPr>
              <w:rPr>
                <w:rFonts w:ascii="宋体" w:hAnsi="宋体"/>
                <w:bCs/>
                <w:sz w:val="22"/>
                <w:szCs w:val="24"/>
              </w:rPr>
            </w:pPr>
          </w:p>
        </w:tc>
        <w:tc>
          <w:tcPr>
            <w:tcW w:w="1778" w:type="dxa"/>
            <w:gridSpan w:val="3"/>
          </w:tcPr>
          <w:p>
            <w:pPr>
              <w:rPr>
                <w:rFonts w:ascii="宋体" w:hAnsi="宋体"/>
                <w:bCs/>
                <w:sz w:val="22"/>
                <w:szCs w:val="24"/>
              </w:rPr>
            </w:pPr>
            <w:r>
              <w:rPr>
                <w:rFonts w:hint="eastAsia" w:ascii="宋体" w:hAnsi="宋体"/>
                <w:bCs/>
                <w:sz w:val="22"/>
                <w:szCs w:val="24"/>
              </w:rPr>
              <w:t>登记编码</w:t>
            </w:r>
          </w:p>
        </w:tc>
        <w:tc>
          <w:tcPr>
            <w:tcW w:w="3155" w:type="dxa"/>
            <w:gridSpan w:val="4"/>
          </w:tcPr>
          <w:p>
            <w:pPr>
              <w:rPr>
                <w:rFonts w:ascii="宋体" w:hAnsi="宋体"/>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tcPr>
          <w:p>
            <w:pPr>
              <w:rPr>
                <w:rFonts w:ascii="宋体" w:hAnsi="宋体"/>
                <w:bCs/>
                <w:sz w:val="22"/>
                <w:szCs w:val="24"/>
              </w:rPr>
            </w:pPr>
            <w:r>
              <w:rPr>
                <w:rFonts w:hint="eastAsia" w:ascii="宋体" w:hAnsi="宋体"/>
                <w:bCs/>
                <w:sz w:val="22"/>
                <w:szCs w:val="24"/>
              </w:rPr>
              <w:t>产品编号</w:t>
            </w:r>
          </w:p>
        </w:tc>
        <w:tc>
          <w:tcPr>
            <w:tcW w:w="3469" w:type="dxa"/>
            <w:gridSpan w:val="3"/>
          </w:tcPr>
          <w:p>
            <w:pPr>
              <w:rPr>
                <w:rFonts w:ascii="宋体" w:hAnsi="宋体"/>
                <w:bCs/>
                <w:sz w:val="22"/>
                <w:szCs w:val="24"/>
              </w:rPr>
            </w:pPr>
          </w:p>
        </w:tc>
        <w:tc>
          <w:tcPr>
            <w:tcW w:w="1778" w:type="dxa"/>
            <w:gridSpan w:val="3"/>
          </w:tcPr>
          <w:p>
            <w:pPr>
              <w:rPr>
                <w:rFonts w:ascii="宋体" w:hAnsi="宋体"/>
                <w:bCs/>
                <w:sz w:val="22"/>
                <w:szCs w:val="24"/>
              </w:rPr>
            </w:pPr>
            <w:r>
              <w:rPr>
                <w:rFonts w:hint="eastAsia" w:ascii="宋体" w:hAnsi="宋体"/>
                <w:bCs/>
                <w:sz w:val="22"/>
                <w:szCs w:val="24"/>
              </w:rPr>
              <w:t>投资币种</w:t>
            </w:r>
          </w:p>
        </w:tc>
        <w:tc>
          <w:tcPr>
            <w:tcW w:w="3155" w:type="dxa"/>
            <w:gridSpan w:val="4"/>
          </w:tcPr>
          <w:p>
            <w:pPr>
              <w:rPr>
                <w:rFonts w:ascii="宋体" w:hAnsi="宋体"/>
                <w:bCs/>
                <w:sz w:val="22"/>
                <w:szCs w:val="24"/>
              </w:rPr>
            </w:pPr>
            <w:r>
              <w:rPr>
                <w:rFonts w:hint="eastAsia" w:ascii="宋体" w:hAnsi="宋体"/>
                <w:bCs/>
                <w:sz w:val="22"/>
                <w:szCs w:val="24"/>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5" w:type="dxa"/>
            <w:gridSpan w:val="11"/>
          </w:tcPr>
          <w:p>
            <w:pPr>
              <w:rPr>
                <w:rFonts w:ascii="宋体" w:hAnsi="宋体"/>
                <w:bCs/>
                <w:sz w:val="22"/>
                <w:szCs w:val="24"/>
                <w:u w:val="single"/>
              </w:rPr>
            </w:pPr>
            <w:r>
              <w:rPr>
                <w:rFonts w:hint="eastAsia" w:ascii="宋体" w:hAnsi="宋体"/>
                <w:bCs/>
                <w:sz w:val="22"/>
                <w:szCs w:val="24"/>
              </w:rPr>
              <w:t>甲方购买金额为（小写）：         元；大写：       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5" w:type="dxa"/>
            <w:gridSpan w:val="11"/>
          </w:tcPr>
          <w:p>
            <w:pPr>
              <w:jc w:val="center"/>
              <w:rPr>
                <w:rFonts w:ascii="宋体" w:hAnsi="宋体"/>
                <w:b/>
                <w:bCs/>
                <w:sz w:val="22"/>
                <w:szCs w:val="24"/>
              </w:rPr>
            </w:pPr>
            <w:r>
              <w:rPr>
                <w:rFonts w:hint="eastAsia" w:ascii="宋体" w:hAnsi="宋体"/>
                <w:b/>
                <w:bCs/>
                <w:sz w:val="22"/>
                <w:szCs w:val="24"/>
              </w:rPr>
              <w:t>账户信息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5" w:type="dxa"/>
            <w:gridSpan w:val="11"/>
          </w:tcPr>
          <w:p>
            <w:pPr>
              <w:jc w:val="left"/>
              <w:rPr>
                <w:rFonts w:ascii="宋体" w:hAnsi="宋体"/>
                <w:bCs/>
                <w:sz w:val="22"/>
                <w:szCs w:val="21"/>
              </w:rPr>
            </w:pPr>
            <w:r>
              <w:rPr>
                <w:rFonts w:hint="eastAsia" w:ascii="宋体" w:hAnsi="宋体"/>
                <w:bCs/>
                <w:sz w:val="22"/>
                <w:szCs w:val="21"/>
              </w:rPr>
              <w:t>甲方在乙方开立的结算账户（以下简称</w:t>
            </w:r>
            <w:r>
              <w:rPr>
                <w:rFonts w:hint="eastAsia" w:ascii="宋体" w:hAnsi="宋体"/>
                <w:sz w:val="22"/>
                <w:szCs w:val="21"/>
              </w:rPr>
              <w:t>委托理财账户</w:t>
            </w:r>
            <w:r>
              <w:rPr>
                <w:rFonts w:hint="eastAsia" w:ascii="宋体" w:hAnsi="宋体"/>
                <w:bCs/>
                <w:sz w:val="22"/>
                <w:szCs w:val="21"/>
              </w:rPr>
              <w:t>），用于本理财产品的资金划转及产品支付：</w:t>
            </w:r>
          </w:p>
          <w:p>
            <w:pPr>
              <w:jc w:val="center"/>
              <w:rPr>
                <w:rFonts w:ascii="宋体" w:hAnsi="宋体"/>
                <w:bCs/>
                <w:sz w:val="22"/>
                <w:szCs w:val="24"/>
                <w:u w:val="single"/>
              </w:rPr>
            </w:pPr>
            <w:r>
              <w:rPr>
                <w:rFonts w:hint="eastAsia" w:ascii="宋体" w:hAnsi="宋体"/>
                <w:bCs/>
                <w:sz w:val="22"/>
                <w:szCs w:val="24"/>
              </w:rPr>
              <w:t>账号：</w:t>
            </w:r>
            <w:r>
              <w:rPr>
                <w:rFonts w:hint="eastAsia" w:ascii="宋体" w:hAnsi="宋体"/>
                <w:bCs/>
                <w:sz w:val="22"/>
                <w:szCs w:val="24"/>
                <w:u w:val="single"/>
              </w:rPr>
              <w:t xml:space="preserve">                             </w:t>
            </w:r>
            <w:r>
              <w:rPr>
                <w:rFonts w:hint="eastAsia" w:ascii="宋体" w:hAnsi="宋体"/>
                <w:bCs/>
                <w:sz w:val="22"/>
                <w:szCs w:val="24"/>
              </w:rPr>
              <w:t>；开户行</w:t>
            </w:r>
            <w:r>
              <w:rPr>
                <w:rFonts w:hint="eastAsia" w:ascii="宋体" w:hAnsi="宋体"/>
                <w:bCs/>
                <w:sz w:val="22"/>
                <w:szCs w:val="24"/>
                <w:u w:val="single"/>
              </w:rPr>
              <w:t xml:space="preserve">：                           </w:t>
            </w:r>
            <w:r>
              <w:rPr>
                <w:rFonts w:hint="eastAsia" w:ascii="宋体" w:hAnsi="宋体"/>
                <w:bCs/>
                <w:sz w:val="22"/>
                <w:szCs w:val="24"/>
              </w:rPr>
              <w:t>。</w:t>
            </w:r>
          </w:p>
        </w:tc>
      </w:tr>
    </w:tbl>
    <w:p>
      <w:pPr>
        <w:jc w:val="center"/>
      </w:pPr>
    </w:p>
    <w:p>
      <w:r>
        <w:rPr>
          <w:rFonts w:hint="eastAsia"/>
        </w:rPr>
        <w:t>甲方自愿购买本理财产品，双方经平等协商，签订本协议。本协议为规范甲乙双方在理财业务中权利和义务的法律文件。本协议的甲方指客户，下称“您”；乙方指“湖南银行”。</w:t>
      </w:r>
    </w:p>
    <w:p>
      <w:r>
        <w:rPr>
          <w:rFonts w:hint="eastAsia"/>
        </w:rPr>
        <w:t>一、重要提示</w:t>
      </w:r>
    </w:p>
    <w:p>
      <w:r>
        <w:t>1、本产品非乙方所发行的理财产品，乙方仅作为本产品的代理销售机构，</w:t>
      </w:r>
      <w:r>
        <w:rPr>
          <w:rFonts w:hint="eastAsia"/>
        </w:rPr>
        <w:t>非本产品的发行机构与管理机构，对本产品的业绩不承担任何保证和其他经济责任，不承担本产品的投资、兑付和风险管理责任。乙方受理的代销理财产品业务申请，以产品</w:t>
      </w:r>
      <w:r>
        <w:rPr>
          <w:rFonts w:hint="eastAsia"/>
          <w:lang w:eastAsia="zh-CN"/>
        </w:rPr>
        <w:t>发行管理机构</w:t>
      </w:r>
      <w:r>
        <w:rPr>
          <w:rFonts w:hint="eastAsia"/>
        </w:rPr>
        <w:t>的最终确认结果为准。</w:t>
      </w:r>
    </w:p>
    <w:p>
      <w:r>
        <w:t>2、本产品可能面临信用风险、市场风险、流动性风险等风险因素，具体详</w:t>
      </w:r>
      <w:r>
        <w:rPr>
          <w:rFonts w:hint="eastAsia"/>
        </w:rPr>
        <w:t>见《风险揭示书》。</w:t>
      </w:r>
      <w:r>
        <w:rPr>
          <w:rFonts w:hint="eastAsia"/>
          <w:b/>
          <w:bCs/>
        </w:rPr>
        <w:t>该等风险管理责任由产品</w:t>
      </w:r>
      <w:r>
        <w:rPr>
          <w:rFonts w:hint="eastAsia"/>
          <w:b/>
          <w:bCs/>
          <w:lang w:eastAsia="zh-CN"/>
        </w:rPr>
        <w:t>发行管理机构</w:t>
      </w:r>
      <w:r>
        <w:rPr>
          <w:rFonts w:hint="eastAsia"/>
          <w:b/>
          <w:bCs/>
        </w:rPr>
        <w:t>承担，乙方不承担产品的风险管理责任。</w:t>
      </w:r>
      <w:r>
        <w:rPr>
          <w:rFonts w:hint="eastAsia"/>
        </w:rPr>
        <w:t>产品费用收取情况详见《产品说明书》。您在签署本协议前，应当详细阅读本产品</w:t>
      </w:r>
      <w:r>
        <w:rPr>
          <w:rFonts w:hint="eastAsia"/>
          <w:lang w:eastAsia="zh-CN"/>
        </w:rPr>
        <w:t>发行管理机构</w:t>
      </w:r>
      <w:r>
        <w:rPr>
          <w:rFonts w:hint="eastAsia"/>
        </w:rPr>
        <w:t>提供的《产品说明书》、《风险揭示书》、《投资者权益须知》、理财产品</w:t>
      </w:r>
      <w:r>
        <w:rPr>
          <w:rFonts w:hint="eastAsia"/>
          <w:lang w:eastAsia="zh-CN"/>
        </w:rPr>
        <w:t>发行管理机构</w:t>
      </w:r>
      <w:r>
        <w:rPr>
          <w:rFonts w:hint="eastAsia"/>
        </w:rPr>
        <w:t>的《销售协议书》等理财产品销售文件（以下统称“产品</w:t>
      </w:r>
      <w:r>
        <w:rPr>
          <w:rFonts w:hint="eastAsia"/>
          <w:lang w:eastAsia="zh-CN"/>
        </w:rPr>
        <w:t>发行管理机构</w:t>
      </w:r>
      <w:r>
        <w:rPr>
          <w:rFonts w:hint="eastAsia"/>
        </w:rPr>
        <w:t>销售文件”），并充分了解投资者的全部权利与义务。本协议与产品</w:t>
      </w:r>
      <w:r>
        <w:rPr>
          <w:rFonts w:hint="eastAsia"/>
          <w:lang w:eastAsia="zh-CN"/>
        </w:rPr>
        <w:t>发行管理机构</w:t>
      </w:r>
      <w:r>
        <w:rPr>
          <w:rFonts w:hint="eastAsia"/>
        </w:rPr>
        <w:t>销售文件不一致的，以产品</w:t>
      </w:r>
      <w:r>
        <w:rPr>
          <w:rFonts w:hint="eastAsia"/>
          <w:lang w:eastAsia="zh-CN"/>
        </w:rPr>
        <w:t>发行管理机构</w:t>
      </w:r>
      <w:r>
        <w:rPr>
          <w:rFonts w:hint="eastAsia"/>
        </w:rPr>
        <w:t>销售文件为准。</w:t>
      </w:r>
    </w:p>
    <w:p>
      <w:r>
        <w:t>3、</w:t>
      </w:r>
      <w:r>
        <w:rPr>
          <w:rFonts w:hint="eastAsia" w:ascii="宋体" w:hAnsi="宋体" w:cs="宋体"/>
        </w:rPr>
        <w:t>本行根据自身管理制度和要求及自行确定的内部标准，将理财产品的风险等级分为五级，按照产品风险从低到高的顺序依次为：</w:t>
      </w:r>
      <w:r>
        <w:rPr>
          <w:rFonts w:hint="eastAsia" w:ascii="宋体" w:hAnsi="宋体" w:cs="宋体"/>
          <w:b/>
        </w:rPr>
        <w:t>低风险、中低风险、中等风险、中高风险和高风险</w:t>
      </w:r>
      <w:r>
        <w:t>五个风险等级。</w:t>
      </w:r>
      <w:r>
        <w:rPr>
          <w:rFonts w:hint="eastAsia"/>
        </w:rPr>
        <w:t>根据理财产品风险等级和客户风险承受能力类型评级不同，理财客户适合购买的产品风险类型亦有不同，具体为向下兼容，如下表所示。</w:t>
      </w:r>
      <w:r>
        <w:rPr>
          <w:b/>
        </w:rPr>
        <w:t>乙方提醒您注意：请您根据您的风险承受</w:t>
      </w:r>
      <w:r>
        <w:rPr>
          <w:rFonts w:hint="eastAsia"/>
          <w:b/>
        </w:rPr>
        <w:t>能力评估结果选择与您风险承受能力相匹配的理财产品，不得购买高于您风险承受能力的理财产品。</w:t>
      </w:r>
    </w:p>
    <w:tbl>
      <w:tblPr>
        <w:tblStyle w:val="7"/>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1260"/>
        <w:gridCol w:w="1620"/>
        <w:gridCol w:w="1620"/>
        <w:gridCol w:w="162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5" w:type="dxa"/>
            <w:tcBorders>
              <w:top w:val="single" w:color="auto" w:sz="4" w:space="0"/>
              <w:left w:val="single" w:color="auto" w:sz="4" w:space="0"/>
              <w:bottom w:val="single" w:color="auto" w:sz="4" w:space="0"/>
              <w:right w:val="single" w:color="auto" w:sz="4" w:space="0"/>
            </w:tcBorders>
          </w:tcPr>
          <w:p>
            <w:pPr>
              <w:pStyle w:val="12"/>
              <w:spacing w:line="360" w:lineRule="auto"/>
              <w:ind w:firstLine="0" w:firstLineChars="0"/>
              <w:jc w:val="right"/>
              <w:rPr>
                <w:rFonts w:ascii="仿宋_GB2312" w:hAnsi="Calibri"/>
                <w:b/>
                <w:sz w:val="21"/>
                <w:szCs w:val="21"/>
              </w:rPr>
            </w:pPr>
            <w:r>
              <w:rPr>
                <w:rFonts w:ascii="宋体" w:hAnsi="宋体" w:cs="宋体"/>
                <w:b/>
                <w:sz w:val="21"/>
                <w:szCs w:val="21"/>
              </w:rPr>
              <mc:AlternateContent>
                <mc:Choice Requires="wps">
                  <w:drawing>
                    <wp:anchor distT="0" distB="0" distL="114300" distR="114300" simplePos="0" relativeHeight="251659264" behindDoc="0" locked="0" layoutInCell="1" allowOverlap="1">
                      <wp:simplePos x="0" y="0"/>
                      <wp:positionH relativeFrom="column">
                        <wp:posOffset>-50800</wp:posOffset>
                      </wp:positionH>
                      <wp:positionV relativeFrom="paragraph">
                        <wp:posOffset>24765</wp:posOffset>
                      </wp:positionV>
                      <wp:extent cx="1205865" cy="669925"/>
                      <wp:effectExtent l="6350" t="5715" r="6985" b="1016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205865" cy="669925"/>
                              </a:xfrm>
                              <a:prstGeom prst="line">
                                <a:avLst/>
                              </a:prstGeom>
                              <a:noFill/>
                              <a:ln w="6350">
                                <a:solidFill>
                                  <a:srgbClr val="000000"/>
                                </a:solidFill>
                                <a:round/>
                              </a:ln>
                            </wps:spPr>
                            <wps:bodyPr/>
                          </wps:wsp>
                        </a:graphicData>
                      </a:graphic>
                    </wp:anchor>
                  </w:drawing>
                </mc:Choice>
                <mc:Fallback>
                  <w:pict>
                    <v:line id="直接连接符 3" o:spid="_x0000_s1026" o:spt="20" style="position:absolute;left:0pt;margin-left:-4pt;margin-top:1.95pt;height:52.75pt;width:94.95pt;z-index:251659264;mso-width-relative:page;mso-height-relative:page;" filled="f" stroked="t" coordsize="21600,21600" o:gfxdata="UEsFBgAAAAAAAAAAAAAAAAAAAAAAAFBLAwQKAAAAAACHTuJAAAAAAAAAAAAAAAAABAAAAGRycy9Q SwMEFAAAAAgAh07iQJzRQNLVAAAACAEAAA8AAABkcnMvZG93bnJldi54bWxNj8FOwzAQRO9I/IO1 SNxa20BQmsbpASmICwcK4uzGbhJhr6N4Gxe+HvcEt1nNaPZNvTt7xxY7xzGgArkWwCx2wYzYK/h4 b1clsEgajXYBrYJvG2HXXF/VujIh4Ztd9tSzXIKx0goGoqniPHaD9Tquw2Qxe8cwe035nHtuZp1y uXf8TohH7vWI+cOgJ/s02O5rf/IKUNKnS4nSMv8Uz4Us2hfx2ip1eyPFFhjZM/2F4YKf0aHJTIdw QhOZU7Aq8xRScL8BdrFLmcUhC7F5AN7U/P+A5hdQSwMEFAAAAAgAh07iQEESB0PpAQAArwMAAA4A AABkcnMvZTJvRG9jLnhtbK1TzW4TMRC+I/EOlu9kN6kStatsekhULgUitTzAxOvNWtgey3ayyUvw Akjc4MSRO29DeQzGzg+0XHpgD5bHM/PNfN/MTq93RrOt9EGhrflwUHImrcBG2XXN39/fvLrkLESw DWi0suZ7Gfj17OWLae8qOcIOdSM9IxAbqt7VvIvRVUURRCcNhAE6acnZojcQyfTrovHQE7rRxags J0WPvnEehQyBXhcHJz8i+ucAYtsqIRcoNkbaeED1UkMkSqFTLvBZ7rZtpYjv2jbIyHTNiWnMJxWh +yqdxWwK1dqD65Q4tgDPaeEJJwPKUtEz1AIisI1X/0AZJTwGbONAoCkORLIixGJYPtHmrgMnMxeS Oriz6OH/wYq326VnqqFN4MyCoYE/fPr+8+OXXz8+0/nw7Su7SCL1LlQUO7dLn2iKnb1ztyg+BGZx 3oFdy9zs/d4RwjBlFI9SkhEclVr1b7ChGNhEzIrtWm8SJGnBdnkw+/Ng5C4yQY/DUTm+nIw5E+Sb TK6uRuNcAqpTtvMhvpZoWLrUXCubhIMKtrchpm6gOoWkZ4s3Sus8fG1ZT6AX4zInBNSqSc4UFvx6 NdeebSGtT/6OdR+FedzY5lBE2yPzRPYg2wqb/dKfFKE55m6OO5cW5W87Z//5z2a/AV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JzRQNLVAAAACAEAAA8AAAAAAAAAAQAgAAAAOAAAAGRycy9kb3ducmV2 LnhtbFBLAQIUABQAAAAIAIdO4kBBEgdD6QEAAK8DAAAOAAAAAAAAAAEAIAAAADoBAABkcnMvZTJv RG9jLnhtbFBLBQYAAAAABgAGAFkBAACVBQAAAAA= ">
                      <v:fill on="f" focussize="0,0"/>
                      <v:stroke weight="0.5pt" color="#000000" joinstyle="round"/>
                      <v:imagedata o:title=""/>
                      <o:lock v:ext="edit" aspectratio="f"/>
                    </v:line>
                  </w:pict>
                </mc:Fallback>
              </mc:AlternateContent>
            </w:r>
            <w:r>
              <w:rPr>
                <w:rFonts w:hint="eastAsia" w:ascii="宋体" w:hAnsi="宋体" w:cs="宋体"/>
                <w:b/>
                <w:sz w:val="21"/>
                <w:szCs w:val="21"/>
              </w:rPr>
              <w:t>产品风险情况</w:t>
            </w:r>
          </w:p>
          <w:p>
            <w:pPr>
              <w:pStyle w:val="12"/>
              <w:spacing w:line="240" w:lineRule="atLeast"/>
              <w:ind w:firstLine="0" w:firstLineChars="0"/>
              <w:rPr>
                <w:rFonts w:ascii="仿宋_GB2312" w:hAnsi="Calibri"/>
                <w:b/>
                <w:sz w:val="21"/>
                <w:szCs w:val="21"/>
              </w:rPr>
            </w:pPr>
            <w:r>
              <w:rPr>
                <w:rFonts w:hint="eastAsia" w:ascii="宋体" w:hAnsi="宋体" w:cs="宋体"/>
                <w:b/>
                <w:sz w:val="21"/>
                <w:szCs w:val="21"/>
              </w:rPr>
              <w:t>投资者</w:t>
            </w:r>
          </w:p>
          <w:p>
            <w:pPr>
              <w:pStyle w:val="12"/>
              <w:spacing w:line="240" w:lineRule="atLeast"/>
              <w:ind w:firstLine="0" w:firstLineChars="0"/>
              <w:rPr>
                <w:rFonts w:ascii="仿宋_GB2312" w:hAnsi="Calibri"/>
                <w:sz w:val="21"/>
                <w:szCs w:val="21"/>
              </w:rPr>
            </w:pPr>
            <w:r>
              <w:rPr>
                <w:rFonts w:hint="eastAsia" w:ascii="宋体" w:hAnsi="宋体" w:cs="宋体"/>
                <w:b/>
                <w:sz w:val="21"/>
                <w:szCs w:val="21"/>
              </w:rPr>
              <w:t>风险类型</w:t>
            </w:r>
          </w:p>
        </w:tc>
        <w:tc>
          <w:tcPr>
            <w:tcW w:w="1260" w:type="dxa"/>
            <w:tcBorders>
              <w:top w:val="single" w:color="auto" w:sz="4" w:space="0"/>
              <w:left w:val="single" w:color="auto" w:sz="4" w:space="0"/>
              <w:bottom w:val="single" w:color="auto" w:sz="4" w:space="0"/>
              <w:right w:val="single" w:color="auto" w:sz="4" w:space="0"/>
            </w:tcBorders>
            <w:vAlign w:val="center"/>
          </w:tcPr>
          <w:p>
            <w:pPr>
              <w:pStyle w:val="12"/>
              <w:spacing w:line="360" w:lineRule="auto"/>
              <w:ind w:firstLine="0" w:firstLineChars="0"/>
              <w:jc w:val="center"/>
              <w:rPr>
                <w:rFonts w:ascii="仿宋_GB2312" w:hAnsi="Calibri"/>
                <w:sz w:val="21"/>
                <w:szCs w:val="21"/>
              </w:rPr>
            </w:pPr>
            <w:r>
              <w:rPr>
                <w:rFonts w:hint="eastAsia" w:ascii="宋体" w:hAnsi="宋体" w:cs="宋体"/>
                <w:sz w:val="21"/>
                <w:szCs w:val="21"/>
              </w:rPr>
              <w:t>低风险</w:t>
            </w:r>
          </w:p>
        </w:tc>
        <w:tc>
          <w:tcPr>
            <w:tcW w:w="1620" w:type="dxa"/>
            <w:tcBorders>
              <w:top w:val="single" w:color="auto" w:sz="4" w:space="0"/>
              <w:left w:val="single" w:color="auto" w:sz="4" w:space="0"/>
              <w:bottom w:val="single" w:color="auto" w:sz="4" w:space="0"/>
              <w:right w:val="single" w:color="auto" w:sz="4" w:space="0"/>
            </w:tcBorders>
            <w:vAlign w:val="center"/>
          </w:tcPr>
          <w:p>
            <w:pPr>
              <w:pStyle w:val="12"/>
              <w:spacing w:line="360" w:lineRule="auto"/>
              <w:ind w:firstLine="0" w:firstLineChars="0"/>
              <w:jc w:val="center"/>
              <w:rPr>
                <w:rFonts w:ascii="仿宋_GB2312" w:hAnsi="Calibri"/>
                <w:sz w:val="21"/>
                <w:szCs w:val="21"/>
              </w:rPr>
            </w:pPr>
            <w:r>
              <w:rPr>
                <w:rFonts w:hint="eastAsia" w:ascii="宋体" w:hAnsi="宋体" w:cs="宋体"/>
                <w:sz w:val="21"/>
                <w:szCs w:val="21"/>
              </w:rPr>
              <w:t>中低风险</w:t>
            </w:r>
          </w:p>
        </w:tc>
        <w:tc>
          <w:tcPr>
            <w:tcW w:w="1620" w:type="dxa"/>
            <w:tcBorders>
              <w:top w:val="single" w:color="auto" w:sz="4" w:space="0"/>
              <w:left w:val="single" w:color="auto" w:sz="4" w:space="0"/>
              <w:bottom w:val="single" w:color="auto" w:sz="4" w:space="0"/>
              <w:right w:val="single" w:color="auto" w:sz="4" w:space="0"/>
            </w:tcBorders>
            <w:vAlign w:val="center"/>
          </w:tcPr>
          <w:p>
            <w:pPr>
              <w:pStyle w:val="12"/>
              <w:spacing w:line="360" w:lineRule="auto"/>
              <w:ind w:firstLine="0" w:firstLineChars="0"/>
              <w:jc w:val="center"/>
              <w:rPr>
                <w:rFonts w:ascii="仿宋_GB2312" w:hAnsi="Calibri"/>
                <w:sz w:val="21"/>
                <w:szCs w:val="21"/>
              </w:rPr>
            </w:pPr>
            <w:r>
              <w:rPr>
                <w:rFonts w:hint="eastAsia" w:ascii="宋体" w:hAnsi="宋体" w:cs="宋体"/>
                <w:sz w:val="21"/>
                <w:szCs w:val="21"/>
              </w:rPr>
              <w:t>中等风险</w:t>
            </w:r>
          </w:p>
        </w:tc>
        <w:tc>
          <w:tcPr>
            <w:tcW w:w="1620" w:type="dxa"/>
            <w:tcBorders>
              <w:top w:val="single" w:color="auto" w:sz="4" w:space="0"/>
              <w:left w:val="single" w:color="auto" w:sz="4" w:space="0"/>
              <w:bottom w:val="single" w:color="auto" w:sz="4" w:space="0"/>
              <w:right w:val="single" w:color="auto" w:sz="4" w:space="0"/>
            </w:tcBorders>
            <w:vAlign w:val="center"/>
          </w:tcPr>
          <w:p>
            <w:pPr>
              <w:pStyle w:val="12"/>
              <w:spacing w:line="360" w:lineRule="auto"/>
              <w:ind w:firstLine="0" w:firstLineChars="0"/>
              <w:jc w:val="center"/>
              <w:rPr>
                <w:rFonts w:ascii="仿宋_GB2312" w:hAnsi="Calibri"/>
                <w:sz w:val="21"/>
                <w:szCs w:val="21"/>
              </w:rPr>
            </w:pPr>
            <w:r>
              <w:rPr>
                <w:rFonts w:hint="eastAsia" w:ascii="宋体" w:hAnsi="宋体" w:cs="宋体"/>
                <w:sz w:val="21"/>
                <w:szCs w:val="21"/>
              </w:rPr>
              <w:t>中高风险</w:t>
            </w:r>
          </w:p>
        </w:tc>
        <w:tc>
          <w:tcPr>
            <w:tcW w:w="1440" w:type="dxa"/>
            <w:tcBorders>
              <w:top w:val="single" w:color="auto" w:sz="4" w:space="0"/>
              <w:left w:val="single" w:color="auto" w:sz="4" w:space="0"/>
              <w:bottom w:val="single" w:color="auto" w:sz="4" w:space="0"/>
              <w:right w:val="single" w:color="auto" w:sz="4" w:space="0"/>
            </w:tcBorders>
            <w:vAlign w:val="center"/>
          </w:tcPr>
          <w:p>
            <w:pPr>
              <w:pStyle w:val="12"/>
              <w:spacing w:line="360" w:lineRule="auto"/>
              <w:ind w:firstLine="0" w:firstLineChars="0"/>
              <w:jc w:val="center"/>
              <w:rPr>
                <w:rFonts w:ascii="仿宋_GB2312" w:hAnsi="Calibri"/>
                <w:sz w:val="21"/>
                <w:szCs w:val="21"/>
              </w:rPr>
            </w:pPr>
            <w:r>
              <w:rPr>
                <w:rFonts w:hint="eastAsia" w:ascii="宋体" w:hAnsi="宋体" w:cs="宋体"/>
                <w:sz w:val="21"/>
                <w:szCs w:val="21"/>
              </w:rPr>
              <w:t>高风险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5" w:type="dxa"/>
            <w:tcBorders>
              <w:top w:val="single" w:color="auto" w:sz="4" w:space="0"/>
              <w:left w:val="single" w:color="auto" w:sz="4" w:space="0"/>
              <w:bottom w:val="single" w:color="auto" w:sz="4" w:space="0"/>
              <w:right w:val="single" w:color="auto" w:sz="4" w:space="0"/>
            </w:tcBorders>
          </w:tcPr>
          <w:p>
            <w:pPr>
              <w:pStyle w:val="12"/>
              <w:spacing w:line="360" w:lineRule="auto"/>
              <w:ind w:firstLine="0" w:firstLineChars="0"/>
              <w:rPr>
                <w:rFonts w:ascii="仿宋_GB2312" w:hAnsi="Calibri"/>
                <w:b/>
                <w:sz w:val="21"/>
                <w:szCs w:val="21"/>
              </w:rPr>
            </w:pPr>
            <w:r>
              <w:rPr>
                <w:rFonts w:hint="eastAsia" w:ascii="宋体" w:hAnsi="宋体" w:cs="宋体"/>
                <w:b/>
                <w:sz w:val="21"/>
                <w:szCs w:val="21"/>
              </w:rPr>
              <w:t>激进型</w:t>
            </w:r>
          </w:p>
        </w:tc>
        <w:tc>
          <w:tcPr>
            <w:tcW w:w="1260"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ascii="仿宋_GB2312"/>
                <w:szCs w:val="21"/>
              </w:rPr>
              <w:t>适合</w:t>
            </w:r>
          </w:p>
        </w:tc>
        <w:tc>
          <w:tcPr>
            <w:tcW w:w="1440" w:type="dxa"/>
            <w:tcBorders>
              <w:top w:val="single" w:color="auto" w:sz="4" w:space="0"/>
              <w:left w:val="single" w:color="auto" w:sz="4" w:space="0"/>
              <w:bottom w:val="single" w:color="auto" w:sz="4" w:space="0"/>
              <w:right w:val="single" w:color="auto" w:sz="4" w:space="0"/>
            </w:tcBorders>
          </w:tcPr>
          <w:p>
            <w:pPr>
              <w:pStyle w:val="12"/>
              <w:spacing w:line="360" w:lineRule="auto"/>
              <w:ind w:right="-122" w:rightChars="-58" w:firstLine="0" w:firstLineChars="0"/>
              <w:jc w:val="center"/>
              <w:rPr>
                <w:rFonts w:ascii="仿宋_GB2312" w:hAnsi="Calibri"/>
                <w:b/>
                <w:sz w:val="21"/>
                <w:szCs w:val="21"/>
              </w:rPr>
            </w:pPr>
            <w:r>
              <w:rPr>
                <w:rFonts w:hint="eastAsia" w:ascii="宋体" w:hAnsi="宋体" w:cs="宋体"/>
                <w:sz w:val="21"/>
                <w:szCs w:val="21"/>
              </w:rPr>
              <w:t>适合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5" w:type="dxa"/>
            <w:tcBorders>
              <w:top w:val="single" w:color="auto" w:sz="4" w:space="0"/>
              <w:left w:val="single" w:color="auto" w:sz="4" w:space="0"/>
              <w:bottom w:val="single" w:color="auto" w:sz="4" w:space="0"/>
              <w:right w:val="single" w:color="auto" w:sz="4" w:space="0"/>
            </w:tcBorders>
            <w:shd w:val="clear" w:color="auto" w:fill="auto"/>
          </w:tcPr>
          <w:p>
            <w:pPr>
              <w:pStyle w:val="12"/>
              <w:spacing w:line="360" w:lineRule="auto"/>
              <w:ind w:firstLine="0" w:firstLineChars="0"/>
              <w:rPr>
                <w:rFonts w:ascii="仿宋_GB2312" w:hAnsi="Calibri"/>
                <w:b/>
                <w:sz w:val="21"/>
                <w:szCs w:val="21"/>
              </w:rPr>
            </w:pPr>
            <w:r>
              <w:rPr>
                <w:rFonts w:hint="eastAsia" w:ascii="宋体" w:hAnsi="宋体" w:cs="宋体"/>
                <w:b/>
                <w:sz w:val="21"/>
                <w:szCs w:val="21"/>
              </w:rPr>
              <w:t>进取型</w:t>
            </w:r>
          </w:p>
        </w:tc>
        <w:tc>
          <w:tcPr>
            <w:tcW w:w="126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440" w:type="dxa"/>
            <w:tcBorders>
              <w:top w:val="single" w:color="auto" w:sz="4" w:space="0"/>
              <w:left w:val="single" w:color="auto" w:sz="4" w:space="0"/>
              <w:bottom w:val="single" w:color="auto" w:sz="4" w:space="0"/>
              <w:right w:val="single" w:color="auto" w:sz="4" w:space="0"/>
            </w:tcBorders>
            <w:shd w:val="clear" w:color="auto" w:fill="E6E6E6"/>
          </w:tcPr>
          <w:p>
            <w:pPr>
              <w:jc w:val="center"/>
              <w:rPr>
                <w:rFonts w:ascii="黑体" w:eastAsia="黑体"/>
                <w:szCs w:val="21"/>
              </w:rPr>
            </w:pPr>
            <w:r>
              <w:rPr>
                <w:rFonts w:hint="eastAsia" w:ascii="黑体" w:eastAsia="黑体"/>
                <w:szCs w:val="21"/>
              </w:rPr>
              <w:t>不适合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5" w:type="dxa"/>
            <w:tcBorders>
              <w:top w:val="single" w:color="auto" w:sz="4" w:space="0"/>
              <w:left w:val="single" w:color="auto" w:sz="4" w:space="0"/>
              <w:bottom w:val="single" w:color="auto" w:sz="4" w:space="0"/>
              <w:right w:val="single" w:color="auto" w:sz="4" w:space="0"/>
            </w:tcBorders>
            <w:shd w:val="clear" w:color="auto" w:fill="auto"/>
          </w:tcPr>
          <w:p>
            <w:pPr>
              <w:pStyle w:val="12"/>
              <w:spacing w:line="360" w:lineRule="auto"/>
              <w:ind w:firstLine="0" w:firstLineChars="0"/>
              <w:rPr>
                <w:rFonts w:ascii="仿宋_GB2312" w:hAnsi="Calibri"/>
                <w:b/>
                <w:sz w:val="21"/>
                <w:szCs w:val="21"/>
              </w:rPr>
            </w:pPr>
            <w:r>
              <w:rPr>
                <w:rFonts w:hint="eastAsia" w:ascii="宋体" w:hAnsi="宋体" w:cs="宋体"/>
                <w:b/>
                <w:sz w:val="21"/>
                <w:szCs w:val="21"/>
              </w:rPr>
              <w:t>稳健型</w:t>
            </w:r>
          </w:p>
        </w:tc>
        <w:tc>
          <w:tcPr>
            <w:tcW w:w="126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E6E6E6"/>
          </w:tcPr>
          <w:p>
            <w:pPr>
              <w:jc w:val="center"/>
              <w:rPr>
                <w:szCs w:val="21"/>
              </w:rPr>
            </w:pPr>
            <w:r>
              <w:rPr>
                <w:rFonts w:hint="eastAsia" w:ascii="黑体" w:eastAsia="黑体"/>
                <w:szCs w:val="21"/>
              </w:rPr>
              <w:t>不适合</w:t>
            </w:r>
          </w:p>
        </w:tc>
        <w:tc>
          <w:tcPr>
            <w:tcW w:w="1440" w:type="dxa"/>
            <w:tcBorders>
              <w:top w:val="single" w:color="auto" w:sz="4" w:space="0"/>
              <w:left w:val="single" w:color="auto" w:sz="4" w:space="0"/>
              <w:bottom w:val="single" w:color="auto" w:sz="4" w:space="0"/>
              <w:right w:val="single" w:color="auto" w:sz="4" w:space="0"/>
            </w:tcBorders>
            <w:shd w:val="clear" w:color="auto" w:fill="E6E6E6"/>
          </w:tcPr>
          <w:p>
            <w:pPr>
              <w:jc w:val="center"/>
              <w:rPr>
                <w:rFonts w:ascii="黑体" w:eastAsia="黑体"/>
                <w:szCs w:val="21"/>
              </w:rPr>
            </w:pPr>
            <w:r>
              <w:rPr>
                <w:rFonts w:hint="eastAsia" w:ascii="黑体" w:eastAsia="黑体"/>
                <w:szCs w:val="21"/>
              </w:rPr>
              <w:t>不适合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5" w:type="dxa"/>
            <w:tcBorders>
              <w:top w:val="single" w:color="auto" w:sz="4" w:space="0"/>
              <w:left w:val="single" w:color="auto" w:sz="4" w:space="0"/>
              <w:bottom w:val="single" w:color="auto" w:sz="4" w:space="0"/>
              <w:right w:val="single" w:color="auto" w:sz="4" w:space="0"/>
            </w:tcBorders>
            <w:shd w:val="clear" w:color="auto" w:fill="auto"/>
          </w:tcPr>
          <w:p>
            <w:pPr>
              <w:pStyle w:val="12"/>
              <w:spacing w:line="360" w:lineRule="auto"/>
              <w:ind w:firstLine="0" w:firstLineChars="0"/>
              <w:rPr>
                <w:rFonts w:ascii="仿宋_GB2312" w:hAnsi="Calibri"/>
                <w:b/>
                <w:sz w:val="21"/>
                <w:szCs w:val="21"/>
              </w:rPr>
            </w:pPr>
            <w:r>
              <w:rPr>
                <w:rFonts w:hint="eastAsia" w:ascii="宋体" w:hAnsi="宋体" w:cs="宋体"/>
                <w:b/>
                <w:sz w:val="21"/>
                <w:szCs w:val="21"/>
              </w:rPr>
              <w:t>谨慎型</w:t>
            </w:r>
          </w:p>
        </w:tc>
        <w:tc>
          <w:tcPr>
            <w:tcW w:w="126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E6E6E6"/>
          </w:tcPr>
          <w:p>
            <w:pPr>
              <w:jc w:val="center"/>
              <w:rPr>
                <w:szCs w:val="21"/>
              </w:rPr>
            </w:pPr>
            <w:r>
              <w:rPr>
                <w:rFonts w:hint="eastAsia" w:ascii="黑体" w:eastAsia="黑体"/>
                <w:szCs w:val="21"/>
              </w:rPr>
              <w:t>不适合</w:t>
            </w:r>
          </w:p>
        </w:tc>
        <w:tc>
          <w:tcPr>
            <w:tcW w:w="1620" w:type="dxa"/>
            <w:tcBorders>
              <w:top w:val="single" w:color="auto" w:sz="4" w:space="0"/>
              <w:left w:val="single" w:color="auto" w:sz="4" w:space="0"/>
              <w:bottom w:val="single" w:color="auto" w:sz="4" w:space="0"/>
              <w:right w:val="single" w:color="auto" w:sz="4" w:space="0"/>
            </w:tcBorders>
            <w:shd w:val="clear" w:color="auto" w:fill="E6E6E6"/>
          </w:tcPr>
          <w:p>
            <w:pPr>
              <w:jc w:val="center"/>
              <w:rPr>
                <w:szCs w:val="21"/>
              </w:rPr>
            </w:pPr>
            <w:r>
              <w:rPr>
                <w:rFonts w:hint="eastAsia" w:ascii="黑体" w:eastAsia="黑体"/>
                <w:szCs w:val="21"/>
              </w:rPr>
              <w:t>不适合</w:t>
            </w:r>
          </w:p>
        </w:tc>
        <w:tc>
          <w:tcPr>
            <w:tcW w:w="1440" w:type="dxa"/>
            <w:tcBorders>
              <w:top w:val="single" w:color="auto" w:sz="4" w:space="0"/>
              <w:left w:val="single" w:color="auto" w:sz="4" w:space="0"/>
              <w:bottom w:val="single" w:color="auto" w:sz="4" w:space="0"/>
              <w:right w:val="single" w:color="auto" w:sz="4" w:space="0"/>
            </w:tcBorders>
            <w:shd w:val="clear" w:color="auto" w:fill="E6E6E6"/>
          </w:tcPr>
          <w:p>
            <w:pPr>
              <w:jc w:val="center"/>
              <w:rPr>
                <w:rFonts w:ascii="黑体" w:eastAsia="黑体"/>
                <w:szCs w:val="21"/>
              </w:rPr>
            </w:pPr>
            <w:r>
              <w:rPr>
                <w:rFonts w:hint="eastAsia" w:ascii="黑体" w:eastAsia="黑体"/>
                <w:szCs w:val="21"/>
              </w:rPr>
              <w:t>不适合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5" w:type="dxa"/>
            <w:tcBorders>
              <w:top w:val="single" w:color="auto" w:sz="4" w:space="0"/>
              <w:left w:val="single" w:color="auto" w:sz="4" w:space="0"/>
              <w:bottom w:val="single" w:color="auto" w:sz="4" w:space="0"/>
              <w:right w:val="single" w:color="auto" w:sz="4" w:space="0"/>
            </w:tcBorders>
            <w:shd w:val="clear" w:color="auto" w:fill="auto"/>
          </w:tcPr>
          <w:p>
            <w:pPr>
              <w:pStyle w:val="12"/>
              <w:spacing w:line="360" w:lineRule="auto"/>
              <w:ind w:firstLine="0" w:firstLineChars="0"/>
              <w:rPr>
                <w:rFonts w:ascii="仿宋_GB2312" w:hAnsi="Calibri"/>
                <w:b/>
                <w:sz w:val="21"/>
                <w:szCs w:val="21"/>
              </w:rPr>
            </w:pPr>
            <w:r>
              <w:rPr>
                <w:rFonts w:hint="eastAsia" w:ascii="宋体" w:hAnsi="宋体" w:cs="宋体"/>
                <w:b/>
                <w:sz w:val="21"/>
                <w:szCs w:val="21"/>
              </w:rPr>
              <w:t>保守型</w:t>
            </w:r>
          </w:p>
        </w:tc>
        <w:tc>
          <w:tcPr>
            <w:tcW w:w="1260" w:type="dxa"/>
            <w:tcBorders>
              <w:top w:val="single" w:color="auto" w:sz="4" w:space="0"/>
              <w:left w:val="single" w:color="auto" w:sz="4" w:space="0"/>
              <w:bottom w:val="single" w:color="auto" w:sz="4" w:space="0"/>
              <w:right w:val="single" w:color="auto" w:sz="4" w:space="0"/>
            </w:tcBorders>
            <w:shd w:val="clear" w:color="auto" w:fill="auto"/>
          </w:tcPr>
          <w:p>
            <w:pPr>
              <w:jc w:val="center"/>
              <w:rPr>
                <w:szCs w:val="21"/>
              </w:rPr>
            </w:pPr>
            <w:r>
              <w:rPr>
                <w:rFonts w:hint="eastAsia" w:ascii="仿宋_GB2312"/>
                <w:szCs w:val="21"/>
              </w:rPr>
              <w:t>适合</w:t>
            </w:r>
          </w:p>
        </w:tc>
        <w:tc>
          <w:tcPr>
            <w:tcW w:w="1620" w:type="dxa"/>
            <w:tcBorders>
              <w:top w:val="single" w:color="auto" w:sz="4" w:space="0"/>
              <w:left w:val="single" w:color="auto" w:sz="4" w:space="0"/>
              <w:bottom w:val="single" w:color="auto" w:sz="4" w:space="0"/>
              <w:right w:val="single" w:color="auto" w:sz="4" w:space="0"/>
            </w:tcBorders>
            <w:shd w:val="clear" w:color="auto" w:fill="E6E6E6"/>
          </w:tcPr>
          <w:p>
            <w:pPr>
              <w:jc w:val="center"/>
              <w:rPr>
                <w:szCs w:val="21"/>
              </w:rPr>
            </w:pPr>
            <w:r>
              <w:rPr>
                <w:rFonts w:hint="eastAsia" w:ascii="黑体" w:eastAsia="黑体"/>
                <w:szCs w:val="21"/>
              </w:rPr>
              <w:t>不适合</w:t>
            </w:r>
          </w:p>
        </w:tc>
        <w:tc>
          <w:tcPr>
            <w:tcW w:w="1620" w:type="dxa"/>
            <w:tcBorders>
              <w:top w:val="single" w:color="auto" w:sz="4" w:space="0"/>
              <w:left w:val="single" w:color="auto" w:sz="4" w:space="0"/>
              <w:bottom w:val="single" w:color="auto" w:sz="4" w:space="0"/>
              <w:right w:val="single" w:color="auto" w:sz="4" w:space="0"/>
            </w:tcBorders>
            <w:shd w:val="clear" w:color="auto" w:fill="E6E6E6"/>
          </w:tcPr>
          <w:p>
            <w:pPr>
              <w:jc w:val="center"/>
              <w:rPr>
                <w:szCs w:val="21"/>
              </w:rPr>
            </w:pPr>
            <w:r>
              <w:rPr>
                <w:rFonts w:hint="eastAsia" w:ascii="黑体" w:eastAsia="黑体"/>
                <w:szCs w:val="21"/>
              </w:rPr>
              <w:t>不适合</w:t>
            </w:r>
          </w:p>
        </w:tc>
        <w:tc>
          <w:tcPr>
            <w:tcW w:w="1620" w:type="dxa"/>
            <w:tcBorders>
              <w:top w:val="single" w:color="auto" w:sz="4" w:space="0"/>
              <w:left w:val="single" w:color="auto" w:sz="4" w:space="0"/>
              <w:bottom w:val="single" w:color="auto" w:sz="4" w:space="0"/>
              <w:right w:val="single" w:color="auto" w:sz="4" w:space="0"/>
            </w:tcBorders>
            <w:shd w:val="clear" w:color="auto" w:fill="E6E6E6"/>
          </w:tcPr>
          <w:p>
            <w:pPr>
              <w:jc w:val="center"/>
              <w:rPr>
                <w:szCs w:val="21"/>
              </w:rPr>
            </w:pPr>
            <w:r>
              <w:rPr>
                <w:rFonts w:hint="eastAsia" w:ascii="黑体" w:eastAsia="黑体"/>
                <w:szCs w:val="21"/>
              </w:rPr>
              <w:t>不适合</w:t>
            </w:r>
          </w:p>
        </w:tc>
        <w:tc>
          <w:tcPr>
            <w:tcW w:w="1440" w:type="dxa"/>
            <w:tcBorders>
              <w:top w:val="single" w:color="auto" w:sz="4" w:space="0"/>
              <w:left w:val="single" w:color="auto" w:sz="4" w:space="0"/>
              <w:bottom w:val="single" w:color="auto" w:sz="4" w:space="0"/>
              <w:right w:val="single" w:color="auto" w:sz="4" w:space="0"/>
            </w:tcBorders>
            <w:shd w:val="clear" w:color="auto" w:fill="E6E6E6"/>
          </w:tcPr>
          <w:p>
            <w:pPr>
              <w:jc w:val="center"/>
              <w:rPr>
                <w:rFonts w:ascii="黑体" w:eastAsia="黑体"/>
                <w:szCs w:val="21"/>
              </w:rPr>
            </w:pPr>
            <w:r>
              <w:rPr>
                <w:rFonts w:hint="eastAsia" w:ascii="黑体" w:eastAsia="黑体"/>
                <w:szCs w:val="21"/>
              </w:rPr>
              <w:t>不适合</w:t>
            </w:r>
          </w:p>
        </w:tc>
      </w:tr>
    </w:tbl>
    <w:p>
      <w:pPr>
        <w:rPr>
          <w:b/>
        </w:rPr>
      </w:pPr>
      <w:r>
        <w:t>4、您购买乙方代销的理财产品前，需通过乙方的柜面、网上银行、手机银</w:t>
      </w:r>
      <w:r>
        <w:rPr>
          <w:rFonts w:hint="eastAsia"/>
        </w:rPr>
        <w:t>行、轻型柜台或直销银行等销售渠道进行有效风险承受能力的评估。个人投资风险承受能力评估结果的有效期为一年，</w:t>
      </w:r>
      <w:r>
        <w:rPr>
          <w:rFonts w:hint="eastAsia"/>
          <w:b/>
        </w:rPr>
        <w:t>若您的风险承受能力评估结果已超过有效期或者在评级结果有效期内发生了可能影响您自身风险承受能力的情形，请您重新进行风险承受能力评估。</w:t>
      </w:r>
    </w:p>
    <w:p>
      <w:r>
        <w:t>5、您保证投资资金来源合法且为本人自有资金，不存在使用贷款、发行债</w:t>
      </w:r>
      <w:r>
        <w:rPr>
          <w:rFonts w:hint="eastAsia"/>
        </w:rPr>
        <w:t>券等筹集的非自有资金投资的情况，投资行为符合法律、法规及相关监管部门的规定。</w:t>
      </w:r>
    </w:p>
    <w:p>
      <w:r>
        <w:t>6、您承诺所提供的所有资料真实、完整、合法、有效，如有变更，您应及</w:t>
      </w:r>
      <w:r>
        <w:rPr>
          <w:rFonts w:hint="eastAsia"/>
        </w:rPr>
        <w:t>时到乙方办理变更手续。若您未及时办理相关变更手续，由此导致的一切后果由您自行承担，乙方对此不承担任何责任。</w:t>
      </w:r>
    </w:p>
    <w:p>
      <w:r>
        <w:t>7、在产品募集期</w:t>
      </w:r>
      <w:r>
        <w:rPr>
          <w:rFonts w:hint="eastAsia"/>
        </w:rPr>
        <w:t>/开放期</w:t>
      </w:r>
      <w:r>
        <w:t>内，如因您的原因导致投资本金不能从您账户足额划转的，</w:t>
      </w:r>
      <w:r>
        <w:rPr>
          <w:rFonts w:hint="eastAsia"/>
        </w:rPr>
        <w:t>您对相关理财产品的购买不成功，该理财产品相关法律协议不生效，乙方对此不承担责任。</w:t>
      </w:r>
    </w:p>
    <w:p>
      <w:r>
        <w:t>8、您对本协议及其条款负有保密义务，未经乙方书面许可，您不得向任何</w:t>
      </w:r>
      <w:r>
        <w:rPr>
          <w:rFonts w:hint="eastAsia"/>
        </w:rPr>
        <w:t>组织、个人提供或泄露与乙方有关的业务资料及信息，但法律、法规另有规定的除外。</w:t>
      </w:r>
    </w:p>
    <w:p>
      <w:pPr>
        <w:rPr>
          <w:b/>
          <w:bCs/>
        </w:rPr>
      </w:pPr>
      <w:r>
        <w:rPr>
          <w:b/>
          <w:bCs/>
        </w:rPr>
        <w:t>9、您在此同意并授权乙方有权根据您所勾选的业务申请类型对您相关资金</w:t>
      </w:r>
      <w:r>
        <w:rPr>
          <w:rFonts w:hint="eastAsia"/>
          <w:b/>
          <w:bCs/>
        </w:rPr>
        <w:t>账户进行资金扣划等相关操作。</w:t>
      </w:r>
    </w:p>
    <w:p>
      <w:pPr>
        <w:rPr>
          <w:b/>
          <w:bCs/>
        </w:rPr>
      </w:pPr>
      <w:r>
        <w:rPr>
          <w:b/>
          <w:bCs/>
        </w:rPr>
        <w:t>10、对于您通过乙方的网上银行、手机银行、轻型柜台、直销银行等渠道方式购买的理</w:t>
      </w:r>
      <w:r>
        <w:rPr>
          <w:rFonts w:hint="eastAsia"/>
          <w:b/>
          <w:bCs/>
        </w:rPr>
        <w:t>财产品（不受限于本产品），您确认通过乙方上述渠道点击同意本协议，即表明您已自主阅读并清楚知悉本协议全部内容，同意受本协议约束。</w:t>
      </w:r>
    </w:p>
    <w:p>
      <w:r>
        <w:t>11、您在此确认乙方的系统记录以及录音、录像构成对您操作行为（包括但</w:t>
      </w:r>
      <w:r>
        <w:rPr>
          <w:rFonts w:hint="eastAsia"/>
        </w:rPr>
        <w:t>不限于购买、赎回、撤单）的终局证据，并且在您和乙方发生争议时可以作为合法有效的证据使用。</w:t>
      </w:r>
    </w:p>
    <w:p>
      <w:r>
        <w:t>12、您在购买乙方代销的私募理财产品后，可以享有24小时的投资冷静期。</w:t>
      </w:r>
      <w:r>
        <w:rPr>
          <w:rFonts w:hint="eastAsia"/>
        </w:rPr>
        <w:t>在投资冷静期内，如您改变投资决定，应立即在投资冷静期内通过乙方向私募理财产品</w:t>
      </w:r>
      <w:r>
        <w:rPr>
          <w:rFonts w:hint="eastAsia"/>
          <w:lang w:eastAsia="zh-CN"/>
        </w:rPr>
        <w:t>发行管理机构</w:t>
      </w:r>
      <w:r>
        <w:rPr>
          <w:rFonts w:hint="eastAsia"/>
        </w:rPr>
        <w:t>提出解除产品</w:t>
      </w:r>
      <w:r>
        <w:rPr>
          <w:rFonts w:hint="eastAsia"/>
          <w:lang w:eastAsia="zh-CN"/>
        </w:rPr>
        <w:t>发行管理机构</w:t>
      </w:r>
      <w:r>
        <w:rPr>
          <w:rFonts w:hint="eastAsia"/>
        </w:rPr>
        <w:t>销售文件申请，私募理财产品</w:t>
      </w:r>
      <w:r>
        <w:rPr>
          <w:rFonts w:hint="eastAsia"/>
          <w:lang w:eastAsia="zh-CN"/>
        </w:rPr>
        <w:t>发行管理机构</w:t>
      </w:r>
      <w:r>
        <w:rPr>
          <w:rFonts w:hint="eastAsia"/>
        </w:rPr>
        <w:t>应当遵从您的意愿，解除已签订的产品</w:t>
      </w:r>
      <w:r>
        <w:rPr>
          <w:rFonts w:hint="eastAsia"/>
          <w:lang w:eastAsia="zh-CN"/>
        </w:rPr>
        <w:t>发行管理机构</w:t>
      </w:r>
      <w:r>
        <w:rPr>
          <w:rFonts w:hint="eastAsia"/>
        </w:rPr>
        <w:t>销售文件，并及时退还您的全部投资款项。投资冷静期自上述理财产品销售文件签字确认后起算。</w:t>
      </w:r>
    </w:p>
    <w:p>
      <w:r>
        <w:t>13、您同意并授权乙方有权根据您所勾选的业务申请类型调取收集您本人开</w:t>
      </w:r>
      <w:r>
        <w:rPr>
          <w:rFonts w:hint="eastAsia"/>
        </w:rPr>
        <w:t>户留存的有效身份证件或者其他身份证明文件信息，并留存办理理财业务所需的个人金融信息。</w:t>
      </w:r>
    </w:p>
    <w:p>
      <w:r>
        <w:t>14、乙方对本协议及其条款负有保密义务，未经甲方书面许可，乙方不得向</w:t>
      </w:r>
      <w:r>
        <w:rPr>
          <w:rFonts w:hint="eastAsia"/>
        </w:rPr>
        <w:t>任何组织、个人提供或泄露与甲方有关的业务资料及信息，但法律、法规另有规定的除外。</w:t>
      </w:r>
    </w:p>
    <w:p>
      <w:pPr>
        <w:rPr>
          <w:b/>
        </w:rPr>
      </w:pPr>
      <w:r>
        <w:rPr>
          <w:b/>
        </w:rPr>
        <w:t>15、</w:t>
      </w:r>
      <w:r>
        <w:rPr>
          <w:rFonts w:hint="eastAsia"/>
          <w:b/>
        </w:rPr>
        <w:t>您同意并授权乙方有权根据您所勾选的业务申请类型调取并使用您的姓名、性别、国籍、职业、地址、联系方式、证件类型、证件号码、证件有效期、税收居民身份信息、交易账号/投资人理财账户、银行卡号、客户风险承受能力等级、交易及所购买的产品信息、合格投资者信息、CRS涉税信息，以便于完成代销产品的购买确认。出于为您办理所申请的理财业务登记的必要，您知悉在您申请理财产品业务时，乙方会将相应信息传递给相应理财产品</w:t>
      </w:r>
      <w:r>
        <w:rPr>
          <w:rFonts w:hint="eastAsia"/>
          <w:b/>
          <w:lang w:eastAsia="zh-CN"/>
        </w:rPr>
        <w:t>发行管理机构</w:t>
      </w:r>
      <w:r>
        <w:rPr>
          <w:rFonts w:hint="eastAsia"/>
          <w:b/>
        </w:rPr>
        <w:t>，用于办理认（申）购、赎回、撤单等业务。产品</w:t>
      </w:r>
      <w:r>
        <w:rPr>
          <w:rFonts w:hint="eastAsia"/>
          <w:b/>
          <w:lang w:eastAsia="zh-CN"/>
        </w:rPr>
        <w:t>发行管理机构</w:t>
      </w:r>
      <w:r>
        <w:rPr>
          <w:rFonts w:hint="eastAsia"/>
          <w:b/>
        </w:rPr>
        <w:t>对您的个人信息负有保密责任。</w:t>
      </w:r>
    </w:p>
    <w:p>
      <w:pPr>
        <w:rPr>
          <w:b/>
        </w:rPr>
      </w:pPr>
      <w:r>
        <w:rPr>
          <w:rFonts w:hint="eastAsia"/>
          <w:b/>
        </w:rPr>
        <w:t>16、甲方理解，存在上述授权范围内的甲方信息可能被第三人不当使用，或在现有技术水平下被泄露，因此可能对甲方产生不利影响，从而导致甲方蒙受损失的风险。</w:t>
      </w:r>
    </w:p>
    <w:p>
      <w:r>
        <w:t>1</w:t>
      </w:r>
      <w:r>
        <w:rPr>
          <w:rFonts w:hint="eastAsia"/>
        </w:rPr>
        <w:t>7</w:t>
      </w:r>
      <w:r>
        <w:t>、您承诺严格遵守反洗钱相关法律法规和规章制度，不参与或协助洗钱、</w:t>
      </w:r>
      <w:r>
        <w:rPr>
          <w:rFonts w:hint="eastAsia"/>
        </w:rPr>
        <w:t>恐怖融资、逃税活动等违法行为。乙方发现或有合理理由怀疑您、您的资金或您的交易行为与洗钱、恐怖融资、逃税等犯罪活动相关的，乙方有权提前终止本协议，造成您损失的，乙方不承担责任。</w:t>
      </w:r>
    </w:p>
    <w:p>
      <w:r>
        <w:rPr>
          <w:rFonts w:hint="eastAsia"/>
        </w:rPr>
        <w:t>二、免责条款</w:t>
      </w:r>
    </w:p>
    <w:p>
      <w:pPr>
        <w:rPr>
          <w:b/>
        </w:rPr>
      </w:pPr>
      <w:r>
        <w:rPr>
          <w:rFonts w:hint="eastAsia"/>
          <w:b/>
        </w:rPr>
        <w:t>（一）由于国家有关法律、法规、规章、政策的改变、紧急措施的出台而导致甲方蒙受损失或协议终止的，乙方不承担责任。</w:t>
      </w:r>
    </w:p>
    <w:p>
      <w:pPr>
        <w:rPr>
          <w:b/>
        </w:rPr>
      </w:pPr>
      <w:r>
        <w:rPr>
          <w:rFonts w:hint="eastAsia"/>
          <w:b/>
        </w:rPr>
        <w:t>（二）由于不可抗力或乙方无过错且无法防止的外因而导致的交易中断、延误等风险及损失，乙方不承担责任。</w:t>
      </w:r>
    </w:p>
    <w:p>
      <w:pPr>
        <w:rPr>
          <w:b/>
        </w:rPr>
      </w:pPr>
      <w:r>
        <w:rPr>
          <w:rFonts w:hint="eastAsia"/>
          <w:b/>
        </w:rPr>
        <w:t>（三）非因乙方原因（包括本协议交易账户资金被司法机关等有权部门冻结、扣划，理财产品自身风险，理财产品</w:t>
      </w:r>
      <w:r>
        <w:rPr>
          <w:rFonts w:hint="eastAsia"/>
          <w:b/>
          <w:lang w:eastAsia="zh-CN"/>
        </w:rPr>
        <w:t>发行管理机构</w:t>
      </w:r>
      <w:r>
        <w:rPr>
          <w:rFonts w:hint="eastAsia"/>
          <w:b/>
        </w:rPr>
        <w:t>过错等原因）造成的损失，乙方不承担责任。</w:t>
      </w:r>
    </w:p>
    <w:p>
      <w:pPr>
        <w:rPr>
          <w:b/>
        </w:rPr>
      </w:pPr>
      <w:r>
        <w:rPr>
          <w:rFonts w:hint="eastAsia"/>
          <w:b/>
        </w:rPr>
        <w:t>发生前述情形时，乙方将在条件允许的情况下采取必要合理的补救措施，尽力保护您的利益，以减少您的损失。</w:t>
      </w:r>
    </w:p>
    <w:p>
      <w:r>
        <w:rPr>
          <w:rFonts w:hint="eastAsia"/>
        </w:rPr>
        <w:t>三、争议处理</w:t>
      </w:r>
    </w:p>
    <w:p>
      <w:r>
        <w:rPr>
          <w:rFonts w:hint="eastAsia"/>
        </w:rPr>
        <w:t>（一）本协议在履行过程中发生的争议，由甲乙双方协商解决；协商不成的，任何一方可向乙方所在地人民法院起诉。</w:t>
      </w:r>
    </w:p>
    <w:p>
      <w:r>
        <w:rPr>
          <w:rFonts w:hint="eastAsia"/>
        </w:rPr>
        <w:t>（二）在诉讼期间，本协议不涉及争议部分的条款仍须履行。</w:t>
      </w:r>
    </w:p>
    <w:p>
      <w:r>
        <w:rPr>
          <w:rFonts w:hint="eastAsia"/>
        </w:rPr>
        <w:t>四、协议的生效和终止。</w:t>
      </w:r>
    </w:p>
    <w:p>
      <w:r>
        <w:rPr>
          <w:rFonts w:hint="eastAsia"/>
        </w:rPr>
        <w:t>（一）协议生效</w:t>
      </w:r>
    </w:p>
    <w:p>
      <w:r>
        <w:t>1、您通过乙方的网点柜面渠道购买本产品，本协议经您签字且乙方盖柜面业</w:t>
      </w:r>
      <w:r>
        <w:rPr>
          <w:rFonts w:hint="eastAsia"/>
        </w:rPr>
        <w:t>务章后生效（为避免岐义，乙方相关业务人员在本协议的签字仅为乙方内部风险控制要求，并不作为协议成立的条件，下同）。您通过乙方的网上银行、手机银行、轻型柜台、直销银行等渠道方式购买理财产品，您通过点击同意本协议后生效。</w:t>
      </w:r>
    </w:p>
    <w:p>
      <w:r>
        <w:rPr>
          <w:rFonts w:hint="eastAsia"/>
        </w:rPr>
        <w:t>（二）协议终止。本协议及《产品说明书》项下各方权利义务履行完毕之日，本协议自动终止。</w:t>
      </w:r>
    </w:p>
    <w:p>
      <w:r>
        <w:rPr>
          <w:rFonts w:hint="eastAsia"/>
        </w:rPr>
        <w:t>（三）其他。您通过乙方的网点柜面渠道购买本产品时，本协议一式贰份，双方各执一份，且有同等法律效力。</w:t>
      </w:r>
    </w:p>
    <w:p>
      <w:r>
        <w:rPr>
          <w:rFonts w:hint="eastAsia"/>
        </w:rPr>
        <w:t>五、消费者权益保护投诉方式和程序</w:t>
      </w:r>
    </w:p>
    <w:p>
      <w:r>
        <w:rPr>
          <w:rFonts w:hint="eastAsia"/>
        </w:rPr>
        <w:t>如甲方对本行理财产品或服务有任何疑问、意见或建议，均可联系本行理财业务人员或反馈至本行营业网点，也可致电本行客户服务热线：（</w:t>
      </w:r>
      <w:r>
        <w:t>0731）96599。</w:t>
      </w:r>
    </w:p>
    <w:p/>
    <w:p>
      <w:pPr>
        <w:rPr>
          <w:b/>
        </w:rPr>
      </w:pPr>
      <w:r>
        <w:rPr>
          <w:rFonts w:hint="eastAsia"/>
          <w:b/>
        </w:rPr>
        <w:t>甲方声明：</w:t>
      </w:r>
    </w:p>
    <w:p>
      <w:r>
        <w:rPr>
          <w:rFonts w:hint="eastAsia"/>
        </w:rPr>
        <w:t>（</w:t>
      </w:r>
      <w:r>
        <w:t>1）甲方已经收到所购买</w:t>
      </w:r>
      <w:r>
        <w:rPr>
          <w:rFonts w:hint="eastAsia"/>
        </w:rPr>
        <w:t>湖南银行</w:t>
      </w:r>
      <w:r>
        <w:t>代销的理财产品相关的《产品说明书》、《风险揭示书》、《投资者权益须知》以及理财产品</w:t>
      </w:r>
      <w:r>
        <w:rPr>
          <w:rFonts w:hint="eastAsia"/>
          <w:lang w:eastAsia="zh-CN"/>
        </w:rPr>
        <w:t>发行管理机构</w:t>
      </w:r>
      <w:r>
        <w:t>的</w:t>
      </w:r>
      <w:r>
        <w:rPr>
          <w:rFonts w:hint="eastAsia"/>
        </w:rPr>
        <w:t>《</w:t>
      </w:r>
      <w:r>
        <w:t>销售协议书</w:t>
      </w:r>
      <w:r>
        <w:rPr>
          <w:rFonts w:hint="eastAsia"/>
        </w:rPr>
        <w:t>》</w:t>
      </w:r>
      <w:r>
        <w:t>，并已完全</w:t>
      </w:r>
      <w:r>
        <w:rPr>
          <w:rFonts w:hint="eastAsia"/>
        </w:rPr>
        <w:t>理解和接受上述文件以及本协议的全部内容，清楚了解所购买理财产品的内容及可能出现的风险。甲方的投资决策完全基于甲方的独立自主判断做出，并自愿承担所购买（或赎回、撤单）理财产品所产生的相关风险和全</w:t>
      </w:r>
      <w:bookmarkStart w:id="1" w:name="_GoBack"/>
      <w:r>
        <w:rPr>
          <w:rFonts w:hint="eastAsia"/>
        </w:rPr>
        <w:t>部</w:t>
      </w:r>
      <w:bookmarkEnd w:id="1"/>
      <w:r>
        <w:rPr>
          <w:rFonts w:hint="eastAsia"/>
        </w:rPr>
        <w:t>后果。</w:t>
      </w:r>
    </w:p>
    <w:p>
      <w:r>
        <w:rPr>
          <w:rFonts w:hint="eastAsia"/>
        </w:rPr>
        <w:t>（</w:t>
      </w:r>
      <w:r>
        <w:t>2）甲方确认乙方相关业务人员对于本协议中有关增加甲方义务、限制甲方权利以及免除、限制乙方责任和乙方单方面拥有某些权利的条款已向甲方予以解释</w:t>
      </w:r>
      <w:r>
        <w:rPr>
          <w:rFonts w:hint="eastAsia"/>
        </w:rPr>
        <w:t>说明，甲方自愿接受上述条款的约束，双方对本协议条款的理解已完全达成一致。</w:t>
      </w:r>
    </w:p>
    <w:tbl>
      <w:tblPr>
        <w:tblStyle w:val="7"/>
        <w:tblpPr w:leftFromText="180" w:rightFromText="180" w:vertAnchor="text" w:horzAnchor="margin" w:tblpXSpec="center" w:tblpY="311"/>
        <w:tblW w:w="10127" w:type="dxa"/>
        <w:tblInd w:w="0" w:type="dxa"/>
        <w:tblLayout w:type="fixed"/>
        <w:tblCellMar>
          <w:top w:w="0" w:type="dxa"/>
          <w:left w:w="108" w:type="dxa"/>
          <w:bottom w:w="0" w:type="dxa"/>
          <w:right w:w="108" w:type="dxa"/>
        </w:tblCellMar>
      </w:tblPr>
      <w:tblGrid>
        <w:gridCol w:w="5043"/>
        <w:gridCol w:w="5084"/>
      </w:tblGrid>
      <w:tr>
        <w:tblPrEx>
          <w:tblCellMar>
            <w:top w:w="0" w:type="dxa"/>
            <w:left w:w="108" w:type="dxa"/>
            <w:bottom w:w="0" w:type="dxa"/>
            <w:right w:w="108" w:type="dxa"/>
          </w:tblCellMar>
        </w:tblPrEx>
        <w:trPr>
          <w:trHeight w:val="368" w:hRule="atLeast"/>
        </w:trPr>
        <w:tc>
          <w:tcPr>
            <w:tcW w:w="10127" w:type="dxa"/>
            <w:gridSpan w:val="2"/>
            <w:tcBorders>
              <w:top w:val="single" w:color="auto" w:sz="6" w:space="0"/>
              <w:left w:val="single" w:color="auto" w:sz="6" w:space="0"/>
              <w:bottom w:val="single" w:color="auto" w:sz="6" w:space="0"/>
              <w:right w:val="single" w:color="auto" w:sz="6" w:space="0"/>
            </w:tcBorders>
          </w:tcPr>
          <w:p>
            <w:r>
              <w:rPr>
                <w:rFonts w:hint="eastAsia"/>
              </w:rPr>
              <w:t>双方签署如下：</w:t>
            </w:r>
          </w:p>
        </w:tc>
      </w:tr>
      <w:tr>
        <w:tblPrEx>
          <w:tblCellMar>
            <w:top w:w="0" w:type="dxa"/>
            <w:left w:w="108" w:type="dxa"/>
            <w:bottom w:w="0" w:type="dxa"/>
            <w:right w:w="108" w:type="dxa"/>
          </w:tblCellMar>
        </w:tblPrEx>
        <w:trPr>
          <w:trHeight w:val="2480" w:hRule="atLeast"/>
        </w:trPr>
        <w:tc>
          <w:tcPr>
            <w:tcW w:w="5043" w:type="dxa"/>
            <w:vMerge w:val="restart"/>
            <w:tcBorders>
              <w:top w:val="single" w:color="auto" w:sz="6" w:space="0"/>
              <w:left w:val="single" w:color="auto" w:sz="6" w:space="0"/>
              <w:bottom w:val="single" w:color="auto" w:sz="6" w:space="0"/>
              <w:right w:val="single" w:color="auto" w:sz="6" w:space="0"/>
            </w:tcBorders>
          </w:tcPr>
          <w:p>
            <w:r>
              <w:rPr>
                <w:rFonts w:hint="eastAsia"/>
                <w:b/>
              </w:rPr>
              <w:t>甲方（投资者）签字</w:t>
            </w:r>
            <w:r>
              <w:rPr>
                <w:rFonts w:hint="eastAsia"/>
              </w:rPr>
              <w:t>：</w:t>
            </w:r>
          </w:p>
        </w:tc>
        <w:tc>
          <w:tcPr>
            <w:tcW w:w="5084" w:type="dxa"/>
            <w:tcBorders>
              <w:top w:val="single" w:color="auto" w:sz="6" w:space="0"/>
              <w:left w:val="single" w:color="auto" w:sz="6" w:space="0"/>
              <w:bottom w:val="single" w:color="auto" w:sz="6" w:space="0"/>
              <w:right w:val="single" w:color="auto" w:sz="6" w:space="0"/>
            </w:tcBorders>
          </w:tcPr>
          <w:p>
            <w:pPr>
              <w:rPr>
                <w:b/>
              </w:rPr>
            </w:pPr>
            <w:r>
              <w:rPr>
                <w:rFonts w:hint="eastAsia"/>
                <w:b/>
              </w:rPr>
              <w:t>乙方（湖南银行股份有限公司</w:t>
            </w:r>
            <w:r>
              <w:rPr>
                <w:rFonts w:hint="eastAsia"/>
                <w:bCs/>
                <w:u w:val="single"/>
              </w:rPr>
              <w:t xml:space="preserve">                </w:t>
            </w:r>
            <w:r>
              <w:rPr>
                <w:rFonts w:hint="eastAsia"/>
                <w:b/>
              </w:rPr>
              <w:t>）</w:t>
            </w:r>
          </w:p>
          <w:p>
            <w:r>
              <w:rPr>
                <w:rFonts w:hint="eastAsia"/>
                <w:b/>
              </w:rPr>
              <w:t>签章</w:t>
            </w:r>
            <w:r>
              <w:rPr>
                <w:rFonts w:hint="eastAsia"/>
              </w:rPr>
              <w:t>：</w:t>
            </w:r>
          </w:p>
        </w:tc>
      </w:tr>
      <w:tr>
        <w:tblPrEx>
          <w:tblCellMar>
            <w:top w:w="0" w:type="dxa"/>
            <w:left w:w="108" w:type="dxa"/>
            <w:bottom w:w="0" w:type="dxa"/>
            <w:right w:w="108" w:type="dxa"/>
          </w:tblCellMar>
        </w:tblPrEx>
        <w:trPr>
          <w:trHeight w:val="1281" w:hRule="atLeast"/>
        </w:trPr>
        <w:tc>
          <w:tcPr>
            <w:tcW w:w="5043" w:type="dxa"/>
            <w:vMerge w:val="continue"/>
            <w:tcBorders>
              <w:top w:val="single" w:color="auto" w:sz="6" w:space="0"/>
              <w:left w:val="single" w:color="auto" w:sz="6" w:space="0"/>
              <w:bottom w:val="single" w:color="auto" w:sz="6" w:space="0"/>
              <w:right w:val="single" w:color="auto" w:sz="6" w:space="0"/>
            </w:tcBorders>
            <w:vAlign w:val="center"/>
          </w:tcPr>
          <w:p/>
        </w:tc>
        <w:tc>
          <w:tcPr>
            <w:tcW w:w="5084" w:type="dxa"/>
            <w:tcBorders>
              <w:top w:val="single" w:color="auto" w:sz="6" w:space="0"/>
              <w:left w:val="single" w:color="auto" w:sz="6" w:space="0"/>
              <w:bottom w:val="single" w:color="auto" w:sz="6" w:space="0"/>
              <w:right w:val="single" w:color="auto" w:sz="6" w:space="0"/>
            </w:tcBorders>
          </w:tcPr>
          <w:p>
            <w:pPr>
              <w:rPr>
                <w:b/>
              </w:rPr>
            </w:pPr>
            <w:r>
              <w:rPr>
                <w:rFonts w:hint="eastAsia"/>
                <w:b/>
              </w:rPr>
              <w:t>理财经理或支行行长签字</w:t>
            </w:r>
            <w:r>
              <w:rPr>
                <w:rFonts w:hint="eastAsia"/>
              </w:rPr>
              <w:t>：</w:t>
            </w:r>
          </w:p>
        </w:tc>
      </w:tr>
      <w:tr>
        <w:tblPrEx>
          <w:tblCellMar>
            <w:top w:w="0" w:type="dxa"/>
            <w:left w:w="108" w:type="dxa"/>
            <w:bottom w:w="0" w:type="dxa"/>
            <w:right w:w="108" w:type="dxa"/>
          </w:tblCellMar>
        </w:tblPrEx>
        <w:trPr>
          <w:trHeight w:val="415" w:hRule="atLeast"/>
        </w:trPr>
        <w:tc>
          <w:tcPr>
            <w:tcW w:w="10127" w:type="dxa"/>
            <w:gridSpan w:val="2"/>
            <w:tcBorders>
              <w:top w:val="single" w:color="auto" w:sz="6" w:space="0"/>
              <w:left w:val="single" w:color="auto" w:sz="6" w:space="0"/>
              <w:bottom w:val="single" w:color="auto" w:sz="6" w:space="0"/>
              <w:right w:val="single" w:color="auto" w:sz="6" w:space="0"/>
            </w:tcBorders>
          </w:tcPr>
          <w:p>
            <w:r>
              <w:rPr>
                <w:rFonts w:hint="eastAsia"/>
              </w:rPr>
              <w:t xml:space="preserve">                                        签署日期：      年     月     日</w:t>
            </w:r>
          </w:p>
        </w:tc>
      </w:tr>
    </w:tbl>
    <w:p>
      <w:pPr>
        <w:jc w:val="right"/>
      </w:pP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altName w:val="汉仪仿宋KW"/>
    <w:panose1 w:val="00000000000000000000"/>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CBB"/>
    <w:rsid w:val="00076847"/>
    <w:rsid w:val="0009582D"/>
    <w:rsid w:val="000A33DE"/>
    <w:rsid w:val="000F515E"/>
    <w:rsid w:val="0011085E"/>
    <w:rsid w:val="00184FB8"/>
    <w:rsid w:val="00211C86"/>
    <w:rsid w:val="00294AA6"/>
    <w:rsid w:val="00296FE7"/>
    <w:rsid w:val="003C08E9"/>
    <w:rsid w:val="00410401"/>
    <w:rsid w:val="00520D96"/>
    <w:rsid w:val="00566D1E"/>
    <w:rsid w:val="005759AB"/>
    <w:rsid w:val="006875C9"/>
    <w:rsid w:val="006C4A17"/>
    <w:rsid w:val="006C7428"/>
    <w:rsid w:val="006E39EA"/>
    <w:rsid w:val="006F3523"/>
    <w:rsid w:val="006F5869"/>
    <w:rsid w:val="00737F95"/>
    <w:rsid w:val="00763AF8"/>
    <w:rsid w:val="007963D5"/>
    <w:rsid w:val="007B0547"/>
    <w:rsid w:val="007E2609"/>
    <w:rsid w:val="007E71B2"/>
    <w:rsid w:val="00837737"/>
    <w:rsid w:val="00847E7C"/>
    <w:rsid w:val="00884049"/>
    <w:rsid w:val="00913C90"/>
    <w:rsid w:val="00927919"/>
    <w:rsid w:val="00945986"/>
    <w:rsid w:val="0096789C"/>
    <w:rsid w:val="00976C77"/>
    <w:rsid w:val="00A00031"/>
    <w:rsid w:val="00A16319"/>
    <w:rsid w:val="00A21E26"/>
    <w:rsid w:val="00A80457"/>
    <w:rsid w:val="00AF6E3B"/>
    <w:rsid w:val="00B23C4B"/>
    <w:rsid w:val="00B443E4"/>
    <w:rsid w:val="00B55755"/>
    <w:rsid w:val="00B70E32"/>
    <w:rsid w:val="00B81850"/>
    <w:rsid w:val="00B91C67"/>
    <w:rsid w:val="00BB353E"/>
    <w:rsid w:val="00BE5AA7"/>
    <w:rsid w:val="00CD2210"/>
    <w:rsid w:val="00CD4084"/>
    <w:rsid w:val="00D02CBB"/>
    <w:rsid w:val="00D31C7D"/>
    <w:rsid w:val="00D47015"/>
    <w:rsid w:val="00D568DC"/>
    <w:rsid w:val="00D70B9E"/>
    <w:rsid w:val="00E309E1"/>
    <w:rsid w:val="00E97204"/>
    <w:rsid w:val="00F2423D"/>
    <w:rsid w:val="00F47DB9"/>
    <w:rsid w:val="00F85058"/>
    <w:rsid w:val="00FA74B2"/>
    <w:rsid w:val="00FD15A6"/>
    <w:rsid w:val="00FD65CA"/>
    <w:rsid w:val="00FE1C47"/>
    <w:rsid w:val="00FE2B0C"/>
    <w:rsid w:val="048E4B37"/>
    <w:rsid w:val="04F276B7"/>
    <w:rsid w:val="12A05916"/>
    <w:rsid w:val="18130ED5"/>
    <w:rsid w:val="2CFAEFCF"/>
    <w:rsid w:val="2F933139"/>
    <w:rsid w:val="37FD6287"/>
    <w:rsid w:val="3F183633"/>
    <w:rsid w:val="42672DF0"/>
    <w:rsid w:val="42E51452"/>
    <w:rsid w:val="4520306F"/>
    <w:rsid w:val="507022AE"/>
    <w:rsid w:val="61F9628B"/>
    <w:rsid w:val="64D4786D"/>
    <w:rsid w:val="65307890"/>
    <w:rsid w:val="66B1481E"/>
    <w:rsid w:val="68D52551"/>
    <w:rsid w:val="6CF7CF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uiPriority w:val="0"/>
    <w:pPr>
      <w:jc w:val="left"/>
    </w:pPr>
  </w:style>
  <w:style w:type="paragraph" w:styleId="3">
    <w:name w:val="Balloon Text"/>
    <w:basedOn w:val="1"/>
    <w:link w:val="16"/>
    <w:semiHidden/>
    <w:unhideWhenUsed/>
    <w:qFormat/>
    <w:uiPriority w:val="0"/>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qFormat/>
    <w:uiPriority w:val="0"/>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0"/>
    <w:rPr>
      <w:sz w:val="21"/>
      <w:szCs w:val="21"/>
    </w:rPr>
  </w:style>
  <w:style w:type="paragraph" w:customStyle="1" w:styleId="11">
    <w:name w:val="列出段落1"/>
    <w:basedOn w:val="1"/>
    <w:qFormat/>
    <w:uiPriority w:val="0"/>
    <w:pPr>
      <w:ind w:firstLine="420" w:firstLineChars="200"/>
    </w:pPr>
    <w:rPr>
      <w:rFonts w:ascii="Times New Roman" w:hAnsi="Times New Roman" w:eastAsia="宋体" w:cs="Times New Roman"/>
      <w:szCs w:val="21"/>
    </w:rPr>
  </w:style>
  <w:style w:type="paragraph" w:customStyle="1" w:styleId="12">
    <w:name w:val="正文文本缩进1"/>
    <w:basedOn w:val="1"/>
    <w:link w:val="15"/>
    <w:qFormat/>
    <w:uiPriority w:val="0"/>
    <w:pPr>
      <w:ind w:firstLine="560" w:firstLineChars="200"/>
    </w:pPr>
    <w:rPr>
      <w:sz w:val="24"/>
    </w:rPr>
  </w:style>
  <w:style w:type="character" w:customStyle="1" w:styleId="13">
    <w:name w:val="页眉 Char"/>
    <w:basedOn w:val="9"/>
    <w:link w:val="5"/>
    <w:qFormat/>
    <w:uiPriority w:val="99"/>
    <w:rPr>
      <w:sz w:val="18"/>
      <w:szCs w:val="18"/>
    </w:rPr>
  </w:style>
  <w:style w:type="character" w:customStyle="1" w:styleId="14">
    <w:name w:val="页脚 Char"/>
    <w:basedOn w:val="9"/>
    <w:link w:val="4"/>
    <w:qFormat/>
    <w:uiPriority w:val="99"/>
    <w:rPr>
      <w:sz w:val="18"/>
      <w:szCs w:val="18"/>
    </w:rPr>
  </w:style>
  <w:style w:type="character" w:customStyle="1" w:styleId="15">
    <w:name w:val="Body Text Indent Char1"/>
    <w:link w:val="12"/>
    <w:qFormat/>
    <w:uiPriority w:val="0"/>
    <w:rPr>
      <w:sz w:val="24"/>
    </w:rPr>
  </w:style>
  <w:style w:type="character" w:customStyle="1" w:styleId="16">
    <w:name w:val="批注框文本 Char"/>
    <w:basedOn w:val="9"/>
    <w:link w:val="3"/>
    <w:semiHidden/>
    <w:qFormat/>
    <w:uiPriority w:val="0"/>
    <w:rPr>
      <w:rFonts w:ascii="等线" w:hAnsi="等线" w:eastAsia="等线" w:cs="黑体"/>
      <w:kern w:val="2"/>
      <w:sz w:val="18"/>
      <w:szCs w:val="18"/>
    </w:rPr>
  </w:style>
  <w:style w:type="character" w:customStyle="1" w:styleId="17">
    <w:name w:val="批注文字 Char"/>
    <w:basedOn w:val="9"/>
    <w:link w:val="2"/>
    <w:semiHidden/>
    <w:qFormat/>
    <w:uiPriority w:val="0"/>
    <w:rPr>
      <w:rFonts w:ascii="等线" w:hAnsi="等线" w:eastAsia="等线" w:cs="黑体"/>
      <w:kern w:val="2"/>
      <w:sz w:val="21"/>
      <w:szCs w:val="22"/>
    </w:rPr>
  </w:style>
  <w:style w:type="character" w:customStyle="1" w:styleId="18">
    <w:name w:val="批注主题 Char"/>
    <w:basedOn w:val="17"/>
    <w:link w:val="6"/>
    <w:semiHidden/>
    <w:qFormat/>
    <w:uiPriority w:val="0"/>
    <w:rPr>
      <w:rFonts w:ascii="等线" w:hAnsi="等线" w:eastAsia="等线" w:cs="黑体"/>
      <w:b/>
      <w:bCs/>
      <w:kern w:val="2"/>
      <w:sz w:val="21"/>
      <w:szCs w:val="22"/>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DoubleOX</Company>
  <Pages>5</Pages>
  <Words>565</Words>
  <Characters>3223</Characters>
  <Lines>26</Lines>
  <Paragraphs>7</Paragraphs>
  <TotalTime>0</TotalTime>
  <ScaleCrop>false</ScaleCrop>
  <LinksUpToDate>false</LinksUpToDate>
  <CharactersWithSpaces>3781</CharactersWithSpaces>
  <Application>WPS Office WWO_wpscloud_20221226105305-1d712461b5</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2024-01-17T18:02:00Z</dcterms:created>
  <dc:creator>Administrator</dc:creator>
  <cp:lastModifiedBy>zengyujiao</cp:lastModifiedBy>
  <dcterms:modified xsi:type="dcterms:W3CDTF">2024-01-31T15:30:35Z</dcterms:modified>
  <dc:title>华融湘江银行代销个人理财产品协议书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