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7C63C3">
      <w:pPr>
        <w:pStyle w:val="191"/>
        <w:ind w:left="420"/>
        <w:rPr>
          <w:rFonts w:hint="eastAsia"/>
        </w:rPr>
      </w:pPr>
      <w:r>
        <w:rPr>
          <w:rFonts w:hint="eastAsia"/>
        </w:rPr>
        <w:t>宁银理财宁欣固定收益类封闭式理财3498号（丰利款）</w:t>
      </w:r>
      <w:r>
        <w:t>说明书</w:t>
      </w:r>
    </w:p>
    <w:p w14:paraId="2CB67530">
      <w:pPr>
        <w:spacing w:line="312" w:lineRule="auto"/>
        <w:jc w:val="center"/>
        <w:rPr>
          <w:rFonts w:hint="eastAsia" w:ascii="黑体" w:hAnsi="黑体"/>
          <w:sz w:val="44"/>
          <w:szCs w:val="44"/>
        </w:rPr>
      </w:pPr>
      <w:r>
        <w:rPr>
          <w:rFonts w:hint="eastAsia" w:ascii="黑体" w:hAnsi="黑体"/>
          <w:sz w:val="24"/>
        </w:rPr>
        <w:t>（202</w:t>
      </w:r>
      <w:r>
        <w:rPr>
          <w:rFonts w:hint="eastAsia" w:ascii="黑体" w:hAnsi="黑体"/>
          <w:sz w:val="24"/>
          <w:lang w:eastAsia="zh"/>
        </w:rPr>
        <w:t>60</w:t>
      </w:r>
      <w:r>
        <w:rPr>
          <w:rFonts w:hint="eastAsia" w:ascii="黑体" w:hAnsi="黑体"/>
          <w:sz w:val="24"/>
        </w:rPr>
        <w:t>4版/适用于封闭式净值型理财产品）</w:t>
      </w:r>
    </w:p>
    <w:p w14:paraId="1BC69A56">
      <w:pPr>
        <w:spacing w:line="312" w:lineRule="auto"/>
        <w:jc w:val="center"/>
        <w:rPr>
          <w:rFonts w:hint="eastAsia" w:ascii="黑体" w:hAnsi="黑体" w:cs="宋体"/>
          <w:sz w:val="44"/>
          <w:szCs w:val="44"/>
        </w:rPr>
      </w:pPr>
    </w:p>
    <w:p w14:paraId="4CE31B16">
      <w:pPr>
        <w:jc w:val="left"/>
        <w:rPr>
          <w:rFonts w:hint="eastAsia" w:ascii="黑体" w:hAnsi="黑体" w:cs="黑体"/>
          <w:b/>
          <w:szCs w:val="20"/>
        </w:rPr>
      </w:pPr>
      <w:r>
        <w:rPr>
          <w:rFonts w:hint="eastAsia" w:ascii="黑体" w:hAnsi="黑体" w:cs="黑体"/>
          <w:b/>
          <w:szCs w:val="20"/>
        </w:rPr>
        <w:t>一、重要说明</w:t>
      </w:r>
    </w:p>
    <w:p w14:paraId="6E287909">
      <w:pPr>
        <w:pStyle w:val="196"/>
        <w:rPr>
          <w:rFonts w:hint="eastAsia"/>
        </w:rPr>
      </w:pPr>
      <w:r>
        <w:t>1、《</w:t>
      </w:r>
      <w:r>
        <w:rPr>
          <w:rFonts w:hint="eastAsia"/>
        </w:rPr>
        <w:t>宁银理财宁欣固定收益类封闭式理财3498号（丰利款）</w:t>
      </w:r>
      <w:r>
        <w:t>产品说明书》（下称“本说明书”或《理财产品说明书》）与本理财产品的《风险揭示书》、《销售（代理销售）协议书》</w:t>
      </w:r>
      <w:r>
        <w:rPr>
          <w:rFonts w:hint="eastAsia"/>
        </w:rPr>
        <w:t>（通过代理销售机构销售的，文件具体名称以代理销售机构为准，下同）</w:t>
      </w:r>
      <w:r>
        <w:t>、《投资协议书》、《投资者权益须知》等理财产品销售文件共同构成一份完整且不可分割的、关于甲方所投资乙方理财产品的全部协议。若本说明书与上述其他文本有不一致之处，以本说明书为准。</w:t>
      </w:r>
    </w:p>
    <w:p w14:paraId="32365435">
      <w:pPr>
        <w:pStyle w:val="189"/>
        <w:ind w:firstLine="420"/>
        <w:rPr>
          <w:rFonts w:hint="eastAsia"/>
        </w:rPr>
      </w:pPr>
      <w:r>
        <w:rPr>
          <w:rFonts w:hint="eastAsia"/>
        </w:rPr>
        <w:t>2、宁银理财</w:t>
      </w:r>
      <w:r>
        <w:t>有限责任</w:t>
      </w:r>
      <w:r>
        <w:rPr>
          <w:rFonts w:hint="eastAsia"/>
        </w:rPr>
        <w:t>公司（下称“产品管理人</w:t>
      </w:r>
      <w:r>
        <w:t>”</w:t>
      </w:r>
      <w:r>
        <w:rPr>
          <w:rFonts w:hint="eastAsia"/>
        </w:rPr>
        <w:t>）代理投资者进行理财资金的投资和管理，并严格遵照本说明书所载的内容进行操作。</w:t>
      </w:r>
    </w:p>
    <w:p w14:paraId="61C217A0">
      <w:pPr>
        <w:pStyle w:val="189"/>
        <w:ind w:firstLine="420"/>
        <w:rPr>
          <w:rFonts w:hint="eastAsia"/>
        </w:rPr>
      </w:pPr>
      <w:r>
        <w:rPr>
          <w:rFonts w:hint="eastAsia"/>
        </w:rPr>
        <w:t>3、产品管理人对本说明书具有解释权。</w:t>
      </w:r>
    </w:p>
    <w:p w14:paraId="39F3EF0B">
      <w:pPr>
        <w:ind w:firstLine="422"/>
        <w:jc w:val="left"/>
        <w:rPr>
          <w:rFonts w:hint="eastAsia" w:ascii="黑体" w:hAnsi="黑体" w:cs="黑体"/>
          <w:b/>
          <w:szCs w:val="21"/>
        </w:rPr>
      </w:pPr>
      <w:r>
        <w:rPr>
          <w:rFonts w:ascii="黑体" w:hAnsi="黑体" w:cs="黑体"/>
          <w:b/>
          <w:szCs w:val="21"/>
        </w:rPr>
        <w:t>4、理财产品过往业绩不代表其未来表现，不等于理财产品实际收益，投资须谨慎。</w:t>
      </w:r>
    </w:p>
    <w:p w14:paraId="1A5471F0">
      <w:pPr>
        <w:ind w:firstLine="420"/>
        <w:jc w:val="left"/>
        <w:rPr>
          <w:rFonts w:hint="eastAsia" w:ascii="黑体" w:hAnsi="黑体" w:cs="黑体"/>
          <w:szCs w:val="21"/>
        </w:rPr>
      </w:pPr>
    </w:p>
    <w:p w14:paraId="4CEB0C1E">
      <w:pPr>
        <w:jc w:val="left"/>
        <w:rPr>
          <w:rFonts w:hint="eastAsia" w:ascii="黑体" w:hAnsi="黑体" w:cs="黑体"/>
          <w:b/>
          <w:szCs w:val="21"/>
        </w:rPr>
      </w:pPr>
      <w:r>
        <w:rPr>
          <w:rFonts w:hint="eastAsia" w:ascii="黑体" w:hAnsi="黑体" w:cs="黑体"/>
          <w:b/>
          <w:szCs w:val="21"/>
        </w:rPr>
        <w:t>二</w:t>
      </w:r>
      <w:r>
        <w:rPr>
          <w:rFonts w:ascii="黑体" w:hAnsi="黑体" w:cs="黑体"/>
          <w:b/>
          <w:szCs w:val="21"/>
        </w:rPr>
        <w:t>、</w:t>
      </w:r>
      <w:r>
        <w:rPr>
          <w:rFonts w:hint="eastAsia" w:ascii="黑体" w:hAnsi="黑体" w:cs="黑体"/>
          <w:b/>
          <w:szCs w:val="21"/>
        </w:rPr>
        <w:t>产品要素</w:t>
      </w:r>
    </w:p>
    <w:tbl>
      <w:tblPr>
        <w:tblStyle w:val="19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6458"/>
      </w:tblGrid>
      <w:tr w14:paraId="21C42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4EC2D51C">
            <w:pPr>
              <w:pStyle w:val="189"/>
              <w:rPr>
                <w:rFonts w:hint="eastAsia"/>
              </w:rPr>
            </w:pPr>
            <w:r>
              <w:rPr>
                <w:rFonts w:hint="eastAsia"/>
              </w:rPr>
              <w:t>产品代码</w:t>
            </w:r>
          </w:p>
        </w:tc>
        <w:tc>
          <w:tcPr>
            <w:tcW w:w="6458" w:type="dxa"/>
          </w:tcPr>
          <w:p w14:paraId="4380A483">
            <w:pPr>
              <w:pStyle w:val="195"/>
              <w:rPr>
                <w:rFonts w:hint="eastAsia"/>
              </w:rPr>
            </w:pPr>
            <w:r>
              <w:rPr>
                <w:rFonts w:hint="eastAsia"/>
              </w:rPr>
              <w:t>ZGN2613498</w:t>
            </w:r>
          </w:p>
        </w:tc>
      </w:tr>
      <w:tr w14:paraId="0A939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70A827CD">
            <w:pPr>
              <w:pStyle w:val="189"/>
              <w:rPr>
                <w:rFonts w:hint="eastAsia"/>
              </w:rPr>
            </w:pPr>
            <w:r>
              <w:rPr>
                <w:rFonts w:hint="eastAsia"/>
              </w:rPr>
              <w:t>全国银行业信息登记系统编码</w:t>
            </w:r>
          </w:p>
        </w:tc>
        <w:tc>
          <w:tcPr>
            <w:tcW w:w="6458" w:type="dxa"/>
          </w:tcPr>
          <w:p w14:paraId="2520ADCA">
            <w:pPr>
              <w:pStyle w:val="189"/>
              <w:rPr>
                <w:rFonts w:hint="eastAsia" w:cs="黑体"/>
              </w:rPr>
            </w:pPr>
            <w:r>
              <w:rPr>
                <w:rFonts w:cs="黑体"/>
              </w:rPr>
              <w:t>Z7002126000585</w:t>
            </w:r>
          </w:p>
          <w:p w14:paraId="68B656EA">
            <w:pPr>
              <w:pStyle w:val="189"/>
              <w:rPr>
                <w:rFonts w:hint="eastAsia"/>
              </w:rPr>
            </w:pPr>
            <w:r>
              <w:rPr>
                <w:rFonts w:hint="eastAsia"/>
              </w:rPr>
              <w:t>凭此编码可在“中国理财网（www.chinawealth.com.cn）”上查询本产品信息</w:t>
            </w:r>
          </w:p>
        </w:tc>
      </w:tr>
      <w:tr w14:paraId="3A6EC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2C3F49FA">
            <w:pPr>
              <w:pStyle w:val="189"/>
              <w:rPr>
                <w:rFonts w:hint="eastAsia"/>
              </w:rPr>
            </w:pPr>
            <w:r>
              <w:rPr>
                <w:rFonts w:hint="eastAsia"/>
              </w:rPr>
              <w:t>产品名称</w:t>
            </w:r>
          </w:p>
        </w:tc>
        <w:tc>
          <w:tcPr>
            <w:tcW w:w="6458" w:type="dxa"/>
          </w:tcPr>
          <w:p w14:paraId="27DF81C9">
            <w:pPr>
              <w:pStyle w:val="195"/>
              <w:rPr>
                <w:rFonts w:hint="eastAsia"/>
              </w:rPr>
            </w:pPr>
            <w:r>
              <w:rPr>
                <w:rFonts w:hint="eastAsia"/>
              </w:rPr>
              <w:t>宁银理财宁欣固定收益类封闭式理财3498号（丰利款）</w:t>
            </w:r>
          </w:p>
        </w:tc>
      </w:tr>
    </w:tbl>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6458"/>
      </w:tblGrid>
      <w:tr w14:paraId="2EB33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838" w:type="dxa"/>
            <w:tcBorders>
              <w:top w:val="single" w:color="auto" w:sz="4" w:space="0"/>
            </w:tcBorders>
          </w:tcPr>
          <w:p w14:paraId="62CA796A">
            <w:pPr>
              <w:pStyle w:val="189"/>
              <w:rPr>
                <w:rFonts w:hint="eastAsia"/>
              </w:rPr>
            </w:pPr>
            <w:r>
              <w:rPr>
                <w:rFonts w:hint="eastAsia"/>
              </w:rPr>
              <w:t>产品类型</w:t>
            </w:r>
          </w:p>
        </w:tc>
        <w:tc>
          <w:tcPr>
            <w:tcW w:w="6458" w:type="dxa"/>
            <w:tcBorders>
              <w:top w:val="single" w:color="auto" w:sz="4" w:space="0"/>
            </w:tcBorders>
          </w:tcPr>
          <w:p w14:paraId="0E38C82B">
            <w:pPr>
              <w:pStyle w:val="189"/>
              <w:rPr>
                <w:rFonts w:hint="eastAsia"/>
                <w:b/>
                <w:bCs/>
              </w:rPr>
            </w:pPr>
            <w:r>
              <w:rPr>
                <w:rFonts w:hint="eastAsia"/>
                <w:b/>
                <w:bCs/>
              </w:rPr>
              <w:t>固定收益类、非保本浮动收益型</w:t>
            </w:r>
          </w:p>
        </w:tc>
      </w:tr>
      <w:tr w14:paraId="48978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487EDBD0">
            <w:pPr>
              <w:pStyle w:val="189"/>
              <w:rPr>
                <w:rFonts w:hint="eastAsia"/>
              </w:rPr>
            </w:pPr>
            <w:r>
              <w:rPr>
                <w:rFonts w:hint="eastAsia"/>
              </w:rPr>
              <w:t>募集方式</w:t>
            </w:r>
          </w:p>
        </w:tc>
        <w:tc>
          <w:tcPr>
            <w:tcW w:w="6458" w:type="dxa"/>
          </w:tcPr>
          <w:p w14:paraId="4108CA85">
            <w:pPr>
              <w:pStyle w:val="189"/>
              <w:rPr>
                <w:rFonts w:hint="eastAsia"/>
                <w:b/>
                <w:bCs/>
              </w:rPr>
            </w:pPr>
            <w:r>
              <w:rPr>
                <w:rFonts w:hint="eastAsia"/>
                <w:b/>
                <w:bCs/>
              </w:rPr>
              <w:t>公募</w:t>
            </w:r>
          </w:p>
        </w:tc>
      </w:tr>
      <w:tr w14:paraId="16AD4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3FD3717E">
            <w:pPr>
              <w:pStyle w:val="189"/>
              <w:rPr>
                <w:rFonts w:hint="eastAsia"/>
              </w:rPr>
            </w:pPr>
            <w:r>
              <w:rPr>
                <w:rFonts w:hint="eastAsia"/>
              </w:rPr>
              <w:t>产品评级</w:t>
            </w:r>
          </w:p>
        </w:tc>
        <w:tc>
          <w:tcPr>
            <w:tcW w:w="6458" w:type="dxa"/>
          </w:tcPr>
          <w:p w14:paraId="6E66DFF4">
            <w:pPr>
              <w:pStyle w:val="189"/>
              <w:rPr>
                <w:rFonts w:hint="eastAsia"/>
                <w:b/>
                <w:bCs/>
              </w:rPr>
            </w:pPr>
            <w:r>
              <w:rPr>
                <w:rFonts w:hint="eastAsia"/>
                <w:b/>
                <w:bCs/>
              </w:rPr>
              <w:t>PR2</w:t>
            </w:r>
          </w:p>
          <w:p w14:paraId="51DC0BCF">
            <w:pPr>
              <w:autoSpaceDE w:val="0"/>
              <w:autoSpaceDN w:val="0"/>
              <w:adjustRightInd w:val="0"/>
              <w:jc w:val="left"/>
              <w:rPr>
                <w:rFonts w:hint="eastAsia" w:ascii="黑体" w:hAnsi="黑体" w:cs="黑体"/>
                <w:b/>
                <w:szCs w:val="21"/>
              </w:rPr>
            </w:pPr>
            <w:r>
              <w:rPr>
                <w:rFonts w:hint="eastAsia" w:ascii="黑体" w:hAnsi="黑体" w:cs="黑体"/>
                <w:b/>
                <w:szCs w:val="21"/>
                <w:lang w:bidi="ar"/>
              </w:rPr>
              <w:t>在产品存续期间，当市场环境等因素发生变化时，产品管理人可能对产品风险评级进行调整，具体以届时信息披露公告为准。</w:t>
            </w:r>
          </w:p>
          <w:p w14:paraId="5A157542">
            <w:pPr>
              <w:pStyle w:val="189"/>
              <w:rPr>
                <w:rFonts w:hint="eastAsia"/>
              </w:rPr>
            </w:pPr>
            <w:r>
              <w:rPr>
                <w:rFonts w:hint="eastAsia"/>
              </w:rPr>
              <w:t>本评级为产品管理人内部评级，仅供参考。该产品通过代理销售机构渠道销售的，理财产品评级应当以代理销售机构最终披露的评级结果为准。</w:t>
            </w:r>
          </w:p>
        </w:tc>
      </w:tr>
      <w:tr w14:paraId="71B51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793867DC">
            <w:pPr>
              <w:pStyle w:val="189"/>
              <w:rPr>
                <w:rFonts w:hint="eastAsia"/>
              </w:rPr>
            </w:pPr>
            <w:r>
              <w:rPr>
                <w:rFonts w:hint="eastAsia"/>
              </w:rPr>
              <w:t>目标投资者</w:t>
            </w:r>
          </w:p>
        </w:tc>
        <w:tc>
          <w:tcPr>
            <w:tcW w:w="6458" w:type="dxa"/>
          </w:tcPr>
          <w:p w14:paraId="03141C92">
            <w:pPr>
              <w:pStyle w:val="189"/>
              <w:jc w:val="left"/>
              <w:rPr>
                <w:rFonts w:hint="eastAsia"/>
                <w:b/>
              </w:rPr>
            </w:pPr>
            <w:r>
              <w:rPr>
                <w:b/>
                <w:bCs/>
              </w:rPr>
              <w:t>风险评级为</w:t>
            </w:r>
            <w:r>
              <w:rPr>
                <w:rFonts w:hint="eastAsia"/>
                <w:b/>
                <w:bCs/>
              </w:rPr>
              <w:t>稳健型,平衡型,成长型,进取型</w:t>
            </w:r>
            <w:r>
              <w:rPr>
                <w:b/>
                <w:bCs/>
              </w:rPr>
              <w:t>的</w:t>
            </w:r>
            <w:r>
              <w:rPr>
                <w:rFonts w:hint="eastAsia"/>
                <w:b/>
                <w:bCs/>
              </w:rPr>
              <w:t>投资者</w:t>
            </w:r>
            <w:r>
              <w:rPr>
                <w:b/>
              </w:rPr>
              <w:br w:type="textWrapping"/>
            </w:r>
            <w:r>
              <w:rPr>
                <w:b/>
              </w:rPr>
              <w:t>其中A份额（销售代码:ZGN2613498A）面向台州银行渠道客户，B份额（销售代码:ZGN2613498B）面向台州银行私行专属，C份额（销售代码:ZGN2613498C）面向湖南银行渠道客户，D份额（销售代码:ZGN2613498D）面向长沙银行渠道客户</w:t>
            </w:r>
          </w:p>
          <w:p w14:paraId="5A15B7FC">
            <w:pPr>
              <w:pStyle w:val="189"/>
              <w:rPr>
                <w:rFonts w:hint="eastAsia"/>
                <w:b/>
              </w:rPr>
            </w:pPr>
            <w:r>
              <w:rPr>
                <w:b/>
              </w:rPr>
              <w:t>(上述规则具体以销售机构定义的规则为准)</w:t>
            </w:r>
          </w:p>
        </w:tc>
      </w:tr>
      <w:tr w14:paraId="4C32C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7BCA9F29">
            <w:pPr>
              <w:pStyle w:val="189"/>
              <w:rPr>
                <w:rFonts w:hint="eastAsia"/>
              </w:rPr>
            </w:pPr>
            <w:r>
              <w:rPr>
                <w:rFonts w:hint="eastAsia"/>
              </w:rPr>
              <w:t>本金及收益币种</w:t>
            </w:r>
          </w:p>
        </w:tc>
        <w:tc>
          <w:tcPr>
            <w:tcW w:w="6458" w:type="dxa"/>
          </w:tcPr>
          <w:p w14:paraId="6604B03F">
            <w:pPr>
              <w:pStyle w:val="189"/>
              <w:rPr>
                <w:rFonts w:hint="eastAsia"/>
                <w:b/>
                <w:bCs/>
              </w:rPr>
            </w:pPr>
            <w:r>
              <w:rPr>
                <w:b/>
                <w:bCs/>
              </w:rPr>
              <w:t>人民币</w:t>
            </w:r>
          </w:p>
        </w:tc>
      </w:tr>
      <w:tr w14:paraId="29C62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5AE26A11">
            <w:pPr>
              <w:pStyle w:val="189"/>
              <w:rPr>
                <w:rFonts w:hint="eastAsia"/>
              </w:rPr>
            </w:pPr>
            <w:r>
              <w:rPr>
                <w:rFonts w:hint="eastAsia"/>
              </w:rPr>
              <w:t>业绩比较基准</w:t>
            </w:r>
          </w:p>
        </w:tc>
        <w:tc>
          <w:tcPr>
            <w:tcW w:w="6458" w:type="dxa"/>
          </w:tcPr>
          <w:p w14:paraId="6F535E4E">
            <w:pPr>
              <w:pStyle w:val="189"/>
              <w:rPr>
                <w:rFonts w:hint="eastAsia"/>
                <w:b/>
                <w:bCs/>
              </w:rPr>
            </w:pPr>
            <w:r>
              <w:rPr>
                <w:b/>
                <w:bCs/>
              </w:rPr>
              <w:t>A份额：2.37%-2.67%</w:t>
            </w:r>
            <w:r>
              <w:rPr>
                <w:b/>
                <w:bCs/>
              </w:rPr>
              <w:br w:type="textWrapping"/>
            </w:r>
            <w:r>
              <w:rPr>
                <w:b/>
                <w:bCs/>
              </w:rPr>
              <w:t>B份额：2.6%-2.9%</w:t>
            </w:r>
            <w:r>
              <w:rPr>
                <w:b/>
                <w:bCs/>
              </w:rPr>
              <w:br w:type="textWrapping"/>
            </w:r>
            <w:r>
              <w:rPr>
                <w:b/>
                <w:bCs/>
              </w:rPr>
              <w:t>C份额：2.25%-2.55%</w:t>
            </w:r>
            <w:r>
              <w:rPr>
                <w:b/>
                <w:bCs/>
              </w:rPr>
              <w:br w:type="textWrapping"/>
            </w:r>
            <w:r>
              <w:rPr>
                <w:b/>
                <w:bCs/>
              </w:rPr>
              <w:t>D份额：2.35%-2.65%</w:t>
            </w:r>
          </w:p>
          <w:p w14:paraId="35183CE7">
            <w:pPr>
              <w:pStyle w:val="189"/>
              <w:rPr>
                <w:rFonts w:hint="eastAsia"/>
                <w:b/>
                <w:bCs/>
              </w:rPr>
            </w:pPr>
            <w:r>
              <w:rPr>
                <w:rFonts w:hint="eastAsia"/>
                <w:b/>
                <w:bCs/>
              </w:rPr>
              <w:t>业绩比较基准不是预期收益率，不代表产品的未来表现和实际收益，不构成对产品收益的承诺，仅供投资者参考。</w:t>
            </w:r>
          </w:p>
          <w:p w14:paraId="5D0F73E5">
            <w:pPr>
              <w:jc w:val="left"/>
              <w:rPr>
                <w:rFonts w:hint="eastAsia" w:ascii="黑体" w:hAnsi="黑体" w:cs="黑体"/>
                <w:b/>
                <w:szCs w:val="21"/>
              </w:rPr>
            </w:pPr>
            <w:r>
              <w:rPr>
                <w:rFonts w:ascii="黑体" w:hAnsi="黑体" w:cs="黑体"/>
                <w:b/>
                <w:szCs w:val="21"/>
              </w:rPr>
              <w:t>业绩比较基准历次调整情况（如有）详见产品说明书尾页。</w:t>
            </w:r>
          </w:p>
          <w:p w14:paraId="7B6737A4">
            <w:pPr>
              <w:pStyle w:val="189"/>
              <w:rPr>
                <w:rFonts w:hint="eastAsia"/>
              </w:rPr>
            </w:pPr>
          </w:p>
          <w:p w14:paraId="12021426">
            <w:pPr>
              <w:pStyle w:val="188"/>
              <w:rPr>
                <w:rFonts w:hint="eastAsia"/>
              </w:rPr>
            </w:pPr>
            <w:r>
              <w:rPr>
                <w:rFonts w:hint="eastAsia"/>
              </w:rPr>
              <w:t>业绩比较基准测算依据：本理财产品业绩比较基准为产品管理人依据理财产品的投资范围和投资策略，基于产品性质和过往经验，并综合考虑市场环境等因素测算得到的年化收益。本产品杠杆率不超过【200%】，计划将80%-100%的资金投资于固定收益类资产，0%-20%的资金投资于权益类资产，0%-20%的资金投资于商品及金融衍生品类资产（投资范围详见“三、产品投资管理”部分），参照市场利率水平和投资资产的市场表现，扣除各项费用，经综合测算后设定本产品的业绩比较基准。</w:t>
            </w:r>
          </w:p>
          <w:p w14:paraId="608D7AD0">
            <w:pPr>
              <w:rPr>
                <w:rFonts w:hint="eastAsia" w:ascii="黑体" w:hAnsi="黑体"/>
              </w:rPr>
            </w:pPr>
          </w:p>
          <w:p w14:paraId="60CC2E98">
            <w:pPr>
              <w:pStyle w:val="20"/>
              <w:pBdr>
                <w:top w:val="none" w:color="000000" w:sz="0" w:space="0"/>
                <w:left w:val="none" w:color="000000" w:sz="0" w:space="0"/>
                <w:bottom w:val="none" w:color="000000" w:sz="0" w:space="0"/>
                <w:right w:val="none" w:color="000000" w:sz="0" w:space="0"/>
                <w:between w:val="none" w:color="000000" w:sz="0" w:space="0"/>
              </w:pBdr>
              <w:spacing w:beforeAutospacing="0" w:afterAutospacing="0"/>
              <w:rPr>
                <w:rFonts w:hint="eastAsia" w:ascii="黑体" w:hAnsi="黑体" w:cs="黑体"/>
                <w:sz w:val="21"/>
                <w:szCs w:val="18"/>
              </w:rPr>
            </w:pPr>
            <w:r>
              <w:rPr>
                <w:rFonts w:hint="eastAsia" w:ascii="黑体" w:hAnsi="黑体" w:cs="黑体"/>
                <w:b/>
                <w:sz w:val="21"/>
                <w:szCs w:val="18"/>
              </w:rPr>
              <w:t>本产品将采取灵活的资产配置策略和积极主动的投资管理措施，并适时运用骑乘策略、杠杆策略和票息策略等投资策略，对投资组合进行收益增厚。在严格控制风险的基础上，力争为投资者提供持续稳健的投资回报。</w:t>
            </w:r>
          </w:p>
          <w:p w14:paraId="613132E9">
            <w:pPr>
              <w:pStyle w:val="188"/>
              <w:rPr>
                <w:rFonts w:hint="eastAsia"/>
              </w:rPr>
            </w:pPr>
            <w:r>
              <w:rPr>
                <w:rFonts w:hint="eastAsia"/>
              </w:rPr>
              <w:t>业绩比较基准可用于确定产品管理人是否收取超额业绩报酬，投资者所能获得的最终收益以管理人实际支付为准，业绩比较基准并不作为产品管理人向投资者支付本产品本金或收益的承诺。</w:t>
            </w:r>
          </w:p>
          <w:p w14:paraId="06308ED9">
            <w:pPr>
              <w:pStyle w:val="189"/>
              <w:rPr>
                <w:rFonts w:hint="eastAsia"/>
              </w:rPr>
            </w:pPr>
            <w:r>
              <w:rPr>
                <w:rFonts w:hint="eastAsia"/>
              </w:rPr>
              <w:t>本产品为净值型产品，业绩表现将随市场情况波动，具有不确定性。当监管政策调整或产品投资策略、投资范围发生重大变化，导致理财产品的业绩比较基准需要调整时，产品管理人将至少于调整日之前</w:t>
            </w:r>
            <w:r>
              <w:t>3</w:t>
            </w:r>
            <w:r>
              <w:rPr>
                <w:rFonts w:hint="eastAsia"/>
              </w:rPr>
              <w:t>个工作日通过宁银理财及代理销售机构官方渠道、行业统一信息披露渠道（中国理财网）或与投资者约定的其他渠道公布调整情况和调整原因。</w:t>
            </w:r>
          </w:p>
        </w:tc>
      </w:tr>
      <w:tr w14:paraId="65AF5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2F519D21">
            <w:pPr>
              <w:pStyle w:val="189"/>
              <w:rPr>
                <w:rFonts w:hint="eastAsia"/>
              </w:rPr>
            </w:pPr>
            <w:r>
              <w:rPr>
                <w:rFonts w:hint="eastAsia"/>
              </w:rPr>
              <w:t>产品</w:t>
            </w:r>
            <w:r>
              <w:t>募集期</w:t>
            </w:r>
          </w:p>
        </w:tc>
        <w:tc>
          <w:tcPr>
            <w:tcW w:w="6458" w:type="dxa"/>
          </w:tcPr>
          <w:p w14:paraId="74A2F204">
            <w:pPr>
              <w:pStyle w:val="189"/>
              <w:rPr>
                <w:rFonts w:hint="eastAsia"/>
                <w:b/>
                <w:bCs/>
              </w:rPr>
            </w:pPr>
            <w:r>
              <w:rPr>
                <w:rFonts w:hint="eastAsia"/>
                <w:b/>
                <w:bCs/>
              </w:rPr>
              <w:t>2026年9月9日至2026年9月15日</w:t>
            </w:r>
          </w:p>
          <w:p w14:paraId="53D429BC">
            <w:pPr>
              <w:pStyle w:val="189"/>
              <w:numPr>
                <w:ilvl w:val="0"/>
                <w:numId w:val="1"/>
              </w:numPr>
              <w:rPr>
                <w:rFonts w:hint="eastAsia"/>
              </w:rPr>
            </w:pPr>
            <w:r>
              <w:rPr>
                <w:rFonts w:hint="eastAsia"/>
              </w:rPr>
              <w:t>在本产品募集期内，产品管理人有权根据产品实际募集情况调整产品募集结束日，调整前将进行相关信息披露。</w:t>
            </w:r>
          </w:p>
        </w:tc>
      </w:tr>
      <w:tr w14:paraId="06D8F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50926CB7">
            <w:pPr>
              <w:pStyle w:val="189"/>
              <w:rPr>
                <w:rFonts w:hint="eastAsia"/>
              </w:rPr>
            </w:pPr>
            <w:r>
              <w:rPr>
                <w:rFonts w:hint="eastAsia"/>
              </w:rPr>
              <w:t>产品</w:t>
            </w:r>
            <w:r>
              <w:t>成立日</w:t>
            </w:r>
          </w:p>
        </w:tc>
        <w:tc>
          <w:tcPr>
            <w:tcW w:w="6458" w:type="dxa"/>
          </w:tcPr>
          <w:p w14:paraId="40201AEB">
            <w:pPr>
              <w:pStyle w:val="189"/>
              <w:rPr>
                <w:rFonts w:hint="eastAsia"/>
                <w:b/>
                <w:bCs/>
                <w:u w:val="single"/>
              </w:rPr>
            </w:pPr>
            <w:r>
              <w:rPr>
                <w:b/>
                <w:bCs/>
              </w:rPr>
              <w:t>本产品成立日为</w:t>
            </w:r>
            <w:r>
              <w:rPr>
                <w:rFonts w:hint="eastAsia"/>
                <w:b/>
                <w:bCs/>
              </w:rPr>
              <w:t>2026年9月16日</w:t>
            </w:r>
          </w:p>
          <w:p w14:paraId="1F9A2F09">
            <w:pPr>
              <w:pStyle w:val="189"/>
              <w:rPr>
                <w:rFonts w:hint="eastAsia"/>
              </w:rPr>
            </w:pPr>
            <w:r>
              <w:rPr>
                <w:rFonts w:hint="eastAsia"/>
              </w:rPr>
              <w:t>1、为保护投资者权益，产品管理人可根据市场变化情况缩短或延长募集期并提前或推迟成立，届时产品管理人将调整相关日期并进行信息披露。</w:t>
            </w:r>
          </w:p>
          <w:p w14:paraId="5EBFC024">
            <w:pPr>
              <w:pStyle w:val="189"/>
              <w:rPr>
                <w:rFonts w:hint="eastAsia"/>
              </w:rPr>
            </w:pPr>
            <w:r>
              <w:rPr>
                <w:rFonts w:hint="eastAsia"/>
              </w:rPr>
              <w:t>2、若产品认购份额未达到最低成立规模，或遇到包括但不限于国家金融政策发生重大调整、金融市场发生重大波动、不可抗力或产品管理人认为会影响产品成立的其他因素时，</w:t>
            </w:r>
            <w:r>
              <w:rPr>
                <w:rFonts w:hint="eastAsia"/>
                <w:b/>
              </w:rPr>
              <w:t>产品管理人可以宣布产品不成立，该情形下投资者认购资金将于产品募集期结束后5个工作日内解冻或返还至投资者指定账户，在途期间</w:t>
            </w:r>
            <w:r>
              <w:rPr>
                <w:b/>
              </w:rPr>
              <w:t>，产品管理人不向投资者计付利息，销售机构是否计付利息以销售机构为准。</w:t>
            </w:r>
          </w:p>
        </w:tc>
      </w:tr>
      <w:tr w14:paraId="44EB1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623A8EB3">
            <w:pPr>
              <w:pStyle w:val="189"/>
              <w:rPr>
                <w:rFonts w:hint="eastAsia"/>
                <w:b/>
              </w:rPr>
            </w:pPr>
            <w:r>
              <w:rPr>
                <w:rFonts w:hint="eastAsia"/>
              </w:rPr>
              <w:t>产品</w:t>
            </w:r>
            <w:r>
              <w:t>期限</w:t>
            </w:r>
          </w:p>
        </w:tc>
        <w:tc>
          <w:tcPr>
            <w:tcW w:w="6458" w:type="dxa"/>
          </w:tcPr>
          <w:p w14:paraId="75B9A05C">
            <w:pPr>
              <w:pStyle w:val="189"/>
              <w:rPr>
                <w:rFonts w:hint="eastAsia"/>
                <w:b/>
              </w:rPr>
            </w:pPr>
            <w:r>
              <w:rPr>
                <w:rFonts w:hint="eastAsia"/>
                <w:b/>
              </w:rPr>
              <w:t>400</w:t>
            </w:r>
            <w:r>
              <w:rPr>
                <w:b/>
              </w:rPr>
              <w:t>天</w:t>
            </w:r>
          </w:p>
        </w:tc>
      </w:tr>
      <w:tr w14:paraId="34294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52C32DB6">
            <w:pPr>
              <w:pStyle w:val="189"/>
              <w:rPr>
                <w:rFonts w:hint="eastAsia"/>
              </w:rPr>
            </w:pPr>
            <w:r>
              <w:rPr>
                <w:rFonts w:hint="eastAsia"/>
              </w:rPr>
              <w:t>产品</w:t>
            </w:r>
            <w:r>
              <w:t>到期</w:t>
            </w:r>
            <w:r>
              <w:rPr>
                <w:rFonts w:hint="eastAsia"/>
              </w:rPr>
              <w:t>日</w:t>
            </w:r>
          </w:p>
        </w:tc>
        <w:tc>
          <w:tcPr>
            <w:tcW w:w="6458" w:type="dxa"/>
          </w:tcPr>
          <w:p w14:paraId="6B011B0D">
            <w:pPr>
              <w:pStyle w:val="188"/>
              <w:rPr>
                <w:rFonts w:hint="eastAsia"/>
              </w:rPr>
            </w:pPr>
            <w:r>
              <w:rPr>
                <w:rFonts w:hint="eastAsia"/>
              </w:rPr>
              <w:t>2027年10月21日</w:t>
            </w:r>
          </w:p>
          <w:p w14:paraId="35AB25E7">
            <w:pPr>
              <w:pStyle w:val="188"/>
              <w:rPr>
                <w:rFonts w:hint="eastAsia"/>
              </w:rPr>
            </w:pPr>
            <w:r>
              <w:rPr>
                <w:rFonts w:hint="eastAsia"/>
              </w:rPr>
              <w:t>产品成立日至产品到期日期间为产品存续期。详见本产品说明书第七部分理财产品到期与终止。</w:t>
            </w:r>
          </w:p>
        </w:tc>
      </w:tr>
      <w:tr w14:paraId="0C0AA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028141CB">
            <w:pPr>
              <w:pStyle w:val="189"/>
              <w:rPr>
                <w:rFonts w:hint="eastAsia"/>
              </w:rPr>
            </w:pPr>
            <w:r>
              <w:rPr>
                <w:rFonts w:hint="eastAsia"/>
              </w:rPr>
              <w:t>认购及撤单时间</w:t>
            </w:r>
          </w:p>
        </w:tc>
        <w:tc>
          <w:tcPr>
            <w:tcW w:w="6458" w:type="dxa"/>
          </w:tcPr>
          <w:p w14:paraId="0B8EF6DF">
            <w:pPr>
              <w:pStyle w:val="189"/>
              <w:rPr>
                <w:rFonts w:hint="eastAsia"/>
              </w:rPr>
            </w:pPr>
            <w:r>
              <w:rPr>
                <w:rFonts w:hint="eastAsia"/>
              </w:rPr>
              <w:t>产品募集期第一日08:30至最后一日17:30投资者可以提交或撤销认购申请。具体交易规则见后文四、产品交易相关规则。</w:t>
            </w:r>
          </w:p>
          <w:p w14:paraId="4871AE83">
            <w:pPr>
              <w:pStyle w:val="189"/>
              <w:rPr>
                <w:rFonts w:hint="eastAsia"/>
              </w:rPr>
            </w:pPr>
            <w:r>
              <w:rPr>
                <w:rFonts w:hint="eastAsia"/>
              </w:rPr>
              <w:t>产品实际认购及撤单时间具体以销售渠道展示为准。</w:t>
            </w:r>
          </w:p>
        </w:tc>
      </w:tr>
      <w:tr w14:paraId="416D8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0E7E1E45">
            <w:pPr>
              <w:pStyle w:val="189"/>
              <w:rPr>
                <w:rFonts w:hint="eastAsia"/>
              </w:rPr>
            </w:pPr>
            <w:r>
              <w:rPr>
                <w:rFonts w:hint="eastAsia"/>
              </w:rPr>
              <w:t>产品</w:t>
            </w:r>
            <w:r>
              <w:t>最低成立规模</w:t>
            </w:r>
          </w:p>
        </w:tc>
        <w:tc>
          <w:tcPr>
            <w:tcW w:w="6458" w:type="dxa"/>
          </w:tcPr>
          <w:p w14:paraId="4AB49869">
            <w:pPr>
              <w:pStyle w:val="189"/>
              <w:rPr>
                <w:rFonts w:hint="eastAsia"/>
              </w:rPr>
            </w:pPr>
            <w:r>
              <w:rPr>
                <w:rFonts w:hint="eastAsia"/>
              </w:rPr>
              <w:t>1亿元</w:t>
            </w:r>
          </w:p>
        </w:tc>
      </w:tr>
      <w:tr w14:paraId="56C11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55CD9414">
            <w:pPr>
              <w:pStyle w:val="189"/>
              <w:rPr>
                <w:rFonts w:hint="eastAsia"/>
              </w:rPr>
            </w:pPr>
            <w:r>
              <w:t>产品规模上限</w:t>
            </w:r>
          </w:p>
        </w:tc>
        <w:tc>
          <w:tcPr>
            <w:tcW w:w="6458" w:type="dxa"/>
          </w:tcPr>
          <w:p w14:paraId="3D0BE96F">
            <w:pPr>
              <w:pStyle w:val="188"/>
              <w:rPr>
                <w:rFonts w:hint="eastAsia"/>
              </w:rPr>
            </w:pPr>
            <w:r>
              <w:t>产品规模上限为</w:t>
            </w:r>
            <w:r>
              <w:rPr>
                <w:rFonts w:hint="eastAsia"/>
              </w:rPr>
              <w:t>50亿元</w:t>
            </w:r>
          </w:p>
          <w:p w14:paraId="1169D7F0">
            <w:pPr>
              <w:pStyle w:val="188"/>
              <w:rPr>
                <w:rFonts w:hint="eastAsia"/>
              </w:rPr>
            </w:pPr>
            <w:r>
              <w:rPr>
                <w:rFonts w:hint="eastAsia"/>
              </w:rPr>
              <w:t>产品管理人可根据市场情况等调整产品规模的上限，调整前将进行相关信息披露。</w:t>
            </w:r>
          </w:p>
        </w:tc>
      </w:tr>
      <w:tr w14:paraId="39EA9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6D54E5A8">
            <w:pPr>
              <w:pStyle w:val="189"/>
              <w:rPr>
                <w:rFonts w:hint="eastAsia"/>
              </w:rPr>
            </w:pPr>
            <w:r>
              <w:rPr>
                <w:rFonts w:hint="eastAsia"/>
              </w:rPr>
              <w:t>首次</w:t>
            </w:r>
            <w:r>
              <w:t>购买起点金额</w:t>
            </w:r>
          </w:p>
        </w:tc>
        <w:tc>
          <w:tcPr>
            <w:tcW w:w="6458" w:type="dxa"/>
            <w:vAlign w:val="center"/>
          </w:tcPr>
          <w:p w14:paraId="6C8959A7">
            <w:pPr>
              <w:pStyle w:val="189"/>
              <w:rPr>
                <w:rFonts w:hint="eastAsia"/>
              </w:rPr>
            </w:pPr>
            <w:r>
              <w:rPr>
                <w:rFonts w:hint="eastAsia"/>
              </w:rPr>
              <w:t>A份额：个人投资者1元起售，机构投资者10元起售；B份额：个人投资者1元起售，机构投资者10元起售；C份额：个人投资者1元起售，机构投资者10元起售；D份额：个人投资者1元起售，机构投资者10元起售；</w:t>
            </w:r>
          </w:p>
          <w:p w14:paraId="16A62EB7">
            <w:pPr>
              <w:pStyle w:val="189"/>
              <w:rPr>
                <w:rFonts w:hint="eastAsia"/>
              </w:rPr>
            </w:pPr>
            <w:r>
              <w:rPr>
                <w:rFonts w:hint="eastAsia"/>
              </w:rPr>
              <w:t>（销售机构可以不低于上述标准设置起购金额，投资者购买本理财产品时以该销售机构最终要求为准）</w:t>
            </w:r>
          </w:p>
        </w:tc>
      </w:tr>
      <w:tr w14:paraId="608F6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55547947">
            <w:pPr>
              <w:pStyle w:val="189"/>
              <w:rPr>
                <w:rFonts w:hint="eastAsia"/>
              </w:rPr>
            </w:pPr>
            <w:r>
              <w:rPr>
                <w:rFonts w:hint="eastAsia"/>
              </w:rPr>
              <w:t>追加购买</w:t>
            </w:r>
            <w:r>
              <w:t>金额</w:t>
            </w:r>
          </w:p>
        </w:tc>
        <w:tc>
          <w:tcPr>
            <w:tcW w:w="6458" w:type="dxa"/>
          </w:tcPr>
          <w:p w14:paraId="2E650A29">
            <w:pPr>
              <w:pStyle w:val="189"/>
              <w:rPr>
                <w:rFonts w:hint="eastAsia"/>
              </w:rPr>
            </w:pPr>
            <w:r>
              <w:rPr>
                <w:rFonts w:hint="eastAsia"/>
              </w:rPr>
              <w:t>A份额：追加金额个人投资者以1元增加，追加购买金额中不足1元的部分，产品管理人有权不确认；追加金额机构投资者以1元增加，追加购买金额中不足1元的部分，产品管理人有权不确认；B份额：追加金额个人投资者以1元增加，追加购买金额中不足1元的部分，产品管理人有权不确认；追加金额机构投资者以1元增加，追加购买金额中不足1元的部分，产品管理人有权不确认；C份额：追加金额个人投资者以1元增加，追加购买金额中不足1元的部分，产品管理人有权不确认；追加金额机构投资者以1元增加，追加购买金额中不足1元的部分，产品管理人有权不确认；D份额：追加金额个人投资者以1元增加，追加购买金额中不足1元的部分，产品管理人有权不确认；追加金额机构投资者以1元增加，追加购买金额中不足1元的部分，产品管理人有权不确认；</w:t>
            </w:r>
          </w:p>
          <w:p w14:paraId="5FCDAA10">
            <w:pPr>
              <w:pStyle w:val="189"/>
              <w:rPr>
                <w:rFonts w:hint="eastAsia"/>
              </w:rPr>
            </w:pPr>
            <w:r>
              <w:rPr>
                <w:rFonts w:hint="eastAsia"/>
              </w:rPr>
              <w:t>（销售机构可以不低于上述标准设置追加购买金额，投资者购买本理财产品时以该销售机构最终要求为准）</w:t>
            </w:r>
          </w:p>
        </w:tc>
      </w:tr>
      <w:tr w14:paraId="72F06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Borders>
              <w:top w:val="single" w:color="auto" w:sz="4" w:space="0"/>
              <w:left w:val="single" w:color="auto" w:sz="4" w:space="0"/>
              <w:bottom w:val="single" w:color="auto" w:sz="4" w:space="0"/>
              <w:right w:val="single" w:color="auto" w:sz="4" w:space="0"/>
            </w:tcBorders>
            <w:vAlign w:val="center"/>
          </w:tcPr>
          <w:p w14:paraId="0EC05A24">
            <w:pPr>
              <w:pStyle w:val="189"/>
              <w:rPr>
                <w:rFonts w:hint="eastAsia"/>
              </w:rPr>
            </w:pPr>
            <w:r>
              <w:rPr>
                <w:rFonts w:hint="eastAsia"/>
              </w:rPr>
              <w:t>单户限额</w:t>
            </w:r>
          </w:p>
        </w:tc>
        <w:tc>
          <w:tcPr>
            <w:tcW w:w="6458" w:type="dxa"/>
            <w:tcBorders>
              <w:top w:val="single" w:color="auto" w:sz="4" w:space="0"/>
              <w:left w:val="single" w:color="auto" w:sz="4" w:space="0"/>
              <w:bottom w:val="single" w:color="auto" w:sz="4" w:space="0"/>
              <w:right w:val="single" w:color="auto" w:sz="4" w:space="0"/>
            </w:tcBorders>
          </w:tcPr>
          <w:p w14:paraId="07C7342E">
            <w:pPr>
              <w:pStyle w:val="189"/>
              <w:rPr>
                <w:rFonts w:hint="eastAsia"/>
              </w:rPr>
            </w:pPr>
            <w:r>
              <w:rPr>
                <w:b/>
                <w:bCs/>
              </w:rPr>
              <w:t>单个投资者对本产品持有金额上限为</w:t>
            </w:r>
            <w:r>
              <w:rPr>
                <w:rFonts w:hint="eastAsia"/>
                <w:b/>
                <w:bCs/>
              </w:rPr>
              <w:t>A份额为个人投资者无上限，机构投资者无上限；B份额为个人投资者无上限，机构投资者无上限；C份额为个人投资者无上限，机构投资者无上限；D份额为个人投资者无上限，机构投资者无上限；</w:t>
            </w:r>
            <w:r>
              <w:t>若单个投资者对本产品持有金额达到上限的，产品管理人</w:t>
            </w:r>
            <w:r>
              <w:rPr>
                <w:rFonts w:hint="eastAsia"/>
              </w:rPr>
              <w:t>有权</w:t>
            </w:r>
            <w:r>
              <w:t>不再继续接受其认购。</w:t>
            </w:r>
            <w:r>
              <w:rPr>
                <w:rFonts w:hint="eastAsia"/>
              </w:rPr>
              <w:t>若单个投资者对本产品持有金额达到上限以后仍有认</w:t>
            </w:r>
            <w:r>
              <w:t xml:space="preserve"> (申)购需求的，可咨询本产品销售机构各营业网点或通过电话方式咨询其客服热线，产品管理人将审慎分析评估其认 (申)购申请，当继续接受其认 (申)购可能对理财产品存量投资者利益构成重大不利影响时，或者基于投资运作与风险控制需要，产品管理人有权不再继续接受其认 (申)购。</w:t>
            </w:r>
          </w:p>
          <w:p w14:paraId="48CE864E">
            <w:pPr>
              <w:jc w:val="left"/>
              <w:rPr>
                <w:rFonts w:hint="eastAsia" w:ascii="黑体" w:hAnsi="黑体" w:cs="黑体"/>
                <w:szCs w:val="21"/>
              </w:rPr>
            </w:pPr>
            <w:r>
              <w:rPr>
                <w:rFonts w:hint="eastAsia" w:ascii="黑体" w:hAnsi="黑体" w:cs="宋体"/>
                <w:b/>
                <w:bCs/>
                <w:szCs w:val="21"/>
                <w:u w:val="single"/>
              </w:rPr>
              <w:t>非因产品管理人主观因素导致单一投资者持有份额比例超过总份额的50%（含）时，产品管理人将暂停接受其认（申）购申请。</w:t>
            </w:r>
          </w:p>
        </w:tc>
      </w:tr>
      <w:tr w14:paraId="60E51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3A0C5F86">
            <w:pPr>
              <w:pStyle w:val="189"/>
              <w:rPr>
                <w:rFonts w:hint="eastAsia"/>
              </w:rPr>
            </w:pPr>
            <w:r>
              <w:rPr>
                <w:rFonts w:hint="eastAsia"/>
              </w:rPr>
              <w:t>销售</w:t>
            </w:r>
            <w:r>
              <w:t>区域</w:t>
            </w:r>
          </w:p>
        </w:tc>
        <w:tc>
          <w:tcPr>
            <w:tcW w:w="6458" w:type="dxa"/>
          </w:tcPr>
          <w:p w14:paraId="0DC796B5">
            <w:pPr>
              <w:pStyle w:val="189"/>
              <w:rPr>
                <w:rFonts w:hint="eastAsia"/>
              </w:rPr>
            </w:pPr>
            <w:r>
              <w:rPr>
                <w:rFonts w:hint="eastAsia"/>
              </w:rPr>
              <w:t>全国（不含港澳台地区）</w:t>
            </w:r>
          </w:p>
        </w:tc>
      </w:tr>
      <w:tr w14:paraId="24DD0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2F8D209C">
            <w:pPr>
              <w:pStyle w:val="189"/>
              <w:rPr>
                <w:rFonts w:hint="eastAsia"/>
              </w:rPr>
            </w:pPr>
            <w:r>
              <w:rPr>
                <w:rFonts w:hint="eastAsia"/>
              </w:rPr>
              <w:t>管理机构/产品管理人</w:t>
            </w:r>
          </w:p>
        </w:tc>
        <w:tc>
          <w:tcPr>
            <w:tcW w:w="6458" w:type="dxa"/>
            <w:vAlign w:val="center"/>
          </w:tcPr>
          <w:p w14:paraId="68E73A11">
            <w:pPr>
              <w:pStyle w:val="189"/>
              <w:rPr>
                <w:rFonts w:hint="eastAsia"/>
              </w:rPr>
            </w:pPr>
            <w:r>
              <w:rPr>
                <w:rFonts w:hint="eastAsia"/>
              </w:rPr>
              <w:t>宁银理财</w:t>
            </w:r>
            <w:r>
              <w:t>有限责任公司</w:t>
            </w:r>
          </w:p>
        </w:tc>
      </w:tr>
      <w:tr w14:paraId="3E074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2693BA20">
            <w:pPr>
              <w:pStyle w:val="189"/>
              <w:rPr>
                <w:rFonts w:hint="eastAsia"/>
              </w:rPr>
            </w:pPr>
            <w:r>
              <w:rPr>
                <w:rFonts w:hint="eastAsia"/>
              </w:rPr>
              <w:t>销售</w:t>
            </w:r>
            <w:r>
              <w:t>机构</w:t>
            </w:r>
          </w:p>
        </w:tc>
        <w:tc>
          <w:tcPr>
            <w:tcW w:w="6458" w:type="dxa"/>
          </w:tcPr>
          <w:p w14:paraId="5E182A18">
            <w:pPr>
              <w:pStyle w:val="189"/>
              <w:rPr>
                <w:rFonts w:hint="eastAsia"/>
              </w:rPr>
            </w:pPr>
            <w:r>
              <w:rPr>
                <w:rFonts w:hint="eastAsia"/>
              </w:rPr>
              <w:t>台州银行股份有限公司、湖南银行股份有限公司、长沙银行股份有限公司</w:t>
            </w:r>
          </w:p>
        </w:tc>
      </w:tr>
      <w:tr w14:paraId="59A6B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41CFD733">
            <w:pPr>
              <w:pStyle w:val="189"/>
              <w:rPr>
                <w:rFonts w:hint="eastAsia"/>
              </w:rPr>
            </w:pPr>
            <w:r>
              <w:rPr>
                <w:rFonts w:hint="eastAsia"/>
              </w:rPr>
              <w:t>托管机构</w:t>
            </w:r>
          </w:p>
        </w:tc>
        <w:tc>
          <w:tcPr>
            <w:tcW w:w="6458" w:type="dxa"/>
          </w:tcPr>
          <w:p w14:paraId="393C2D67">
            <w:pPr>
              <w:pStyle w:val="189"/>
              <w:rPr>
                <w:rFonts w:hint="eastAsia"/>
              </w:rPr>
            </w:pPr>
            <w:r>
              <w:rPr>
                <w:rFonts w:hint="eastAsia"/>
              </w:rPr>
              <w:t>宁波银行股份有限公司</w:t>
            </w:r>
          </w:p>
        </w:tc>
      </w:tr>
      <w:tr w14:paraId="740C3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3511FDAC">
            <w:pPr>
              <w:pStyle w:val="189"/>
              <w:rPr>
                <w:rFonts w:hint="eastAsia"/>
              </w:rPr>
            </w:pPr>
            <w:r>
              <w:rPr>
                <w:rFonts w:hint="eastAsia"/>
              </w:rPr>
              <w:t>投资合作机构</w:t>
            </w:r>
          </w:p>
        </w:tc>
        <w:tc>
          <w:tcPr>
            <w:tcW w:w="6458" w:type="dxa"/>
          </w:tcPr>
          <w:p w14:paraId="7E31B900">
            <w:pPr>
              <w:pStyle w:val="189"/>
              <w:rPr>
                <w:rFonts w:hint="eastAsia"/>
              </w:rPr>
            </w:pPr>
            <w:r>
              <w:rPr>
                <w:rFonts w:hint="eastAsia"/>
              </w:rPr>
              <w:t>投资合作机构包括但不限于理财产品所投资资产管理产品的发行机构、根据合同约定从事理财产品受托投资的机构以及与理财产品投资管理相关的投资顾问等。</w:t>
            </w:r>
          </w:p>
          <w:p w14:paraId="09B97CB4">
            <w:pPr>
              <w:pStyle w:val="189"/>
              <w:rPr>
                <w:rFonts w:hint="eastAsia"/>
              </w:rPr>
            </w:pPr>
            <w:r>
              <w:rPr>
                <w:rFonts w:hint="eastAsia"/>
              </w:rPr>
              <w:t>本理财产品投资合作机构可能包括但不限于太平资产管理有限公司,平安证券股份有限公司,中国国际金融股份有限公司等。</w:t>
            </w:r>
          </w:p>
          <w:p w14:paraId="441DB294">
            <w:pPr>
              <w:pStyle w:val="189"/>
              <w:rPr>
                <w:rFonts w:hint="eastAsia"/>
              </w:rPr>
            </w:pPr>
            <w:r>
              <w:rPr>
                <w:rFonts w:hint="eastAsia"/>
              </w:rPr>
              <w:t>后续新增投资合作机构时，管理人将对合作机构的资质条件、专业服务能力和风险管理水平等进行充分评价，切实履行投资管理职责。</w:t>
            </w:r>
          </w:p>
        </w:tc>
      </w:tr>
      <w:tr w14:paraId="3BDE7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36C0AA00">
            <w:pPr>
              <w:pStyle w:val="189"/>
              <w:rPr>
                <w:rFonts w:hint="eastAsia"/>
              </w:rPr>
            </w:pPr>
            <w:r>
              <w:rPr>
                <w:rFonts w:hint="eastAsia"/>
              </w:rPr>
              <w:t>产品</w:t>
            </w:r>
            <w:r>
              <w:t>费用</w:t>
            </w:r>
            <w:r>
              <w:rPr>
                <w:rFonts w:hint="eastAsia"/>
              </w:rPr>
              <w:t>及</w:t>
            </w:r>
            <w:r>
              <w:t>税收</w:t>
            </w:r>
            <w:r>
              <w:rPr>
                <w:rFonts w:hint="eastAsia"/>
              </w:rPr>
              <w:t>规定</w:t>
            </w:r>
          </w:p>
        </w:tc>
        <w:tc>
          <w:tcPr>
            <w:tcW w:w="6458" w:type="dxa"/>
          </w:tcPr>
          <w:p w14:paraId="26ADE673">
            <w:pPr>
              <w:pStyle w:val="188"/>
              <w:rPr>
                <w:rFonts w:hint="eastAsia"/>
              </w:rPr>
            </w:pPr>
            <w:r>
              <w:t>本产品收取的费用为</w:t>
            </w:r>
            <w:r>
              <w:rPr>
                <w:rFonts w:hint="eastAsia"/>
              </w:rPr>
              <w:t>固定管理费、托管费、浮动管理费、销售服务费、信息技术服务费</w:t>
            </w:r>
            <w:r>
              <w:t>等。</w:t>
            </w:r>
            <w:r>
              <w:rPr>
                <w:rFonts w:hint="eastAsia"/>
              </w:rPr>
              <w:t>其中:</w:t>
            </w:r>
          </w:p>
          <w:p w14:paraId="1DBE7EC2">
            <w:pPr>
              <w:pStyle w:val="188"/>
              <w:rPr>
                <w:rFonts w:hint="eastAsia"/>
              </w:rPr>
            </w:pPr>
            <w:r>
              <w:rPr>
                <w:rFonts w:hint="eastAsia"/>
              </w:rPr>
              <w:t>1、销售服务费：【A份额】年化费率【0.4%】、【B份额】年化费率【0.4%】、【C份额】年化费率【0.4%】、【D份额】年化费率【0.4%】；</w:t>
            </w:r>
            <w:r>
              <w:rPr>
                <w:rFonts w:hint="eastAsia"/>
              </w:rPr>
              <w:br w:type="textWrapping"/>
            </w:r>
            <w:r>
              <w:rPr>
                <w:rFonts w:hint="eastAsia"/>
              </w:rPr>
              <w:t>2、固定管理费：【A份额】年化费率【0.38%】、【B份额】年化费率【0.15%】、【C份额】年化费率【0.5%】、【D份额】年化费率【0.4%】；</w:t>
            </w:r>
            <w:r>
              <w:rPr>
                <w:rFonts w:hint="eastAsia"/>
              </w:rPr>
              <w:br w:type="textWrapping"/>
            </w:r>
            <w:r>
              <w:rPr>
                <w:rFonts w:hint="eastAsia"/>
              </w:rPr>
              <w:t>3、托管费：年化费率【0.01%】</w:t>
            </w:r>
            <w:r>
              <w:rPr>
                <w:rFonts w:hint="eastAsia"/>
              </w:rPr>
              <w:br w:type="textWrapping"/>
            </w:r>
            <w:r>
              <w:rPr>
                <w:rFonts w:hint="eastAsia"/>
              </w:rPr>
              <w:t>4、浮动管理费：</w:t>
            </w:r>
            <w:r>
              <w:rPr>
                <w:rFonts w:hint="eastAsia"/>
              </w:rPr>
              <w:br w:type="textWrapping"/>
            </w:r>
            <w:r>
              <w:rPr>
                <w:rFonts w:hint="eastAsia"/>
              </w:rPr>
              <w:t>【A份额】：本计提周期年化收益率在【2.37%以上】的部分，管理人按照【55%】的比例收取浮动管理费；</w:t>
            </w:r>
            <w:r>
              <w:rPr>
                <w:rFonts w:hint="eastAsia"/>
              </w:rPr>
              <w:br w:type="textWrapping"/>
            </w:r>
            <w:r>
              <w:rPr>
                <w:rFonts w:hint="eastAsia"/>
              </w:rPr>
              <w:t>【B份额】：本计提周期年化收益率在【2.6%以上】的部分，管理人按照【55%】的比例收取浮动管理费；</w:t>
            </w:r>
            <w:r>
              <w:rPr>
                <w:rFonts w:hint="eastAsia"/>
              </w:rPr>
              <w:br w:type="textWrapping"/>
            </w:r>
            <w:r>
              <w:rPr>
                <w:rFonts w:hint="eastAsia"/>
              </w:rPr>
              <w:t>【C份额】：本计提周期年化收益率在【2.25%以上】的部分，管理人按照【55%】的比例收取浮动管理费；</w:t>
            </w:r>
            <w:r>
              <w:rPr>
                <w:rFonts w:hint="eastAsia"/>
              </w:rPr>
              <w:br w:type="textWrapping"/>
            </w:r>
            <w:r>
              <w:rPr>
                <w:rFonts w:hint="eastAsia"/>
              </w:rPr>
              <w:t xml:space="preserve">【D份额】：本计提周期年化收益率在【2.35%以上】的部分，管理人按照【55%】的比例收取浮动管理费； </w:t>
            </w:r>
          </w:p>
          <w:p w14:paraId="61854490">
            <w:pPr>
              <w:pStyle w:val="188"/>
              <w:rPr>
                <w:rFonts w:hint="eastAsia"/>
              </w:rPr>
            </w:pPr>
            <w:r>
              <w:rPr>
                <w:rFonts w:cs="黑体"/>
              </w:rPr>
              <w:t>针对2026年9月1日（含）后成立的产品，产品将收取信息技术服务费，【信息技术服务费】年化费率【0.002%】，具体的理财产品费用和税收规则</w:t>
            </w:r>
            <w:r>
              <w:rPr>
                <w:rFonts w:hint="eastAsia"/>
              </w:rPr>
              <w:t>详见</w:t>
            </w:r>
            <w:r>
              <w:t>本说明书第</w:t>
            </w:r>
            <w:r>
              <w:rPr>
                <w:rFonts w:hint="eastAsia"/>
              </w:rPr>
              <w:t>六</w:t>
            </w:r>
            <w:r>
              <w:t>部分</w:t>
            </w:r>
            <w:r>
              <w:rPr>
                <w:rFonts w:hint="eastAsia"/>
              </w:rPr>
              <w:t>产品费用、收益及税收说明</w:t>
            </w:r>
            <w:r>
              <w:t>。</w:t>
            </w:r>
          </w:p>
        </w:tc>
      </w:tr>
      <w:tr w14:paraId="0C1F1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30005A67">
            <w:pPr>
              <w:pStyle w:val="189"/>
              <w:rPr>
                <w:rFonts w:hint="eastAsia"/>
              </w:rPr>
            </w:pPr>
            <w:r>
              <w:rPr>
                <w:rFonts w:hint="eastAsia"/>
              </w:rPr>
              <w:t>其他</w:t>
            </w:r>
          </w:p>
        </w:tc>
        <w:tc>
          <w:tcPr>
            <w:tcW w:w="6458" w:type="dxa"/>
          </w:tcPr>
          <w:p w14:paraId="5DFFEB92">
            <w:pPr>
              <w:pStyle w:val="189"/>
              <w:rPr>
                <w:rFonts w:hint="eastAsia"/>
                <w:b/>
                <w:bCs/>
              </w:rPr>
            </w:pPr>
            <w:r>
              <w:rPr>
                <w:b/>
                <w:bCs/>
              </w:rPr>
              <w:t>1、在本产品存续期内，产品管理人有权根据市场情况调整本产品前述产品要素，调整前将进行相关信息披露。</w:t>
            </w:r>
          </w:p>
          <w:p w14:paraId="307EB92D">
            <w:pPr>
              <w:pStyle w:val="189"/>
              <w:rPr>
                <w:rFonts w:hint="eastAsia"/>
              </w:rPr>
            </w:pPr>
            <w:r>
              <w:t>2、产品成立日和到期日如遇非工作日，则顺延至下一工作日</w:t>
            </w:r>
          </w:p>
          <w:p w14:paraId="2F546F33">
            <w:pPr>
              <w:rPr>
                <w:rFonts w:hint="eastAsia" w:ascii="黑体" w:hAnsi="黑体" w:cs="黑体"/>
                <w:szCs w:val="21"/>
              </w:rPr>
            </w:pPr>
            <w:r>
              <w:rPr>
                <w:rFonts w:ascii="黑体" w:hAnsi="黑体" w:cs="黑体"/>
                <w:szCs w:val="21"/>
              </w:rPr>
              <w:t>3</w:t>
            </w:r>
            <w:r>
              <w:rPr>
                <w:rFonts w:hint="eastAsia" w:ascii="黑体" w:hAnsi="黑体" w:cs="黑体"/>
                <w:szCs w:val="21"/>
              </w:rPr>
              <w:t>、本产品说明书中的工作日指国家法定工作日。</w:t>
            </w:r>
          </w:p>
          <w:p w14:paraId="41A542FA">
            <w:pPr>
              <w:pStyle w:val="189"/>
              <w:rPr>
                <w:rFonts w:hint="eastAsia"/>
              </w:rPr>
            </w:pPr>
            <w:r>
              <w:rPr>
                <w:rFonts w:hint="eastAsia"/>
              </w:rPr>
              <w:t>4</w:t>
            </w:r>
            <w:r>
              <w:t>、其他：无</w:t>
            </w:r>
          </w:p>
        </w:tc>
      </w:tr>
    </w:tbl>
    <w:p w14:paraId="15FAB1B5">
      <w:pPr>
        <w:jc w:val="left"/>
        <w:rPr>
          <w:rFonts w:hint="eastAsia" w:ascii="黑体" w:hAnsi="黑体" w:cs="黑体"/>
          <w:sz w:val="18"/>
          <w:szCs w:val="18"/>
        </w:rPr>
      </w:pPr>
    </w:p>
    <w:p w14:paraId="493358CE">
      <w:pPr>
        <w:jc w:val="left"/>
        <w:rPr>
          <w:rFonts w:hint="eastAsia" w:ascii="黑体" w:hAnsi="黑体" w:cs="黑体"/>
          <w:b/>
          <w:szCs w:val="21"/>
        </w:rPr>
      </w:pPr>
      <w:r>
        <w:rPr>
          <w:rFonts w:hint="eastAsia" w:ascii="黑体" w:hAnsi="黑体" w:cs="黑体"/>
          <w:b/>
          <w:szCs w:val="21"/>
        </w:rPr>
        <w:t>三、产品投资管理</w:t>
      </w:r>
    </w:p>
    <w:p w14:paraId="2FB27242">
      <w:pPr>
        <w:pStyle w:val="189"/>
        <w:rPr>
          <w:rFonts w:hint="eastAsia"/>
        </w:rPr>
      </w:pPr>
      <w:r>
        <w:rPr>
          <w:rFonts w:hint="eastAsia"/>
        </w:rPr>
        <w:t>（一）投资范围</w:t>
      </w:r>
    </w:p>
    <w:p w14:paraId="095E308F">
      <w:pPr>
        <w:pStyle w:val="189"/>
        <w:rPr>
          <w:rFonts w:hint="eastAsia"/>
        </w:rPr>
      </w:pPr>
      <w:r>
        <w:rPr>
          <w:rFonts w:hint="eastAsia"/>
        </w:rPr>
        <w:t xml:space="preserve">    本</w:t>
      </w:r>
      <w:r>
        <w:t>产品主要投资于以下</w:t>
      </w:r>
      <w:r>
        <w:rPr>
          <w:rFonts w:hint="eastAsia"/>
        </w:rPr>
        <w:t>符合监管</w:t>
      </w:r>
      <w:r>
        <w:t>要求的各类资产：</w:t>
      </w:r>
    </w:p>
    <w:p w14:paraId="44AC8144">
      <w:pPr>
        <w:pStyle w:val="189"/>
        <w:ind w:firstLine="420"/>
        <w:rPr>
          <w:rFonts w:hint="eastAsia" w:cs="黑体"/>
        </w:rPr>
      </w:pPr>
      <w:r>
        <w:rPr>
          <w:rFonts w:hint="eastAsia"/>
        </w:rPr>
        <w:t>一是固定收益类资产，包括但不限于各类债券、存款、货币市场工具、质押式和买断式债券逆回购、公募资产管理产品和非标准化债权资产等；二是权益类资产，包括但不限于股票、ETF、公募资产管理产品等；三是商品及金融衍生品类资产，包括但不限于大宗商品（如商品型基金等）、金融衍生工具（如期货、场外期权、收益互换等）等。以及通过其他具有专业投资能力和资质的受金融监督管理部门监管的机构发行的资产管理产品所投资的前述资产。</w:t>
      </w:r>
      <w:r>
        <w:rPr>
          <w:rFonts w:hint="eastAsia" w:cs="黑体"/>
          <w:b/>
        </w:rPr>
        <w:br w:type="textWrapping"/>
      </w:r>
      <w:r>
        <w:rPr>
          <w:rFonts w:hint="eastAsia" w:cs="黑体"/>
          <w:b/>
        </w:rPr>
        <w:t xml:space="preserve">    本产品可投资不存在活跃交易市场，并且需要采用估值技术确定公允价值的资产；投资上述资产的比例可达到理财产品净资产50%及以上。</w:t>
      </w:r>
    </w:p>
    <w:p w14:paraId="74FFE683">
      <w:pPr>
        <w:pStyle w:val="189"/>
        <w:rPr>
          <w:rFonts w:hint="eastAsia"/>
        </w:rPr>
      </w:pPr>
      <w:r>
        <w:rPr>
          <w:rFonts w:hint="eastAsia"/>
        </w:rPr>
        <w:t>具体投向如下：</w:t>
      </w:r>
    </w:p>
    <w:tbl>
      <w:tblPr>
        <w:tblStyle w:val="23"/>
        <w:tblW w:w="430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08"/>
        <w:gridCol w:w="2128"/>
      </w:tblGrid>
      <w:tr w14:paraId="3D128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9" w:type="pct"/>
          </w:tcPr>
          <w:p w14:paraId="23B309BC">
            <w:pPr>
              <w:rPr>
                <w:rFonts w:hint="eastAsia" w:ascii="黑体" w:hAnsi="黑体"/>
                <w:szCs w:val="21"/>
              </w:rPr>
            </w:pPr>
            <w:r>
              <w:rPr>
                <w:rFonts w:hint="eastAsia" w:ascii="黑体" w:hAnsi="黑体"/>
                <w:szCs w:val="21"/>
              </w:rPr>
              <w:t>投资资产</w:t>
            </w:r>
          </w:p>
        </w:tc>
        <w:tc>
          <w:tcPr>
            <w:tcW w:w="1450" w:type="pct"/>
          </w:tcPr>
          <w:p w14:paraId="5D72E491">
            <w:pPr>
              <w:rPr>
                <w:rFonts w:hint="eastAsia" w:ascii="黑体" w:hAnsi="黑体"/>
                <w:szCs w:val="21"/>
              </w:rPr>
            </w:pPr>
            <w:r>
              <w:rPr>
                <w:rFonts w:hint="eastAsia" w:ascii="黑体" w:hAnsi="黑体"/>
                <w:szCs w:val="21"/>
              </w:rPr>
              <w:t>计划配置比例</w:t>
            </w:r>
          </w:p>
        </w:tc>
      </w:tr>
      <w:tr w14:paraId="3D33D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9" w:type="pct"/>
            <w:vAlign w:val="bottom"/>
          </w:tcPr>
          <w:p w14:paraId="02729E95">
            <w:pPr>
              <w:rPr>
                <w:rFonts w:hint="eastAsia" w:ascii="黑体" w:hAnsi="黑体"/>
                <w:szCs w:val="21"/>
              </w:rPr>
            </w:pPr>
            <w:r>
              <w:rPr>
                <w:rFonts w:ascii="黑体" w:hAnsi="黑体" w:eastAsia="黑体" w:cs="黑体"/>
                <w:b w:val="0"/>
                <w:i w:val="0"/>
                <w:strike w:val="0"/>
                <w:color w:val="auto"/>
                <w:u w:val="none"/>
              </w:rPr>
              <w:t>固定收益类资产</w:t>
            </w:r>
          </w:p>
        </w:tc>
        <w:tc>
          <w:tcPr>
            <w:tcW w:w="1450" w:type="pct"/>
          </w:tcPr>
          <w:p w14:paraId="5ABC1F3D">
            <w:pPr>
              <w:rPr>
                <w:rFonts w:hint="eastAsia" w:ascii="黑体" w:hAnsi="黑体"/>
                <w:szCs w:val="21"/>
              </w:rPr>
            </w:pPr>
            <w:r>
              <w:rPr>
                <w:rFonts w:ascii="黑体" w:hAnsi="黑体" w:eastAsia="黑体" w:cs="黑体"/>
                <w:b w:val="0"/>
                <w:i w:val="0"/>
                <w:strike w:val="0"/>
                <w:color w:val="auto"/>
                <w:u w:val="none"/>
              </w:rPr>
              <w:t>80%-100%</w:t>
            </w:r>
          </w:p>
        </w:tc>
      </w:tr>
      <w:tr w14:paraId="517B0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549" w:type="dxa"/>
            <w:vAlign w:val="bottom"/>
          </w:tcPr>
          <w:p w14:paraId="33130452">
            <w:pPr>
              <w:pageBreakBefore w:val="0"/>
              <w:jc w:val="left"/>
              <w:textAlignment w:val="auto"/>
            </w:pPr>
            <w:r>
              <w:rPr>
                <w:rFonts w:ascii="黑体" w:hAnsi="黑体" w:eastAsia="黑体" w:cs="黑体"/>
                <w:b w:val="0"/>
                <w:i w:val="0"/>
                <w:strike w:val="0"/>
                <w:color w:val="auto"/>
                <w:u w:val="none"/>
              </w:rPr>
              <w:t>权益类资产</w:t>
            </w:r>
          </w:p>
        </w:tc>
        <w:tc>
          <w:tcPr>
            <w:tcW w:w="1450" w:type="dxa"/>
          </w:tcPr>
          <w:p w14:paraId="68242124">
            <w:pPr>
              <w:pageBreakBefore w:val="0"/>
              <w:jc w:val="left"/>
              <w:textAlignment w:val="auto"/>
            </w:pPr>
            <w:r>
              <w:rPr>
                <w:rFonts w:ascii="黑体" w:hAnsi="黑体" w:eastAsia="黑体" w:cs="黑体"/>
                <w:b w:val="0"/>
                <w:i w:val="0"/>
                <w:strike w:val="0"/>
                <w:color w:val="auto"/>
                <w:u w:val="none"/>
              </w:rPr>
              <w:t>0%-20%</w:t>
            </w:r>
          </w:p>
        </w:tc>
      </w:tr>
      <w:tr w14:paraId="1ABB0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549" w:type="dxa"/>
            <w:vAlign w:val="bottom"/>
          </w:tcPr>
          <w:p w14:paraId="4CFB6615">
            <w:pPr>
              <w:pageBreakBefore w:val="0"/>
              <w:jc w:val="left"/>
              <w:textAlignment w:val="auto"/>
            </w:pPr>
            <w:r>
              <w:rPr>
                <w:rFonts w:ascii="黑体" w:hAnsi="黑体" w:eastAsia="黑体" w:cs="黑体"/>
                <w:b w:val="0"/>
                <w:i w:val="0"/>
                <w:strike w:val="0"/>
                <w:color w:val="auto"/>
                <w:u w:val="none"/>
              </w:rPr>
              <w:t>商品及金融衍生品类资产</w:t>
            </w:r>
          </w:p>
        </w:tc>
        <w:tc>
          <w:tcPr>
            <w:tcW w:w="1450" w:type="dxa"/>
          </w:tcPr>
          <w:p w14:paraId="0350D408">
            <w:pPr>
              <w:pageBreakBefore w:val="0"/>
              <w:jc w:val="left"/>
              <w:textAlignment w:val="auto"/>
            </w:pPr>
            <w:r>
              <w:rPr>
                <w:rFonts w:ascii="黑体" w:hAnsi="黑体" w:eastAsia="黑体" w:cs="黑体"/>
                <w:b w:val="0"/>
                <w:i w:val="0"/>
                <w:strike w:val="0"/>
                <w:color w:val="auto"/>
                <w:u w:val="none"/>
              </w:rPr>
              <w:t>0%-20%</w:t>
            </w:r>
          </w:p>
        </w:tc>
      </w:tr>
    </w:tbl>
    <w:p w14:paraId="32981AFA">
      <w:pPr>
        <w:ind w:firstLine="420"/>
        <w:jc w:val="left"/>
        <w:rPr>
          <w:rFonts w:hint="eastAsia" w:ascii="黑体" w:hAnsi="黑体" w:cs="黑体"/>
          <w:szCs w:val="21"/>
        </w:rPr>
      </w:pPr>
      <w:r>
        <w:rPr>
          <w:rFonts w:hint="eastAsia" w:ascii="黑体" w:hAnsi="黑体" w:cs="黑体"/>
          <w:szCs w:val="21"/>
        </w:rPr>
        <w:t>1、本产品可以通过质押式和买断式债券正回购进行融资。本产品的杠杆率不超过200%。</w:t>
      </w:r>
    </w:p>
    <w:p w14:paraId="291188BE">
      <w:pPr>
        <w:ind w:firstLine="420"/>
        <w:jc w:val="left"/>
        <w:rPr>
          <w:rFonts w:hint="eastAsia" w:ascii="黑体" w:hAnsi="黑体" w:cs="黑体"/>
          <w:szCs w:val="21"/>
        </w:rPr>
      </w:pPr>
      <w:r>
        <w:rPr>
          <w:rFonts w:ascii="黑体" w:hAnsi="黑体" w:cs="黑体"/>
          <w:szCs w:val="21"/>
        </w:rPr>
        <w:t>2、本产品存续期间的投资比例将按上述计划配置比例合理浮动，非因主观因素导致突破上述比例限制的，产品管理人将在流动性受限资产可出售、可转让或者恢复交易之日起的15个交易日内将投资比例调整至符合要求</w:t>
      </w:r>
      <w:r>
        <w:rPr>
          <w:rFonts w:hint="eastAsia" w:ascii="黑体" w:hAnsi="黑体" w:cs="黑体"/>
          <w:szCs w:val="21"/>
        </w:rPr>
        <w:t>，国务院银行业监督管理机构规定的特殊情形除外。</w:t>
      </w:r>
    </w:p>
    <w:p w14:paraId="7EA082A4">
      <w:pPr>
        <w:tabs>
          <w:tab w:val="left" w:pos="426"/>
        </w:tabs>
        <w:ind w:firstLine="420"/>
        <w:jc w:val="left"/>
        <w:rPr>
          <w:rFonts w:hint="eastAsia" w:ascii="黑体" w:hAnsi="黑体" w:cs="宋体"/>
          <w:szCs w:val="21"/>
        </w:rPr>
      </w:pPr>
      <w:r>
        <w:rPr>
          <w:rFonts w:ascii="黑体" w:hAnsi="黑体" w:cs="宋体"/>
          <w:szCs w:val="21"/>
        </w:rPr>
        <w:t>3、在本产品存续期内，前述投资比例暂时超出浮动区间且可能对产品单位净值产生重大影响的，产品管理人将根据理财产品销售文件约定向投资者进行信息披露。</w:t>
      </w:r>
    </w:p>
    <w:p w14:paraId="2AA64D82">
      <w:pPr>
        <w:ind w:firstLine="422"/>
        <w:jc w:val="left"/>
        <w:rPr>
          <w:rFonts w:hint="eastAsia" w:ascii="黑体" w:hAnsi="黑体" w:cs="黑体"/>
          <w:b/>
          <w:szCs w:val="21"/>
        </w:rPr>
      </w:pPr>
      <w:r>
        <w:rPr>
          <w:rFonts w:ascii="黑体" w:hAnsi="黑体" w:cs="黑体"/>
          <w:b/>
          <w:szCs w:val="21"/>
        </w:rPr>
        <w:t>4、产品管理人有权对投资范围、投资品种或投资比例进行调整，若发生调整情况，将提前至少</w:t>
      </w:r>
      <w:r>
        <w:rPr>
          <w:rFonts w:hint="eastAsia" w:ascii="黑体" w:hAnsi="黑体" w:cs="黑体"/>
          <w:b/>
          <w:szCs w:val="21"/>
        </w:rPr>
        <w:t>3</w:t>
      </w:r>
      <w:r>
        <w:rPr>
          <w:rFonts w:ascii="黑体" w:hAnsi="黑体" w:cs="黑体"/>
          <w:b/>
          <w:szCs w:val="21"/>
        </w:rPr>
        <w:t>个工作日进行相关信息披露。上述情况下产品管理人将可能开放赎回，具体以信息披露公告为准。投资者不同意公告内容的，可按公告约定全部赎回本产品。若投资者在公告执行后继续持有本产品的，视同接受公告内容。进行上述调整时，除高风险类型的理财产品超出比例范围投资较低风险资产外，产品管理人将事先取得投资者书面同意。</w:t>
      </w:r>
    </w:p>
    <w:p w14:paraId="7A515D64">
      <w:pPr>
        <w:jc w:val="left"/>
        <w:rPr>
          <w:rFonts w:hint="eastAsia" w:ascii="黑体" w:hAnsi="黑体" w:cs="黑体"/>
          <w:szCs w:val="21"/>
        </w:rPr>
      </w:pPr>
      <w:r>
        <w:rPr>
          <w:rFonts w:hint="eastAsia" w:ascii="黑体" w:hAnsi="黑体" w:cs="黑体"/>
          <w:szCs w:val="21"/>
        </w:rPr>
        <w:t>（二）拟投资市场和资产的风险评估</w:t>
      </w:r>
    </w:p>
    <w:p w14:paraId="22541B50">
      <w:pPr>
        <w:ind w:firstLine="420"/>
        <w:jc w:val="left"/>
        <w:rPr>
          <w:rFonts w:hint="eastAsia" w:ascii="黑体" w:hAnsi="黑体" w:cs="黑体"/>
          <w:szCs w:val="21"/>
        </w:rPr>
      </w:pPr>
      <w:r>
        <w:rPr>
          <w:rFonts w:hint="eastAsia" w:ascii="黑体" w:hAnsi="黑体" w:cs="黑体"/>
          <w:szCs w:val="21"/>
        </w:rPr>
        <w:t>1、产品拟投资资产类型以本说明书第三（一）条载明为准。</w:t>
      </w:r>
    </w:p>
    <w:p w14:paraId="1B824E60">
      <w:pPr>
        <w:ind w:firstLine="422"/>
        <w:jc w:val="left"/>
        <w:rPr>
          <w:rFonts w:hint="eastAsia" w:ascii="黑体" w:hAnsi="黑体" w:cs="黑体"/>
          <w:b/>
          <w:szCs w:val="21"/>
        </w:rPr>
      </w:pPr>
      <w:r>
        <w:rPr>
          <w:rFonts w:hint="eastAsia" w:ascii="黑体" w:hAnsi="黑体" w:cs="黑体"/>
          <w:b/>
          <w:szCs w:val="21"/>
        </w:rPr>
        <w:t>投资于上述市场和资产，可能面临包括但不限于如下风险：</w:t>
      </w:r>
    </w:p>
    <w:p w14:paraId="1A2834A3">
      <w:pPr>
        <w:ind w:left="63" w:firstLine="422"/>
        <w:rPr>
          <w:rFonts w:hint="eastAsia" w:ascii="黑体" w:hAnsi="黑体" w:cs="黑体"/>
          <w:b/>
          <w:szCs w:val="21"/>
        </w:rPr>
      </w:pPr>
      <w:r>
        <w:rPr>
          <w:rFonts w:hint="eastAsia" w:ascii="黑体" w:hAnsi="黑体" w:cs="黑体"/>
          <w:b/>
          <w:szCs w:val="21"/>
        </w:rPr>
        <w:t>政策风险：理财产品在运作过程中，由于国家宏观政策以及市场相关法律法规、监管规定发生变化，导致产品的发行、投资、兑付等流程受到影响，进而影响产品的投资运作和收益的风险。</w:t>
      </w:r>
    </w:p>
    <w:p w14:paraId="3FFBB02C">
      <w:pPr>
        <w:ind w:left="63" w:firstLine="422"/>
        <w:rPr>
          <w:rFonts w:hint="eastAsia" w:ascii="黑体" w:hAnsi="黑体"/>
          <w:sz w:val="24"/>
        </w:rPr>
      </w:pPr>
      <w:r>
        <w:rPr>
          <w:rFonts w:hint="eastAsia" w:ascii="黑体" w:hAnsi="黑体" w:cs="宋体"/>
          <w:b/>
          <w:szCs w:val="21"/>
        </w:rPr>
        <w:t>市场风险：</w:t>
      </w:r>
      <w:r>
        <w:rPr>
          <w:rFonts w:hint="eastAsia" w:ascii="黑体" w:hAnsi="黑体" w:cs="黑体"/>
          <w:b/>
          <w:szCs w:val="21"/>
        </w:rPr>
        <w:t>理财产品在运作过程中，由于市场变化造成产品所投资产价格波动、从而影响理财产品收益的风险。市场风险包括但不限于投资债券面临的利率变化及债券价格波动带来的风险，投资股票面临的股票价格波动带来的风险，投资商品及金融衍生品面临的商品及衍生品价格波动带来的风险等。</w:t>
      </w:r>
    </w:p>
    <w:p w14:paraId="07E64971">
      <w:pPr>
        <w:ind w:left="63" w:firstLine="422"/>
        <w:rPr>
          <w:rFonts w:hint="eastAsia" w:ascii="黑体" w:hAnsi="黑体"/>
          <w:sz w:val="24"/>
        </w:rPr>
      </w:pPr>
      <w:r>
        <w:rPr>
          <w:rFonts w:hint="eastAsia" w:ascii="黑体" w:hAnsi="黑体" w:cs="宋体"/>
          <w:b/>
          <w:szCs w:val="21"/>
        </w:rPr>
        <w:t>信用风险：理财产品所投资产的相关债务人或关联责任人（包括但不限于担保人）等信用状况恶化、不能如期履约的风险。</w:t>
      </w:r>
    </w:p>
    <w:p w14:paraId="516915BD">
      <w:pPr>
        <w:ind w:firstLine="422"/>
        <w:jc w:val="left"/>
        <w:rPr>
          <w:rFonts w:hint="eastAsia" w:ascii="黑体" w:hAnsi="黑体" w:cs="宋体"/>
          <w:b/>
          <w:szCs w:val="21"/>
        </w:rPr>
      </w:pPr>
      <w:r>
        <w:rPr>
          <w:rFonts w:hint="eastAsia" w:ascii="黑体" w:hAnsi="黑体" w:cs="宋体"/>
          <w:b/>
          <w:szCs w:val="21"/>
        </w:rPr>
        <w:t>流动性风险：在特定市场环境下，理财产品所投资的上述部分市场或资产可能出现流动性较差的情况，导致理财产品无法通过变现资产等途径以合理成本及时获得充足资金，用于满足投资者赎回需求、履行其他支付义务的风险。对于有</w:t>
      </w:r>
      <w:r>
        <w:rPr>
          <w:rFonts w:ascii="黑体" w:hAnsi="黑体" w:cs="宋体"/>
          <w:b/>
          <w:szCs w:val="21"/>
        </w:rPr>
        <w:t>明确投资期限的理财产品，</w:t>
      </w:r>
      <w:r>
        <w:rPr>
          <w:rFonts w:hint="eastAsia" w:ascii="黑体" w:hAnsi="黑体" w:cs="宋体"/>
          <w:b/>
          <w:szCs w:val="21"/>
        </w:rPr>
        <w:t>在存续期内如果您产生流动性需求，可能面临理财产品投资期限与资金需求日不匹配的流动性风险。此外</w:t>
      </w:r>
      <w:r>
        <w:rPr>
          <w:rFonts w:ascii="黑体" w:hAnsi="黑体" w:cs="宋体"/>
          <w:b/>
          <w:szCs w:val="21"/>
        </w:rPr>
        <w:t>，</w:t>
      </w:r>
      <w:r>
        <w:rPr>
          <w:rFonts w:hint="eastAsia" w:ascii="黑体" w:hAnsi="黑体" w:cs="宋体"/>
          <w:b/>
          <w:szCs w:val="21"/>
        </w:rPr>
        <w:t>针对</w:t>
      </w:r>
      <w:r>
        <w:rPr>
          <w:rFonts w:ascii="黑体" w:hAnsi="黑体" w:cs="宋体"/>
          <w:b/>
          <w:szCs w:val="21"/>
        </w:rPr>
        <w:t>开放式产品，</w:t>
      </w:r>
      <w:r>
        <w:rPr>
          <w:rFonts w:hint="eastAsia" w:ascii="黑体" w:hAnsi="黑体" w:cs="宋体"/>
          <w:b/>
          <w:szCs w:val="21"/>
        </w:rPr>
        <w:t>投资者只能在开放期的交易时间内进行申购、赎回，开放期内若发生巨额赎回，投资者将面临不能及时赎回理财产品的流动性风险。</w:t>
      </w:r>
    </w:p>
    <w:p w14:paraId="6294F113">
      <w:pPr>
        <w:ind w:firstLine="422"/>
        <w:jc w:val="left"/>
        <w:rPr>
          <w:rFonts w:hint="eastAsia" w:ascii="黑体" w:hAnsi="黑体" w:cs="宋体"/>
          <w:b/>
          <w:szCs w:val="21"/>
        </w:rPr>
      </w:pPr>
      <w:r>
        <w:rPr>
          <w:rFonts w:hint="eastAsia" w:ascii="黑体" w:hAnsi="黑体" w:cs="宋体"/>
          <w:b/>
          <w:szCs w:val="21"/>
        </w:rPr>
        <w:t>提前终止风险：在本产品存续期内，如遇包括但不限于国家金融政策发生重大调整、金融市场发生重大波动、</w:t>
      </w:r>
      <w:r>
        <w:rPr>
          <w:rFonts w:ascii="黑体" w:hAnsi="黑体" w:cs="黑体"/>
          <w:b/>
          <w:szCs w:val="21"/>
        </w:rPr>
        <w:t>不可抗力</w:t>
      </w:r>
      <w:r>
        <w:rPr>
          <w:rFonts w:hint="eastAsia" w:ascii="黑体" w:hAnsi="黑体" w:cs="黑体"/>
          <w:b/>
          <w:szCs w:val="21"/>
        </w:rPr>
        <w:t>、产品存续规模低于产品最低成立规模</w:t>
      </w:r>
      <w:r>
        <w:rPr>
          <w:rFonts w:hint="eastAsia" w:ascii="黑体" w:hAnsi="黑体" w:cs="宋体"/>
          <w:b/>
          <w:szCs w:val="21"/>
        </w:rPr>
        <w:t>或产品管理人认为影响产品运作需要提前终止产品的其他情况，产品管理人有权提前终止产品，并至少于提前终止日前3个工作日进行公告，相关兑付</w:t>
      </w:r>
      <w:r>
        <w:rPr>
          <w:rFonts w:ascii="黑体" w:hAnsi="黑体" w:cs="宋体"/>
          <w:b/>
          <w:szCs w:val="21"/>
        </w:rPr>
        <w:t>安排规则</w:t>
      </w:r>
      <w:r>
        <w:rPr>
          <w:rFonts w:hint="eastAsia" w:ascii="黑体" w:hAnsi="黑体" w:cs="宋体"/>
          <w:b/>
          <w:szCs w:val="21"/>
        </w:rPr>
        <w:t>将在</w:t>
      </w:r>
      <w:r>
        <w:rPr>
          <w:rFonts w:ascii="黑体" w:hAnsi="黑体" w:cs="宋体"/>
          <w:b/>
          <w:szCs w:val="21"/>
        </w:rPr>
        <w:t>公告</w:t>
      </w:r>
      <w:r>
        <w:rPr>
          <w:rFonts w:hint="eastAsia" w:ascii="黑体" w:hAnsi="黑体" w:cs="宋体"/>
          <w:b/>
          <w:szCs w:val="21"/>
        </w:rPr>
        <w:t>中</w:t>
      </w:r>
      <w:r>
        <w:rPr>
          <w:rFonts w:ascii="黑体" w:hAnsi="黑体" w:cs="宋体"/>
          <w:b/>
          <w:szCs w:val="21"/>
        </w:rPr>
        <w:t>披露。</w:t>
      </w:r>
      <w:r>
        <w:rPr>
          <w:rFonts w:hint="eastAsia" w:ascii="黑体" w:hAnsi="黑体" w:cs="宋体"/>
          <w:b/>
          <w:szCs w:val="21"/>
        </w:rPr>
        <w:t>（具体信息及相关规则见七、理财产品到期与终止。）</w:t>
      </w:r>
    </w:p>
    <w:p w14:paraId="3A361B3C">
      <w:pPr>
        <w:ind w:firstLine="422"/>
        <w:jc w:val="left"/>
        <w:rPr>
          <w:rFonts w:hint="eastAsia" w:ascii="黑体" w:hAnsi="黑体" w:cs="黑体"/>
          <w:szCs w:val="21"/>
        </w:rPr>
      </w:pPr>
      <w:r>
        <w:rPr>
          <w:rFonts w:hint="eastAsia" w:ascii="黑体" w:hAnsi="黑体" w:cs="黑体"/>
          <w:b/>
          <w:szCs w:val="21"/>
        </w:rPr>
        <w:t>以上风险仅为列举性质，详见产品风险揭示书。</w:t>
      </w:r>
    </w:p>
    <w:p w14:paraId="6B0EA3FB">
      <w:pPr>
        <w:pStyle w:val="189"/>
        <w:rPr>
          <w:rFonts w:hint="eastAsia"/>
        </w:rPr>
      </w:pPr>
      <w:r>
        <w:t>2、综合考虑本产品的投资组合、同类产品过往业绩和风险水平（包括但不限于拟投资市场和资产的风险评估等）等因素，</w:t>
      </w:r>
      <w:r>
        <w:rPr>
          <w:b/>
        </w:rPr>
        <w:t>本产品评级为</w:t>
      </w:r>
      <w:r>
        <w:rPr>
          <w:rFonts w:hint="eastAsia"/>
          <w:b/>
        </w:rPr>
        <w:t>PR2</w:t>
      </w:r>
      <w:r>
        <w:rPr>
          <w:b/>
        </w:rPr>
        <w:t>风险</w:t>
      </w:r>
      <w:r>
        <w:t>（本评级为公司内部评级，仅供参考，该产品通过代理销售机构渠道销售的，理财产品评级应当以代理销售机构最终披露的评级结果为准）。</w:t>
      </w:r>
    </w:p>
    <w:p w14:paraId="44807367">
      <w:pPr>
        <w:pStyle w:val="189"/>
        <w:rPr>
          <w:rFonts w:hint="eastAsia"/>
        </w:rPr>
      </w:pPr>
      <w:r>
        <w:rPr>
          <w:rFonts w:hint="eastAsia"/>
        </w:rPr>
        <w:t>（三）</w:t>
      </w:r>
      <w:r>
        <w:t>风险管</w:t>
      </w:r>
      <w:r>
        <w:rPr>
          <w:rFonts w:hint="eastAsia"/>
        </w:rPr>
        <w:t>理</w:t>
      </w:r>
      <w:r>
        <w:t>措施</w:t>
      </w:r>
    </w:p>
    <w:p w14:paraId="0ED808FE">
      <w:pPr>
        <w:ind w:firstLine="420"/>
        <w:jc w:val="left"/>
        <w:rPr>
          <w:rFonts w:hint="eastAsia" w:ascii="黑体" w:hAnsi="黑体" w:cs="黑体"/>
          <w:szCs w:val="21"/>
        </w:rPr>
      </w:pPr>
      <w:r>
        <w:rPr>
          <w:rFonts w:hint="eastAsia" w:ascii="黑体" w:hAnsi="黑体" w:cs="黑体"/>
          <w:szCs w:val="21"/>
        </w:rPr>
        <w:t>产品管理人建立并持续深化全面风险管理体系，完善贯穿产品运作全生命周期的风险管控措施和机制，确保理财业务风险可控，同时建立了完备的产品与客户分级体系，确保产品收益风险特征与客户收益风险偏好的有效匹配，保护投资者权益。</w:t>
      </w:r>
    </w:p>
    <w:p w14:paraId="10DDB232">
      <w:pPr>
        <w:ind w:firstLine="420"/>
        <w:jc w:val="left"/>
        <w:rPr>
          <w:rFonts w:hint="eastAsia" w:ascii="黑体" w:hAnsi="黑体" w:cs="黑体"/>
          <w:szCs w:val="21"/>
        </w:rPr>
      </w:pPr>
      <w:r>
        <w:rPr>
          <w:rFonts w:hint="eastAsia" w:ascii="黑体" w:hAnsi="黑体" w:cs="黑体"/>
          <w:szCs w:val="21"/>
        </w:rPr>
        <w:t>1、市场风险管理方面，产品管理人建立与业务性质、规模、复杂程度及风险特征相匹配的市场风险管理体系，该体系与产品管理人总体发展战略、管理能力、资本实力及可承受风险水平相一致。产品管理人对业务、产品及资产组合的市场风险因素进行识别，分析其风险特征、传导机制及潜在影响，据此制定并执行相应风控措施。产品管理人根据产品特征与业务性质，建立市场风险限额体系，有效控制风险敞口。此外，产品管理人制定市场风险应急处理方案，综合运用对冲、降低风险暴露等手段，定期开展压力测试，确保在市场风险可控的前提下业务安全、稳健运行。</w:t>
      </w:r>
    </w:p>
    <w:p w14:paraId="2409EB4D">
      <w:pPr>
        <w:ind w:firstLine="420"/>
        <w:jc w:val="left"/>
        <w:rPr>
          <w:rFonts w:hint="eastAsia" w:ascii="黑体" w:hAnsi="黑体" w:cs="黑体"/>
          <w:szCs w:val="21"/>
        </w:rPr>
      </w:pPr>
      <w:r>
        <w:rPr>
          <w:rFonts w:hint="eastAsia" w:ascii="黑体" w:hAnsi="黑体" w:cs="黑体"/>
          <w:szCs w:val="21"/>
        </w:rPr>
        <w:t>2、信用风险管理方面，产品管理人建立明确的资产准入标准和程序，对存在信用风险敞口的金融机构及非金融企业实行统一额度管理，确保总体信用风险处于可承受范围之内。产品管理人建立内部信用评级体系，对持仓信用资产的风险状况进行持续跟踪监测，能及时、准确地揭示信用风险，并制定处置方案。同时，产品管理人制定信用风险应急预案，灵活运用风险资产清收处置措施，有效应对信用风险事件，降低资产损失。</w:t>
      </w:r>
    </w:p>
    <w:p w14:paraId="2B94B939">
      <w:pPr>
        <w:ind w:firstLine="420"/>
        <w:jc w:val="left"/>
        <w:rPr>
          <w:rFonts w:hint="eastAsia" w:ascii="黑体" w:hAnsi="黑体" w:cs="黑体"/>
          <w:szCs w:val="21"/>
        </w:rPr>
      </w:pPr>
      <w:r>
        <w:rPr>
          <w:rFonts w:hint="eastAsia" w:ascii="黑体" w:hAnsi="黑体" w:cs="黑体"/>
          <w:szCs w:val="21"/>
        </w:rPr>
        <w:t>3、流动性风险管理方面，产品管理人建立稳健的流动性风险管理体系，确保投资组合资产的变现能力与投资者赎回需求的匹配平衡。产品管理人根据监管政策、销售文件、投资者结构等，制定内部流动性风险管理要求和风险指标监控体系。同时，产品管理人建立以压力测试为核心的全覆盖、多维度的流动性风险监测和预警机制，针对单只开放式理财产品定期开展流动性压力测试，审慎评估各类风险对理财产品流动性的影响，并做好应急管理安排。</w:t>
      </w:r>
    </w:p>
    <w:p w14:paraId="039287CB">
      <w:pPr>
        <w:jc w:val="left"/>
        <w:rPr>
          <w:rFonts w:hint="eastAsia" w:ascii="黑体" w:hAnsi="黑体" w:cs="黑体"/>
          <w:szCs w:val="21"/>
        </w:rPr>
      </w:pPr>
    </w:p>
    <w:p w14:paraId="2770202F">
      <w:pPr>
        <w:jc w:val="left"/>
        <w:rPr>
          <w:rFonts w:hint="eastAsia" w:ascii="黑体" w:hAnsi="黑体" w:cs="黑体"/>
          <w:szCs w:val="21"/>
        </w:rPr>
      </w:pPr>
      <w:r>
        <w:rPr>
          <w:rFonts w:hint="eastAsia" w:ascii="黑体" w:hAnsi="黑体" w:cs="黑体"/>
          <w:szCs w:val="21"/>
        </w:rPr>
        <w:t>（四）</w:t>
      </w:r>
      <w:r>
        <w:rPr>
          <w:rFonts w:ascii="黑体" w:hAnsi="黑体" w:cs="黑体"/>
          <w:szCs w:val="21"/>
        </w:rPr>
        <w:t>流动性风险应对措施及其使用情形、处理方法、程序及对投资者的潜在影响</w:t>
      </w:r>
    </w:p>
    <w:p w14:paraId="138F6FB6">
      <w:pPr>
        <w:ind w:firstLine="422"/>
        <w:jc w:val="left"/>
        <w:rPr>
          <w:rFonts w:hint="eastAsia" w:ascii="黑体" w:hAnsi="黑体" w:cs="宋体"/>
          <w:b/>
          <w:szCs w:val="21"/>
        </w:rPr>
      </w:pPr>
      <w:r>
        <w:rPr>
          <w:rFonts w:hint="eastAsia" w:ascii="黑体" w:hAnsi="黑体" w:cs="黑体"/>
          <w:b/>
          <w:bCs/>
          <w:szCs w:val="21"/>
        </w:rPr>
        <w:t>1、流动性风险应对措施：</w:t>
      </w:r>
      <w:r>
        <w:rPr>
          <w:rFonts w:hint="eastAsia" w:ascii="黑体" w:hAnsi="黑体" w:cs="宋体"/>
          <w:b/>
          <w:szCs w:val="21"/>
        </w:rPr>
        <w:t>管理人可以依照法律法规及产品说明书的约定，综合运用各项理财产品流动性风险应对措施：</w:t>
      </w:r>
    </w:p>
    <w:p w14:paraId="00BD5B48">
      <w:pPr>
        <w:ind w:firstLine="422"/>
        <w:jc w:val="left"/>
        <w:rPr>
          <w:rFonts w:hint="eastAsia" w:ascii="黑体" w:hAnsi="黑体" w:cs="宋体"/>
          <w:b/>
          <w:szCs w:val="21"/>
        </w:rPr>
      </w:pPr>
      <w:r>
        <w:rPr>
          <w:rFonts w:hint="eastAsia" w:ascii="黑体" w:hAnsi="黑体" w:cs="宋体"/>
          <w:b/>
          <w:szCs w:val="21"/>
        </w:rPr>
        <w:t>认购风险应对措施，包括：设定单一投资者认购金额上限、设定理财产品单日净认购比例上限、拒绝大额认购、暂停认购，以及国家金融监督管理总局规定的其他措施；</w:t>
      </w:r>
    </w:p>
    <w:p w14:paraId="3752FACA">
      <w:pPr>
        <w:ind w:firstLine="422"/>
        <w:jc w:val="left"/>
        <w:rPr>
          <w:rFonts w:hint="eastAsia" w:ascii="黑体" w:hAnsi="黑体" w:cs="宋体"/>
          <w:b/>
          <w:szCs w:val="21"/>
        </w:rPr>
      </w:pPr>
      <w:r>
        <w:rPr>
          <w:rFonts w:hint="eastAsia" w:ascii="黑体" w:hAnsi="黑体" w:cs="宋体"/>
          <w:b/>
          <w:szCs w:val="21"/>
        </w:rPr>
        <w:t>2、管理人可拒绝接受或暂停接受投资者的认购申请的情形包括：</w:t>
      </w:r>
    </w:p>
    <w:p w14:paraId="056BEDEE">
      <w:pPr>
        <w:ind w:firstLine="422"/>
        <w:jc w:val="left"/>
        <w:rPr>
          <w:rFonts w:hint="eastAsia" w:ascii="黑体" w:hAnsi="黑体" w:cs="宋体"/>
          <w:bCs/>
          <w:szCs w:val="21"/>
        </w:rPr>
      </w:pPr>
      <w:r>
        <w:rPr>
          <w:rFonts w:hint="eastAsia" w:ascii="黑体" w:hAnsi="黑体" w:cs="宋体"/>
          <w:bCs/>
          <w:szCs w:val="21"/>
        </w:rPr>
        <w:t>（1）不可抗力或国家经济金融政策发生变化等原因导致本产品无法正常运作；</w:t>
      </w:r>
    </w:p>
    <w:p w14:paraId="18936F12">
      <w:pPr>
        <w:ind w:firstLine="422"/>
        <w:jc w:val="left"/>
        <w:rPr>
          <w:rFonts w:hint="eastAsia" w:ascii="黑体" w:hAnsi="黑体" w:cs="宋体"/>
          <w:bCs/>
          <w:szCs w:val="21"/>
        </w:rPr>
      </w:pPr>
      <w:r>
        <w:rPr>
          <w:rFonts w:hint="eastAsia" w:ascii="黑体" w:hAnsi="黑体" w:cs="宋体"/>
          <w:bCs/>
          <w:szCs w:val="21"/>
        </w:rPr>
        <w:t>（2）证券交易场所或银行间债券市场依法决定停市等情形；</w:t>
      </w:r>
    </w:p>
    <w:p w14:paraId="329AB0CB">
      <w:pPr>
        <w:ind w:firstLine="422"/>
        <w:jc w:val="left"/>
        <w:rPr>
          <w:rFonts w:hint="eastAsia" w:ascii="黑体" w:hAnsi="黑体" w:cs="宋体"/>
          <w:bCs/>
          <w:szCs w:val="21"/>
        </w:rPr>
      </w:pPr>
      <w:r>
        <w:rPr>
          <w:rFonts w:hint="eastAsia" w:ascii="黑体" w:hAnsi="黑体" w:cs="宋体"/>
          <w:bCs/>
          <w:szCs w:val="21"/>
        </w:rPr>
        <w:t>（3）当管理人认为某笔认购申请会有损于本产品其他份额持有人利益时，或基于投资运作和风险控制需要，可拒绝该笔认购申请；</w:t>
      </w:r>
    </w:p>
    <w:p w14:paraId="44A14405">
      <w:pPr>
        <w:ind w:firstLine="422"/>
        <w:jc w:val="left"/>
        <w:rPr>
          <w:rFonts w:hint="eastAsia" w:ascii="黑体" w:hAnsi="黑体" w:cs="宋体"/>
          <w:bCs/>
          <w:szCs w:val="21"/>
        </w:rPr>
      </w:pPr>
      <w:r>
        <w:rPr>
          <w:rFonts w:hint="eastAsia" w:ascii="黑体" w:hAnsi="黑体" w:cs="宋体"/>
          <w:bCs/>
          <w:szCs w:val="21"/>
        </w:rPr>
        <w:t>（4）当投资者认购金额将导致单笔认购金额上限、单个投资者持仓上限、计划募集金额上限、产品规模上限等各指标超限时，或单笔认购金额不足认购金额起点金额时，管理人有权拒绝投资者的认购申请；</w:t>
      </w:r>
    </w:p>
    <w:p w14:paraId="720F9534">
      <w:pPr>
        <w:ind w:firstLine="422"/>
        <w:jc w:val="left"/>
        <w:rPr>
          <w:rFonts w:hint="eastAsia" w:ascii="黑体" w:hAnsi="黑体" w:cs="宋体"/>
          <w:bCs/>
          <w:szCs w:val="21"/>
        </w:rPr>
      </w:pPr>
      <w:r>
        <w:rPr>
          <w:rFonts w:hint="eastAsia" w:ascii="黑体" w:hAnsi="黑体" w:cs="宋体"/>
          <w:bCs/>
          <w:szCs w:val="21"/>
        </w:rPr>
        <w:t>（5）法律法规规定或管理人基于审慎考虑认定的其他情形。</w:t>
      </w:r>
    </w:p>
    <w:p w14:paraId="5ADBE619">
      <w:pPr>
        <w:ind w:firstLine="422"/>
        <w:jc w:val="left"/>
        <w:rPr>
          <w:rFonts w:hint="eastAsia" w:ascii="黑体" w:hAnsi="黑体" w:cs="宋体"/>
          <w:b/>
          <w:szCs w:val="21"/>
        </w:rPr>
      </w:pPr>
      <w:r>
        <w:rPr>
          <w:rFonts w:hint="eastAsia" w:ascii="黑体" w:hAnsi="黑体" w:cs="宋体"/>
          <w:b/>
          <w:szCs w:val="21"/>
        </w:rPr>
        <w:t>如果投资者的认购申请被拒绝，被拒绝的认购款项将全额退还给投资者，扣款日至认购款项返还日期间是否计付利息以及利息计付规则以销售机构为准。</w:t>
      </w:r>
    </w:p>
    <w:p w14:paraId="1591D129">
      <w:pPr>
        <w:ind w:firstLine="422"/>
        <w:jc w:val="left"/>
        <w:rPr>
          <w:rFonts w:hint="eastAsia" w:ascii="黑体" w:hAnsi="黑体" w:cs="宋体"/>
          <w:b/>
          <w:szCs w:val="21"/>
        </w:rPr>
      </w:pPr>
      <w:r>
        <w:rPr>
          <w:rFonts w:hint="eastAsia" w:ascii="黑体" w:hAnsi="黑体" w:cs="宋体"/>
          <w:b/>
          <w:szCs w:val="21"/>
        </w:rPr>
        <w:t>3、上述理财产品流动性风险应对措施可能导致无法满足投资者对产品的部分或全部认购需求，进而影响投资者的资金流动性安排。当产品管理人根据产品说明书中与投资者事先约定的相关措施的处理方法和程序接受投资者的认购申请时，可能会造成理财产品投资收益摊薄等潜在影响。</w:t>
      </w:r>
    </w:p>
    <w:p w14:paraId="29D7F4CD">
      <w:pPr>
        <w:jc w:val="left"/>
        <w:rPr>
          <w:rFonts w:hint="eastAsia" w:ascii="黑体" w:hAnsi="黑体" w:cs="黑体"/>
          <w:szCs w:val="21"/>
        </w:rPr>
      </w:pPr>
    </w:p>
    <w:p w14:paraId="4B1FCCE1">
      <w:pPr>
        <w:jc w:val="left"/>
        <w:rPr>
          <w:rFonts w:hint="eastAsia" w:ascii="黑体" w:hAnsi="黑体" w:cs="黑体"/>
          <w:b/>
          <w:szCs w:val="21"/>
        </w:rPr>
      </w:pPr>
      <w:r>
        <w:rPr>
          <w:rFonts w:hint="eastAsia" w:ascii="黑体" w:hAnsi="黑体" w:cs="黑体"/>
          <w:b/>
          <w:szCs w:val="21"/>
        </w:rPr>
        <w:t>四、产品交易相关规则</w:t>
      </w:r>
    </w:p>
    <w:p w14:paraId="045F9D05">
      <w:pPr>
        <w:jc w:val="left"/>
        <w:rPr>
          <w:rFonts w:hint="eastAsia" w:ascii="黑体" w:hAnsi="黑体" w:cs="宋体"/>
          <w:szCs w:val="21"/>
        </w:rPr>
      </w:pPr>
      <w:r>
        <w:rPr>
          <w:rFonts w:hint="eastAsia" w:ascii="黑体" w:hAnsi="黑体" w:cs="宋体"/>
          <w:szCs w:val="21"/>
        </w:rPr>
        <w:t>（一）认购相关规则</w:t>
      </w:r>
    </w:p>
    <w:p w14:paraId="22EE6D37">
      <w:pPr>
        <w:ind w:firstLine="420"/>
        <w:jc w:val="left"/>
        <w:rPr>
          <w:rFonts w:hint="eastAsia" w:ascii="黑体" w:hAnsi="黑体" w:cs="黑体"/>
          <w:b/>
          <w:szCs w:val="21"/>
        </w:rPr>
      </w:pPr>
      <w:r>
        <w:rPr>
          <w:rFonts w:hint="eastAsia" w:ascii="黑体" w:hAnsi="黑体" w:cs="黑体"/>
          <w:szCs w:val="21"/>
        </w:rPr>
        <w:t>1、产品募集期内，投资者可以对本产品进行认购、追加、撤单，销售机构有权在投资者指定账户中对相应资金进行冻结或通过相关支付渠道</w:t>
      </w:r>
      <w:r>
        <w:rPr>
          <w:rFonts w:ascii="黑体" w:hAnsi="黑体" w:cs="黑体"/>
          <w:szCs w:val="21"/>
        </w:rPr>
        <w:t>(如有)划转，具体以销售机构实际  处理为准，产品管理人将在产品成立日对募集期的认购及追加申请进行确认和划款。</w:t>
      </w:r>
      <w:r>
        <w:rPr>
          <w:rFonts w:hint="eastAsia" w:ascii="黑体" w:hAnsi="黑体" w:cs="黑体"/>
          <w:b/>
          <w:bCs/>
          <w:szCs w:val="21"/>
        </w:rPr>
        <w:t>投资者通过宁银理财直销渠道进行认购的，募集期内产生的利息</w:t>
      </w:r>
      <w:r>
        <w:rPr>
          <w:rFonts w:ascii="黑体" w:hAnsi="黑体" w:cs="黑体"/>
          <w:b/>
          <w:bCs/>
          <w:szCs w:val="21"/>
        </w:rPr>
        <w:t>（如有）</w:t>
      </w:r>
      <w:r>
        <w:rPr>
          <w:rFonts w:hint="eastAsia" w:ascii="黑体" w:hAnsi="黑体" w:cs="黑体"/>
          <w:b/>
          <w:bCs/>
          <w:szCs w:val="21"/>
        </w:rPr>
        <w:t>归投资者所有。投资者通过代理销售机构进行认购的，</w:t>
      </w:r>
      <w:r>
        <w:rPr>
          <w:rFonts w:ascii="黑体" w:hAnsi="黑体" w:cs="黑体"/>
          <w:b/>
          <w:szCs w:val="21"/>
        </w:rPr>
        <w:t>募集期内管理人不向投资者认购款项计付利息，销售机构</w:t>
      </w:r>
      <w:r>
        <w:rPr>
          <w:rFonts w:hint="eastAsia" w:ascii="黑体" w:hAnsi="黑体" w:cs="黑体"/>
          <w:b/>
          <w:bCs/>
          <w:szCs w:val="21"/>
        </w:rPr>
        <w:t>计付利息的，该利息部分不作为认购资金扣收，销售机构</w:t>
      </w:r>
      <w:r>
        <w:rPr>
          <w:rFonts w:ascii="黑体" w:hAnsi="黑体" w:cs="黑体"/>
          <w:b/>
          <w:szCs w:val="21"/>
        </w:rPr>
        <w:t>是否计付利息以销售机构为准。</w:t>
      </w:r>
    </w:p>
    <w:p w14:paraId="498B5802">
      <w:pPr>
        <w:ind w:firstLine="420"/>
        <w:jc w:val="left"/>
        <w:rPr>
          <w:rFonts w:hint="eastAsia" w:ascii="黑体" w:hAnsi="黑体" w:cs="黑体"/>
          <w:b/>
          <w:szCs w:val="21"/>
        </w:rPr>
      </w:pPr>
      <w:r>
        <w:rPr>
          <w:rFonts w:hint="eastAsia" w:ascii="黑体" w:hAnsi="黑体" w:cs="黑体"/>
          <w:b/>
          <w:szCs w:val="21"/>
        </w:rPr>
        <w:t>产品募集期单位净值为1元，募集期认购价格采用募集期单位净值。</w:t>
      </w:r>
    </w:p>
    <w:p w14:paraId="3690DD5E">
      <w:pPr>
        <w:ind w:firstLine="420"/>
        <w:jc w:val="left"/>
        <w:rPr>
          <w:rFonts w:hint="eastAsia" w:ascii="黑体" w:hAnsi="黑体" w:cs="黑体"/>
          <w:szCs w:val="21"/>
        </w:rPr>
      </w:pPr>
      <w:r>
        <w:rPr>
          <w:rFonts w:ascii="黑体" w:hAnsi="黑体" w:cs="黑体"/>
          <w:szCs w:val="21"/>
        </w:rPr>
        <w:t>2</w:t>
      </w:r>
      <w:r>
        <w:rPr>
          <w:rFonts w:hint="eastAsia" w:ascii="黑体" w:hAnsi="黑体" w:cs="黑体"/>
          <w:szCs w:val="21"/>
        </w:rPr>
        <w:t>、产品采用金额认购规则</w:t>
      </w:r>
      <w:r>
        <w:rPr>
          <w:rFonts w:ascii="黑体" w:hAnsi="黑体" w:cs="黑体"/>
          <w:szCs w:val="21"/>
        </w:rPr>
        <w:t>，</w:t>
      </w:r>
      <w:r>
        <w:rPr>
          <w:rFonts w:hint="eastAsia" w:ascii="黑体" w:hAnsi="黑体" w:cs="黑体"/>
          <w:szCs w:val="21"/>
        </w:rPr>
        <w:t>即认购以金额确定投资者</w:t>
      </w:r>
      <w:r>
        <w:rPr>
          <w:rFonts w:ascii="黑体" w:hAnsi="黑体" w:cs="黑体"/>
          <w:szCs w:val="21"/>
        </w:rPr>
        <w:t>对应的</w:t>
      </w:r>
      <w:r>
        <w:rPr>
          <w:rFonts w:hint="eastAsia" w:ascii="黑体" w:hAnsi="黑体" w:cs="黑体"/>
          <w:szCs w:val="21"/>
        </w:rPr>
        <w:t>产品份额</w:t>
      </w:r>
      <w:r>
        <w:rPr>
          <w:rFonts w:ascii="黑体" w:hAnsi="黑体" w:cs="黑体"/>
          <w:szCs w:val="21"/>
        </w:rPr>
        <w:t>。</w:t>
      </w:r>
    </w:p>
    <w:p w14:paraId="55241E2C">
      <w:pPr>
        <w:ind w:firstLine="420"/>
        <w:jc w:val="left"/>
        <w:rPr>
          <w:rFonts w:hint="eastAsia" w:ascii="黑体" w:hAnsi="黑体" w:cs="黑体"/>
          <w:b/>
          <w:szCs w:val="21"/>
        </w:rPr>
      </w:pPr>
      <w:r>
        <w:rPr>
          <w:rFonts w:ascii="黑体" w:hAnsi="黑体" w:cs="黑体"/>
          <w:b/>
          <w:szCs w:val="21"/>
        </w:rPr>
        <w:t>3</w:t>
      </w:r>
      <w:r>
        <w:rPr>
          <w:rFonts w:hint="eastAsia" w:ascii="黑体" w:hAnsi="黑体" w:cs="黑体"/>
          <w:b/>
          <w:szCs w:val="21"/>
        </w:rPr>
        <w:t>、产品募集期内，若出现以下情况，产品管理人有权拒绝或暂停接受投资者的认购或追加认购申请：</w:t>
      </w:r>
    </w:p>
    <w:p w14:paraId="4ABBDE70">
      <w:pPr>
        <w:ind w:firstLine="420"/>
        <w:jc w:val="left"/>
        <w:rPr>
          <w:rFonts w:hint="eastAsia" w:ascii="黑体" w:hAnsi="黑体" w:cs="黑体"/>
          <w:szCs w:val="21"/>
        </w:rPr>
      </w:pPr>
      <w:r>
        <w:rPr>
          <w:rFonts w:hint="eastAsia" w:ascii="黑体" w:hAnsi="黑体" w:cs="黑体"/>
          <w:szCs w:val="21"/>
        </w:rPr>
        <w:t>（1）因不可抗力导致产品管理机构无法接受投资者认购或追加认购申请；</w:t>
      </w:r>
    </w:p>
    <w:p w14:paraId="32ED6232">
      <w:pPr>
        <w:ind w:firstLine="420"/>
        <w:jc w:val="left"/>
        <w:rPr>
          <w:rFonts w:hint="eastAsia" w:ascii="黑体" w:hAnsi="黑体" w:cs="黑体"/>
          <w:szCs w:val="21"/>
        </w:rPr>
      </w:pPr>
      <w:r>
        <w:rPr>
          <w:rFonts w:hint="eastAsia" w:ascii="黑体" w:hAnsi="黑体" w:cs="黑体"/>
          <w:szCs w:val="21"/>
        </w:rPr>
        <w:t>（2）法律、法规或相关监管认定的其他情形</w:t>
      </w:r>
      <w:r>
        <w:rPr>
          <w:rFonts w:hint="eastAsia" w:ascii="黑体" w:hAnsi="黑体" w:cs="宋体"/>
          <w:szCs w:val="21"/>
        </w:rPr>
        <w:t>，以及本说明书约定的其他情形</w:t>
      </w:r>
      <w:r>
        <w:rPr>
          <w:rFonts w:hint="eastAsia" w:ascii="黑体" w:hAnsi="黑体" w:cs="黑体"/>
          <w:szCs w:val="21"/>
        </w:rPr>
        <w:t>。</w:t>
      </w:r>
    </w:p>
    <w:p w14:paraId="49ED0052">
      <w:pPr>
        <w:pStyle w:val="189"/>
        <w:ind w:firstLine="420"/>
        <w:rPr>
          <w:rFonts w:hint="eastAsia" w:cs="黑体"/>
        </w:rPr>
      </w:pPr>
      <w:r>
        <w:t>4、其他：无</w:t>
      </w:r>
    </w:p>
    <w:p w14:paraId="765E8181">
      <w:pPr>
        <w:jc w:val="left"/>
        <w:rPr>
          <w:rFonts w:hint="eastAsia" w:ascii="黑体" w:hAnsi="黑体" w:cs="黑体"/>
          <w:szCs w:val="21"/>
        </w:rPr>
      </w:pPr>
      <w:r>
        <w:rPr>
          <w:rFonts w:hint="eastAsia" w:ascii="黑体" w:hAnsi="黑体" w:cs="黑体"/>
          <w:szCs w:val="21"/>
        </w:rPr>
        <w:t>（二</w:t>
      </w:r>
      <w:r>
        <w:rPr>
          <w:rFonts w:ascii="黑体" w:hAnsi="黑体" w:cs="黑体"/>
          <w:szCs w:val="21"/>
        </w:rPr>
        <w:t>）</w:t>
      </w:r>
      <w:r>
        <w:rPr>
          <w:rFonts w:hint="eastAsia" w:ascii="黑体" w:hAnsi="黑体" w:cs="黑体"/>
          <w:szCs w:val="21"/>
        </w:rPr>
        <w:t>申购</w:t>
      </w:r>
      <w:r>
        <w:rPr>
          <w:rFonts w:ascii="黑体" w:hAnsi="黑体" w:cs="黑体"/>
          <w:szCs w:val="21"/>
        </w:rPr>
        <w:t>和赎回规则</w:t>
      </w:r>
    </w:p>
    <w:p w14:paraId="3258A476">
      <w:pPr>
        <w:ind w:firstLine="420"/>
        <w:jc w:val="left"/>
        <w:rPr>
          <w:rFonts w:hint="eastAsia" w:ascii="黑体" w:hAnsi="黑体" w:cs="黑体"/>
          <w:szCs w:val="21"/>
        </w:rPr>
      </w:pPr>
      <w:r>
        <w:rPr>
          <w:rFonts w:hint="eastAsia" w:ascii="黑体" w:hAnsi="黑体" w:cs="黑体"/>
          <w:szCs w:val="21"/>
        </w:rPr>
        <w:t>本产品</w:t>
      </w:r>
      <w:r>
        <w:rPr>
          <w:rFonts w:ascii="黑体" w:hAnsi="黑体" w:cs="黑体"/>
          <w:szCs w:val="21"/>
        </w:rPr>
        <w:t>封闭</w:t>
      </w:r>
      <w:r>
        <w:rPr>
          <w:rFonts w:hint="eastAsia" w:ascii="黑体" w:hAnsi="黑体" w:cs="黑体"/>
          <w:szCs w:val="21"/>
        </w:rPr>
        <w:t>运行，</w:t>
      </w:r>
      <w:r>
        <w:rPr>
          <w:rFonts w:ascii="黑体" w:hAnsi="黑体" w:cs="黑体"/>
          <w:szCs w:val="21"/>
        </w:rPr>
        <w:t>存续</w:t>
      </w:r>
      <w:r>
        <w:rPr>
          <w:rFonts w:hint="eastAsia" w:ascii="黑体" w:hAnsi="黑体" w:cs="黑体"/>
          <w:szCs w:val="21"/>
        </w:rPr>
        <w:t>期不开放申购、赎回。</w:t>
      </w:r>
    </w:p>
    <w:p w14:paraId="0E1F96B4">
      <w:pPr>
        <w:pStyle w:val="189"/>
        <w:rPr>
          <w:rFonts w:hint="eastAsia"/>
        </w:rPr>
      </w:pPr>
      <w:r>
        <w:rPr>
          <w:rFonts w:hint="eastAsia"/>
        </w:rPr>
        <w:t>（三</w:t>
      </w:r>
      <w:r>
        <w:t>）产品净值公布方式</w:t>
      </w:r>
    </w:p>
    <w:p w14:paraId="716A91DA">
      <w:pPr>
        <w:pStyle w:val="189"/>
        <w:ind w:firstLine="420"/>
        <w:rPr>
          <w:rFonts w:hint="eastAsia"/>
        </w:rPr>
      </w:pPr>
      <w:r>
        <w:t>产品净值的计算按照四舍五入原则，保留至小数点后6位。单位净值为扣除固定管理费、托管费、浮动管理费、销售服务费、信息技术服务费、产品运作和清算中产生的其他费用、产品运营中发生的增值税及附加税费等费用后的单位产品净值。</w:t>
      </w:r>
    </w:p>
    <w:p w14:paraId="540611FE">
      <w:pPr>
        <w:pStyle w:val="189"/>
        <w:ind w:firstLine="422"/>
        <w:rPr>
          <w:rFonts w:hint="eastAsia"/>
        </w:rPr>
      </w:pPr>
      <w:r>
        <w:rPr>
          <w:rFonts w:hint="eastAsia"/>
          <w:b/>
          <w:bCs/>
        </w:rPr>
        <w:t>本产品成立后每周四（如遇非工作日则顺延至下一个工作日）披露产品净值信息</w:t>
      </w:r>
      <w:r>
        <w:rPr>
          <w:b/>
          <w:bCs/>
        </w:rPr>
        <w:t>，</w:t>
      </w:r>
      <w:bookmarkStart w:id="0" w:name="_Hlk33022866"/>
      <w:r>
        <w:t>如有其它特殊情况的，以产品管理人公告为准。</w:t>
      </w:r>
      <w:bookmarkEnd w:id="0"/>
    </w:p>
    <w:p w14:paraId="60429D50">
      <w:pPr>
        <w:jc w:val="left"/>
        <w:rPr>
          <w:rFonts w:hint="eastAsia" w:ascii="黑体" w:hAnsi="黑体" w:cs="黑体"/>
        </w:rPr>
      </w:pPr>
      <w:r>
        <w:rPr>
          <w:rFonts w:hint="eastAsia" w:ascii="黑体" w:hAnsi="黑体" w:cs="宋体"/>
          <w:szCs w:val="21"/>
        </w:rPr>
        <w:t>（四）</w:t>
      </w:r>
      <w:r>
        <w:rPr>
          <w:rFonts w:hint="eastAsia" w:ascii="黑体" w:hAnsi="黑体" w:cs="黑体"/>
        </w:rPr>
        <w:t>投资者持有份额及金额计算规则</w:t>
      </w:r>
    </w:p>
    <w:p w14:paraId="6EE59167">
      <w:pPr>
        <w:ind w:firstLine="420"/>
        <w:jc w:val="left"/>
        <w:rPr>
          <w:rFonts w:hint="eastAsia" w:ascii="黑体" w:hAnsi="黑体" w:cs="黑体"/>
        </w:rPr>
      </w:pPr>
      <w:r>
        <w:rPr>
          <w:rFonts w:hint="eastAsia" w:ascii="黑体" w:hAnsi="黑体" w:cs="黑体"/>
        </w:rPr>
        <w:t>1、计算规则（不考虑手续费）</w:t>
      </w:r>
    </w:p>
    <w:p w14:paraId="3607C087">
      <w:pPr>
        <w:ind w:firstLine="420"/>
        <w:jc w:val="left"/>
        <w:rPr>
          <w:rFonts w:hint="eastAsia" w:ascii="黑体" w:hAnsi="黑体" w:cs="黑体"/>
          <w:b/>
        </w:rPr>
      </w:pPr>
      <w:r>
        <w:rPr>
          <w:rFonts w:hint="eastAsia" w:ascii="黑体" w:hAnsi="黑体" w:cs="黑体"/>
          <w:b/>
        </w:rPr>
        <w:t>认购确认份额 = （认购金额-认购费用（如有）） / 认购价格</w:t>
      </w:r>
    </w:p>
    <w:p w14:paraId="5D20F116">
      <w:pPr>
        <w:ind w:firstLine="420"/>
        <w:jc w:val="left"/>
        <w:rPr>
          <w:rFonts w:hint="eastAsia" w:ascii="黑体" w:hAnsi="黑体" w:cs="黑体"/>
          <w:b/>
        </w:rPr>
      </w:pPr>
      <w:r>
        <w:rPr>
          <w:rFonts w:hint="eastAsia" w:ascii="黑体" w:hAnsi="黑体" w:cs="黑体"/>
          <w:b/>
        </w:rPr>
        <w:t>到期兑付金额 = 到期份额 * 兑付日前一自然日的产品净值</w:t>
      </w:r>
    </w:p>
    <w:p w14:paraId="308A4A06">
      <w:pPr>
        <w:ind w:firstLine="420"/>
        <w:jc w:val="left"/>
        <w:rPr>
          <w:rFonts w:hint="eastAsia" w:ascii="黑体" w:hAnsi="黑体" w:cs="黑体"/>
        </w:rPr>
      </w:pPr>
      <w:r>
        <w:rPr>
          <w:rFonts w:hint="eastAsia" w:ascii="黑体" w:hAnsi="黑体" w:cs="黑体"/>
        </w:rPr>
        <w:t>计算得出的金额采取四舍五入后精确到小数点后2位或采取截位规则，计算得出的份额采取截位规则取小数点后2位。具体以产品管理人实际确认为准。</w:t>
      </w:r>
    </w:p>
    <w:p w14:paraId="14D25EC9">
      <w:pPr>
        <w:ind w:firstLine="420"/>
        <w:jc w:val="left"/>
        <w:rPr>
          <w:rFonts w:hint="eastAsia" w:ascii="黑体" w:hAnsi="黑体" w:cs="黑体"/>
          <w:szCs w:val="21"/>
        </w:rPr>
      </w:pPr>
      <w:r>
        <w:rPr>
          <w:rFonts w:hint="eastAsia" w:ascii="黑体" w:hAnsi="黑体" w:cs="黑体"/>
          <w:szCs w:val="21"/>
        </w:rPr>
        <w:t>2、计算示例</w:t>
      </w:r>
    </w:p>
    <w:p w14:paraId="10B8CF8E">
      <w:pPr>
        <w:ind w:firstLine="420"/>
        <w:jc w:val="left"/>
        <w:rPr>
          <w:rFonts w:hint="eastAsia" w:ascii="黑体" w:hAnsi="黑体" w:cs="黑体"/>
          <w:szCs w:val="21"/>
        </w:rPr>
      </w:pPr>
      <w:r>
        <w:rPr>
          <w:rFonts w:hint="eastAsia" w:ascii="黑体" w:hAnsi="黑体" w:cs="黑体"/>
          <w:szCs w:val="21"/>
        </w:rPr>
        <w:t>情景1：假设投资者于募集期内认购本产品，投资本金为100,000.00 元人民币，购买价格为1元/份，则投资者认购确认份额为：</w:t>
      </w:r>
    </w:p>
    <w:p w14:paraId="1DC4A136">
      <w:pPr>
        <w:ind w:firstLine="420"/>
        <w:jc w:val="left"/>
        <w:rPr>
          <w:rFonts w:hint="eastAsia" w:ascii="黑体" w:hAnsi="黑体" w:cs="黑体"/>
          <w:szCs w:val="21"/>
        </w:rPr>
      </w:pPr>
      <w:r>
        <w:rPr>
          <w:rFonts w:hint="eastAsia" w:ascii="黑体" w:hAnsi="黑体" w:cs="黑体"/>
          <w:szCs w:val="21"/>
        </w:rPr>
        <w:t>认购确认份额=100,000.00÷1=100,000.00（份）</w:t>
      </w:r>
    </w:p>
    <w:p w14:paraId="42C38D76">
      <w:pPr>
        <w:ind w:firstLine="420"/>
        <w:jc w:val="left"/>
        <w:rPr>
          <w:rFonts w:hint="eastAsia" w:ascii="黑体" w:hAnsi="黑体" w:cs="黑体"/>
          <w:szCs w:val="21"/>
        </w:rPr>
      </w:pPr>
      <w:r>
        <w:rPr>
          <w:rFonts w:hint="eastAsia" w:ascii="黑体" w:hAnsi="黑体" w:cs="黑体"/>
          <w:szCs w:val="21"/>
        </w:rPr>
        <w:t>情景2：假设理财产品兑付日前一自然日时，产品单位净值为1.12元/份，投资者持有份额为100,000.00份，若赎回确认金额采取四舍五入后精确到小数点后2位则理财产品到期后兑付投资者的到期兑付金额为：</w:t>
      </w:r>
    </w:p>
    <w:p w14:paraId="22BECD39">
      <w:pPr>
        <w:ind w:firstLine="420"/>
        <w:jc w:val="left"/>
        <w:rPr>
          <w:rFonts w:hint="eastAsia" w:ascii="黑体" w:hAnsi="黑体" w:cs="黑体"/>
          <w:szCs w:val="21"/>
        </w:rPr>
      </w:pPr>
      <w:r>
        <w:rPr>
          <w:rFonts w:hint="eastAsia" w:ascii="黑体" w:hAnsi="黑体" w:cs="黑体"/>
          <w:szCs w:val="21"/>
        </w:rPr>
        <w:t>到期兑付金额=100,000.00份×1.12 =112,000.00（元）</w:t>
      </w:r>
    </w:p>
    <w:p w14:paraId="7232B644">
      <w:pPr>
        <w:ind w:firstLine="422"/>
        <w:jc w:val="left"/>
        <w:rPr>
          <w:rFonts w:hint="eastAsia" w:ascii="黑体" w:hAnsi="黑体" w:cs="黑体"/>
          <w:b/>
          <w:szCs w:val="21"/>
        </w:rPr>
      </w:pPr>
      <w:r>
        <w:rPr>
          <w:rFonts w:hint="eastAsia" w:ascii="黑体" w:hAnsi="黑体" w:cs="黑体"/>
          <w:b/>
          <w:szCs w:val="21"/>
        </w:rPr>
        <w:t>测算收益不等于实际收益，投资须谨慎。</w:t>
      </w:r>
    </w:p>
    <w:p w14:paraId="618A34B2">
      <w:pPr>
        <w:jc w:val="left"/>
        <w:rPr>
          <w:rFonts w:hint="eastAsia" w:ascii="黑体" w:hAnsi="黑体" w:cs="黑体"/>
          <w:szCs w:val="21"/>
        </w:rPr>
      </w:pPr>
      <w:r>
        <w:rPr>
          <w:rFonts w:hint="eastAsia" w:ascii="黑体" w:hAnsi="黑体" w:cs="黑体"/>
          <w:szCs w:val="21"/>
        </w:rPr>
        <w:t>（五</w:t>
      </w:r>
      <w:r>
        <w:rPr>
          <w:rFonts w:ascii="黑体" w:hAnsi="黑体" w:cs="黑体"/>
          <w:szCs w:val="21"/>
        </w:rPr>
        <w:t>）</w:t>
      </w:r>
      <w:r>
        <w:rPr>
          <w:rFonts w:hint="eastAsia" w:ascii="黑体" w:hAnsi="黑体" w:cs="黑体"/>
          <w:szCs w:val="21"/>
        </w:rPr>
        <w:t>收益分配事项</w:t>
      </w:r>
    </w:p>
    <w:p w14:paraId="0E148495">
      <w:pPr>
        <w:ind w:firstLine="420"/>
        <w:jc w:val="left"/>
        <w:rPr>
          <w:rFonts w:hint="eastAsia" w:ascii="黑体" w:hAnsi="黑体" w:cs="黑体"/>
          <w:szCs w:val="21"/>
        </w:rPr>
      </w:pPr>
      <w:r>
        <w:rPr>
          <w:rFonts w:hint="eastAsia" w:ascii="黑体" w:hAnsi="黑体" w:cs="黑体"/>
          <w:szCs w:val="21"/>
        </w:rPr>
        <w:t>1、收益的构成</w:t>
      </w:r>
    </w:p>
    <w:p w14:paraId="442EFB88">
      <w:pPr>
        <w:ind w:firstLine="420"/>
        <w:jc w:val="left"/>
        <w:rPr>
          <w:rFonts w:hint="eastAsia" w:ascii="黑体" w:hAnsi="黑体" w:cs="黑体"/>
          <w:szCs w:val="21"/>
        </w:rPr>
      </w:pPr>
      <w:r>
        <w:rPr>
          <w:rFonts w:hint="eastAsia" w:ascii="黑体" w:hAnsi="黑体" w:cs="黑体"/>
          <w:szCs w:val="21"/>
        </w:rPr>
        <w:t>产品</w:t>
      </w:r>
      <w:r>
        <w:rPr>
          <w:rFonts w:ascii="黑体" w:hAnsi="黑体" w:cs="黑体"/>
          <w:szCs w:val="21"/>
        </w:rPr>
        <w:t>收益包括</w:t>
      </w:r>
      <w:r>
        <w:rPr>
          <w:rFonts w:hint="eastAsia" w:ascii="黑体" w:hAnsi="黑体" w:cs="黑体"/>
          <w:szCs w:val="21"/>
        </w:rPr>
        <w:t>：产品</w:t>
      </w:r>
      <w:r>
        <w:rPr>
          <w:rFonts w:ascii="黑体" w:hAnsi="黑体" w:cs="黑体"/>
          <w:szCs w:val="21"/>
        </w:rPr>
        <w:t>投资所得红利、股息、债券利息、买卖差价、银行存款利息以及其他收入。</w:t>
      </w:r>
    </w:p>
    <w:p w14:paraId="59745B1C">
      <w:pPr>
        <w:ind w:firstLine="420"/>
        <w:jc w:val="left"/>
        <w:rPr>
          <w:rFonts w:hint="eastAsia" w:ascii="黑体" w:hAnsi="黑体" w:cs="黑体"/>
          <w:szCs w:val="21"/>
        </w:rPr>
      </w:pPr>
      <w:r>
        <w:rPr>
          <w:rFonts w:hint="eastAsia" w:ascii="黑体" w:hAnsi="黑体" w:cs="黑体"/>
          <w:szCs w:val="21"/>
        </w:rPr>
        <w:t>2、收益分配原则：</w:t>
      </w:r>
    </w:p>
    <w:p w14:paraId="5FD81EAE">
      <w:pPr>
        <w:ind w:firstLine="420"/>
        <w:jc w:val="left"/>
        <w:rPr>
          <w:rFonts w:hint="eastAsia" w:ascii="黑体" w:hAnsi="黑体" w:cs="黑体"/>
          <w:szCs w:val="21"/>
        </w:rPr>
      </w:pPr>
      <w:r>
        <w:rPr>
          <w:rFonts w:hint="eastAsia" w:ascii="黑体" w:hAnsi="黑体" w:cs="黑体"/>
          <w:szCs w:val="21"/>
        </w:rPr>
        <w:t>（1）本产品</w:t>
      </w:r>
      <w:r>
        <w:rPr>
          <w:rFonts w:ascii="黑体" w:hAnsi="黑体" w:cs="黑体"/>
          <w:szCs w:val="21"/>
        </w:rPr>
        <w:t>每份产品份额</w:t>
      </w:r>
      <w:r>
        <w:rPr>
          <w:rFonts w:hint="eastAsia" w:ascii="黑体" w:hAnsi="黑体" w:cs="黑体"/>
          <w:szCs w:val="21"/>
        </w:rPr>
        <w:t>享有同等分配权；</w:t>
      </w:r>
    </w:p>
    <w:p w14:paraId="011DED6E">
      <w:pPr>
        <w:ind w:firstLine="420"/>
        <w:jc w:val="left"/>
        <w:rPr>
          <w:rFonts w:hint="eastAsia" w:ascii="黑体" w:hAnsi="黑体" w:cs="黑体"/>
          <w:szCs w:val="21"/>
        </w:rPr>
      </w:pPr>
      <w:r>
        <w:rPr>
          <w:rFonts w:hint="eastAsia" w:ascii="黑体" w:hAnsi="黑体" w:cs="黑体"/>
          <w:szCs w:val="21"/>
        </w:rPr>
        <w:t>（2）产品收益分配后份额单位净值原则上不低于1；</w:t>
      </w:r>
    </w:p>
    <w:p w14:paraId="742A3DDE">
      <w:pPr>
        <w:ind w:firstLine="420"/>
        <w:jc w:val="left"/>
        <w:rPr>
          <w:rFonts w:hint="eastAsia" w:ascii="黑体" w:hAnsi="黑体" w:cs="黑体"/>
          <w:szCs w:val="21"/>
        </w:rPr>
      </w:pPr>
      <w:r>
        <w:rPr>
          <w:rFonts w:hint="eastAsia" w:ascii="黑体" w:hAnsi="黑体" w:cs="黑体"/>
          <w:szCs w:val="21"/>
        </w:rPr>
        <w:t>（3）</w:t>
      </w:r>
      <w:r>
        <w:rPr>
          <w:rFonts w:ascii="黑体" w:hAnsi="黑体" w:cs="黑体"/>
          <w:szCs w:val="21"/>
        </w:rPr>
        <w:t>法律、法规或监管机构另有规定的从其规定</w:t>
      </w:r>
      <w:r>
        <w:rPr>
          <w:rFonts w:hint="eastAsia" w:ascii="黑体" w:hAnsi="黑体" w:cs="黑体"/>
          <w:szCs w:val="21"/>
        </w:rPr>
        <w:t>。</w:t>
      </w:r>
    </w:p>
    <w:p w14:paraId="51721513">
      <w:pPr>
        <w:ind w:firstLine="420"/>
        <w:jc w:val="left"/>
        <w:rPr>
          <w:rFonts w:hint="eastAsia" w:ascii="黑体" w:hAnsi="黑体" w:cs="黑体"/>
          <w:szCs w:val="21"/>
        </w:rPr>
      </w:pPr>
      <w:r>
        <w:rPr>
          <w:rFonts w:hint="eastAsia" w:ascii="黑体" w:hAnsi="黑体" w:cs="黑体"/>
          <w:szCs w:val="21"/>
        </w:rPr>
        <w:t>3、收益分配方案确认及披露</w:t>
      </w:r>
    </w:p>
    <w:p w14:paraId="07C265AB">
      <w:pPr>
        <w:ind w:firstLine="420"/>
        <w:rPr>
          <w:rFonts w:hint="eastAsia" w:ascii="黑体" w:hAnsi="黑体" w:cs="黑体"/>
          <w:szCs w:val="21"/>
        </w:rPr>
      </w:pPr>
      <w:r>
        <w:rPr>
          <w:rFonts w:hint="eastAsia" w:ascii="黑体" w:hAnsi="黑体" w:cs="黑体"/>
          <w:szCs w:val="21"/>
        </w:rPr>
        <w:t>（1）本产品存续期间不分红。</w:t>
      </w:r>
    </w:p>
    <w:p w14:paraId="06DBBC8E">
      <w:pPr>
        <w:ind w:firstLine="420"/>
        <w:jc w:val="left"/>
        <w:rPr>
          <w:rFonts w:hint="eastAsia" w:ascii="黑体" w:hAnsi="黑体" w:cs="黑体"/>
          <w:szCs w:val="21"/>
        </w:rPr>
      </w:pPr>
      <w:bookmarkStart w:id="1" w:name="_Hlk33197191"/>
      <w:r>
        <w:rPr>
          <w:rFonts w:hint="eastAsia" w:ascii="黑体" w:hAnsi="黑体" w:cs="黑体"/>
          <w:szCs w:val="21"/>
        </w:rPr>
        <w:t>（</w:t>
      </w:r>
      <w:r>
        <w:rPr>
          <w:rFonts w:ascii="黑体" w:hAnsi="黑体" w:cs="黑体"/>
          <w:szCs w:val="21"/>
        </w:rPr>
        <w:t>2</w:t>
      </w:r>
      <w:r>
        <w:rPr>
          <w:rFonts w:hint="eastAsia" w:ascii="黑体" w:hAnsi="黑体" w:cs="黑体"/>
          <w:szCs w:val="21"/>
        </w:rPr>
        <w:t>）</w:t>
      </w:r>
      <w:r>
        <w:rPr>
          <w:rFonts w:ascii="黑体" w:hAnsi="黑体" w:cs="黑体"/>
          <w:szCs w:val="21"/>
        </w:rPr>
        <w:t>产品管理人有权根据产品实际运作情况，对本产品的</w:t>
      </w:r>
      <w:r>
        <w:rPr>
          <w:rFonts w:hint="eastAsia" w:ascii="黑体" w:hAnsi="黑体" w:cs="黑体"/>
          <w:szCs w:val="21"/>
        </w:rPr>
        <w:t>收益分配</w:t>
      </w:r>
      <w:r>
        <w:rPr>
          <w:rFonts w:ascii="黑体" w:hAnsi="黑体" w:cs="黑体"/>
          <w:szCs w:val="21"/>
        </w:rPr>
        <w:t>规则进行调整，如有相应调整，公司将于调整</w:t>
      </w:r>
      <w:r>
        <w:rPr>
          <w:rFonts w:hint="eastAsia" w:ascii="黑体" w:hAnsi="黑体" w:cs="黑体"/>
          <w:szCs w:val="21"/>
        </w:rPr>
        <w:t>前</w:t>
      </w:r>
      <w:r>
        <w:rPr>
          <w:rFonts w:hint="eastAsia" w:ascii="黑体" w:hAnsi="黑体" w:cs="黑体"/>
          <w:szCs w:val="21"/>
          <w:u w:val="single"/>
        </w:rPr>
        <w:t>3</w:t>
      </w:r>
      <w:r>
        <w:rPr>
          <w:rFonts w:ascii="黑体" w:hAnsi="黑体" w:cs="黑体"/>
          <w:szCs w:val="21"/>
        </w:rPr>
        <w:t>个工作日进行信息披露。</w:t>
      </w:r>
      <w:bookmarkEnd w:id="1"/>
    </w:p>
    <w:p w14:paraId="005C692F">
      <w:pPr>
        <w:ind w:firstLine="420"/>
        <w:jc w:val="left"/>
        <w:rPr>
          <w:rFonts w:hint="eastAsia" w:ascii="黑体" w:hAnsi="黑体" w:cs="宋体"/>
          <w:szCs w:val="21"/>
        </w:rPr>
      </w:pPr>
    </w:p>
    <w:p w14:paraId="4D8F59BA">
      <w:pPr>
        <w:jc w:val="left"/>
        <w:rPr>
          <w:rFonts w:hint="eastAsia" w:ascii="黑体" w:hAnsi="黑体" w:cs="黑体"/>
          <w:b/>
          <w:szCs w:val="21"/>
        </w:rPr>
      </w:pPr>
      <w:r>
        <w:rPr>
          <w:rFonts w:hint="eastAsia" w:ascii="黑体" w:hAnsi="黑体" w:cs="黑体"/>
          <w:b/>
          <w:szCs w:val="21"/>
        </w:rPr>
        <w:t>五、产品资产估值</w:t>
      </w:r>
    </w:p>
    <w:p w14:paraId="768C3138">
      <w:pPr>
        <w:jc w:val="left"/>
        <w:rPr>
          <w:rFonts w:hint="eastAsia" w:ascii="黑体" w:hAnsi="黑体" w:cs="宋体"/>
          <w:szCs w:val="21"/>
        </w:rPr>
      </w:pPr>
      <w:r>
        <w:rPr>
          <w:rFonts w:hint="eastAsia" w:ascii="黑体" w:hAnsi="黑体" w:cs="宋体"/>
          <w:szCs w:val="21"/>
        </w:rPr>
        <w:t>（一）估值日</w:t>
      </w:r>
    </w:p>
    <w:p w14:paraId="68649A96">
      <w:pPr>
        <w:ind w:firstLine="420"/>
        <w:jc w:val="left"/>
        <w:rPr>
          <w:rFonts w:hint="eastAsia" w:ascii="黑体" w:hAnsi="黑体" w:cs="黑体"/>
          <w:szCs w:val="21"/>
        </w:rPr>
      </w:pPr>
      <w:r>
        <w:rPr>
          <w:rFonts w:hint="eastAsia" w:ascii="黑体" w:hAnsi="黑体" w:cs="黑体"/>
          <w:szCs w:val="21"/>
        </w:rPr>
        <w:t>本产品估值日为国家法定工作日。</w:t>
      </w:r>
    </w:p>
    <w:p w14:paraId="4E9C4C0A">
      <w:pPr>
        <w:jc w:val="left"/>
        <w:rPr>
          <w:rFonts w:hint="eastAsia" w:ascii="黑体" w:hAnsi="黑体" w:cs="宋体"/>
          <w:szCs w:val="21"/>
        </w:rPr>
      </w:pPr>
      <w:r>
        <w:rPr>
          <w:rFonts w:hint="eastAsia" w:ascii="黑体" w:hAnsi="黑体" w:cs="宋体"/>
          <w:szCs w:val="21"/>
        </w:rPr>
        <w:t>（二</w:t>
      </w:r>
      <w:r>
        <w:rPr>
          <w:rFonts w:ascii="黑体" w:hAnsi="黑体" w:cs="宋体"/>
          <w:szCs w:val="21"/>
        </w:rPr>
        <w:t>）</w:t>
      </w:r>
      <w:r>
        <w:rPr>
          <w:rFonts w:hint="eastAsia" w:ascii="黑体" w:hAnsi="黑体" w:cs="宋体"/>
          <w:szCs w:val="21"/>
        </w:rPr>
        <w:t>估值</w:t>
      </w:r>
      <w:r>
        <w:rPr>
          <w:rFonts w:ascii="黑体" w:hAnsi="黑体" w:cs="宋体"/>
          <w:szCs w:val="21"/>
        </w:rPr>
        <w:t>原则</w:t>
      </w:r>
    </w:p>
    <w:p w14:paraId="5E656790">
      <w:pPr>
        <w:ind w:firstLine="420"/>
        <w:rPr>
          <w:rFonts w:hint="eastAsia" w:ascii="黑体" w:hAnsi="黑体" w:cs="黑体"/>
          <w:szCs w:val="21"/>
        </w:rPr>
      </w:pPr>
      <w:r>
        <w:rPr>
          <w:rFonts w:hint="eastAsia" w:ascii="黑体" w:hAnsi="黑体" w:cs="黑体"/>
          <w:szCs w:val="21"/>
        </w:rPr>
        <w:t>公司理财产品投资金融资产在</w:t>
      </w:r>
      <w:r>
        <w:rPr>
          <w:rFonts w:ascii="黑体" w:hAnsi="黑体" w:cs="黑体"/>
          <w:szCs w:val="21"/>
        </w:rPr>
        <w:t>符合企业会计准则的前提下</w:t>
      </w:r>
      <w:r>
        <w:rPr>
          <w:rFonts w:hint="eastAsia" w:ascii="黑体" w:hAnsi="黑体" w:cs="黑体"/>
          <w:szCs w:val="21"/>
        </w:rPr>
        <w:t>坚持公允价值计量原则，鼓励使用市值计量。</w:t>
      </w:r>
      <w:r>
        <w:rPr>
          <w:rFonts w:hint="eastAsia" w:ascii="黑体" w:hAnsi="黑体" w:cs="黑体"/>
          <w:b/>
          <w:szCs w:val="21"/>
        </w:rPr>
        <w:t>符合以下条件之一的，可按照企业会计准则以摊余成本进行计量：</w:t>
      </w:r>
    </w:p>
    <w:p w14:paraId="5DCE2829">
      <w:pPr>
        <w:ind w:firstLine="420"/>
        <w:rPr>
          <w:rFonts w:hint="eastAsia" w:ascii="黑体" w:hAnsi="黑体" w:cs="黑体"/>
          <w:szCs w:val="21"/>
        </w:rPr>
      </w:pPr>
      <w:r>
        <w:rPr>
          <w:rFonts w:hint="eastAsia" w:ascii="黑体" w:hAnsi="黑体" w:cs="黑体"/>
          <w:szCs w:val="21"/>
        </w:rPr>
        <w:t>（1）资产管理产品为封闭式产品，且所投金融资产以收取合同现金流量为目的并且持有到期。</w:t>
      </w:r>
    </w:p>
    <w:p w14:paraId="069C350B">
      <w:pPr>
        <w:ind w:firstLine="420"/>
        <w:rPr>
          <w:rFonts w:hint="eastAsia" w:ascii="黑体" w:hAnsi="黑体" w:cs="黑体"/>
          <w:szCs w:val="21"/>
        </w:rPr>
      </w:pPr>
      <w:r>
        <w:rPr>
          <w:rFonts w:hint="eastAsia" w:ascii="黑体" w:hAnsi="黑体" w:cs="黑体"/>
          <w:szCs w:val="21"/>
        </w:rPr>
        <w:t>（2）资产管理产品为封闭式产品，且所投金融资产暂不具备活跃交易市场，或者在活跃市场中没有报价、也不能采用估值技术可靠计量公允价值。</w:t>
      </w:r>
    </w:p>
    <w:p w14:paraId="190CA14E">
      <w:pPr>
        <w:ind w:firstLine="420"/>
        <w:rPr>
          <w:rFonts w:hint="eastAsia" w:ascii="黑体" w:hAnsi="黑体" w:cs="黑体"/>
          <w:szCs w:val="21"/>
        </w:rPr>
      </w:pPr>
      <w:r>
        <w:rPr>
          <w:rFonts w:hint="eastAsia" w:ascii="黑体" w:hAnsi="黑体" w:cs="黑体"/>
          <w:szCs w:val="21"/>
        </w:rPr>
        <w:t>现金管理类产品按照《企业会计准则》和《关于规范金融机构资产管理业务的指导意见》关于金融资产估值核算的相关规定，确认和计量现金管理类产品的净值。可在确保现金管理类产品资产净值能够公允地反映投资组合价值的前提下，采用摊余成本法对持有的投资组合进行会计核算。</w:t>
      </w:r>
      <w:r>
        <w:rPr>
          <w:rFonts w:hint="eastAsia" w:ascii="黑体" w:hAnsi="黑体" w:cs="黑体"/>
          <w:b/>
          <w:szCs w:val="21"/>
        </w:rPr>
        <w:t>由于按摊余成本法计量可能会出现被计量对象的其他可参考公允价值指标和摊余成本之间的偏离，为消除或减少因理财产品资产净值的背离导致理财产品份额持有人权益的稀释或其他不公平的结果，在实际操作中，产品管理人和托管机构将采用估值技术，对理财产品持有的估值对象进行重新评估，即“影子定价”。当影子定价确定的现金管理类产品资产净值与摊余成本法计算的资产净值正偏离度绝对值达到0.5%时，产品管理人将暂停接受认购并在5个交易日内将正偏离度绝对值调整到0.5%以内。当负偏离度绝对值达到0.25%时，产品管理人将在5个交易日内将负偏离度绝对值调整到0.25%以内。当负偏离度绝对值达到0.5%时，产品管理人将采取相应措施，将负偏离度绝对值控制在0.5%以内。当负偏离度绝对值连续两个交易日超过0.5%时，产品管理人将采用公允价值估值方法对持有投资组合的账面价值进行调整，或者采取暂停接受所有赎回申请并终止产品合同进行财产清算等措施。若采取上述处理方式，产品管理人将于发生后三个工作日内进行信息披露。</w:t>
      </w:r>
    </w:p>
    <w:p w14:paraId="1250912C">
      <w:pPr>
        <w:ind w:firstLine="420"/>
        <w:rPr>
          <w:rFonts w:hint="eastAsia" w:ascii="黑体" w:hAnsi="黑体" w:cs="黑体"/>
          <w:szCs w:val="21"/>
        </w:rPr>
      </w:pPr>
      <w:r>
        <w:rPr>
          <w:rFonts w:hint="eastAsia" w:ascii="黑体" w:hAnsi="黑体" w:cs="黑体"/>
          <w:szCs w:val="21"/>
        </w:rPr>
        <w:t>如财政部、中国人民银行、国家金融监督管理总局等有关部门对估值原则另有规定的，从其规定。</w:t>
      </w:r>
    </w:p>
    <w:p w14:paraId="7ED0BF9F">
      <w:pPr>
        <w:jc w:val="left"/>
        <w:rPr>
          <w:rFonts w:hint="eastAsia" w:ascii="黑体" w:hAnsi="黑体" w:cs="宋体"/>
          <w:szCs w:val="21"/>
        </w:rPr>
      </w:pPr>
      <w:r>
        <w:rPr>
          <w:rFonts w:hint="eastAsia" w:ascii="黑体" w:hAnsi="黑体" w:cs="宋体"/>
          <w:szCs w:val="21"/>
        </w:rPr>
        <w:t>（三）估值对象</w:t>
      </w:r>
    </w:p>
    <w:p w14:paraId="31F559AB">
      <w:pPr>
        <w:ind w:firstLine="420"/>
        <w:jc w:val="left"/>
        <w:rPr>
          <w:rFonts w:hint="eastAsia" w:ascii="黑体" w:hAnsi="黑体" w:cs="黑体"/>
          <w:szCs w:val="21"/>
        </w:rPr>
      </w:pPr>
      <w:r>
        <w:rPr>
          <w:rFonts w:hint="eastAsia" w:ascii="黑体" w:hAnsi="黑体" w:cs="黑体"/>
          <w:szCs w:val="21"/>
        </w:rPr>
        <w:t>本产品所持有的所有资产。</w:t>
      </w:r>
    </w:p>
    <w:p w14:paraId="4CCFD1E4">
      <w:pPr>
        <w:jc w:val="left"/>
        <w:rPr>
          <w:rFonts w:hint="eastAsia" w:ascii="黑体" w:hAnsi="黑体" w:cs="宋体"/>
          <w:szCs w:val="21"/>
        </w:rPr>
      </w:pPr>
      <w:r>
        <w:rPr>
          <w:rFonts w:hint="eastAsia" w:ascii="黑体" w:hAnsi="黑体" w:cs="宋体"/>
          <w:szCs w:val="21"/>
        </w:rPr>
        <w:t>（四）资产估值方法</w:t>
      </w:r>
    </w:p>
    <w:p w14:paraId="0650BC22">
      <w:pPr>
        <w:numPr>
          <w:ilvl w:val="0"/>
          <w:numId w:val="2"/>
        </w:numPr>
        <w:rPr>
          <w:rFonts w:hint="eastAsia" w:ascii="黑体" w:hAnsi="黑体" w:cs="黑体"/>
          <w:szCs w:val="21"/>
        </w:rPr>
      </w:pPr>
      <w:r>
        <w:rPr>
          <w:rFonts w:hint="eastAsia" w:ascii="黑体" w:hAnsi="黑体" w:cs="黑体"/>
          <w:szCs w:val="21"/>
        </w:rPr>
        <w:t>权益类</w:t>
      </w:r>
      <w:r>
        <w:rPr>
          <w:rFonts w:ascii="黑体" w:hAnsi="黑体" w:cs="黑体"/>
          <w:szCs w:val="21"/>
        </w:rPr>
        <w:t>证券</w:t>
      </w:r>
    </w:p>
    <w:p w14:paraId="0D98E83D">
      <w:pPr>
        <w:ind w:firstLine="420"/>
        <w:rPr>
          <w:rFonts w:hint="eastAsia" w:ascii="黑体" w:hAnsi="黑体" w:cs="黑体"/>
          <w:szCs w:val="21"/>
        </w:rPr>
      </w:pPr>
      <w:r>
        <w:rPr>
          <w:rFonts w:hint="eastAsia" w:ascii="黑体" w:hAnsi="黑体" w:cs="黑体"/>
          <w:szCs w:val="21"/>
        </w:rPr>
        <w:t>在证券交易所上市流通的股票，估值日有交易的，按估值日收盘价估值；估值日无交易，且最近交易日后未发生影响公允价值计量的重大事件的，按最近交易日的收盘价估值；估值日无交易，且最近交易日后发生影响公允价值计量的重大事件的，参考类似投资品种的现行价格及重大变化因素，调整最近交易日的收盘价确定公允价值。</w:t>
      </w:r>
    </w:p>
    <w:p w14:paraId="7E5F914E">
      <w:pPr>
        <w:numPr>
          <w:ilvl w:val="0"/>
          <w:numId w:val="2"/>
        </w:numPr>
        <w:rPr>
          <w:rFonts w:hint="eastAsia" w:ascii="黑体" w:hAnsi="黑体" w:cs="黑体"/>
          <w:szCs w:val="21"/>
        </w:rPr>
      </w:pPr>
      <w:r>
        <w:rPr>
          <w:rFonts w:hint="eastAsia" w:ascii="黑体" w:hAnsi="黑体" w:cs="黑体"/>
          <w:szCs w:val="21"/>
        </w:rPr>
        <w:t>固定收益类证券</w:t>
      </w:r>
    </w:p>
    <w:p w14:paraId="5F4F2FD7">
      <w:pPr>
        <w:ind w:left="420"/>
        <w:rPr>
          <w:rFonts w:hint="eastAsia" w:ascii="黑体" w:hAnsi="黑体" w:cs="黑体"/>
          <w:szCs w:val="21"/>
        </w:rPr>
      </w:pPr>
      <w:r>
        <w:rPr>
          <w:rFonts w:hint="eastAsia" w:ascii="黑体" w:hAnsi="黑体" w:cs="黑体"/>
          <w:szCs w:val="21"/>
        </w:rPr>
        <w:t>理财产品直接持有的在证券交易所和全国银行间市场交易的债券，以交易为目的的，</w:t>
      </w:r>
    </w:p>
    <w:p w14:paraId="2C97D152">
      <w:pPr>
        <w:rPr>
          <w:rFonts w:hint="eastAsia" w:ascii="黑体" w:hAnsi="黑体" w:cs="黑体"/>
          <w:szCs w:val="21"/>
        </w:rPr>
      </w:pPr>
      <w:r>
        <w:rPr>
          <w:rFonts w:hint="eastAsia" w:ascii="黑体" w:hAnsi="黑体" w:cs="黑体"/>
          <w:szCs w:val="21"/>
        </w:rPr>
        <w:t>按第三方估值机构（中债、中证等）提供的估值数据，对本组合持有的债券进行估值，具体第三方估值机构由管理人和托管行具体协商确定；以收取合同现金流量为目的并持有到期的，在符合</w:t>
      </w:r>
      <w:r>
        <w:rPr>
          <w:rFonts w:ascii="黑体" w:hAnsi="黑体" w:cs="黑体"/>
          <w:szCs w:val="21"/>
        </w:rPr>
        <w:t>监管</w:t>
      </w:r>
      <w:r>
        <w:rPr>
          <w:rFonts w:hint="eastAsia" w:ascii="黑体" w:hAnsi="黑体" w:cs="黑体"/>
          <w:szCs w:val="21"/>
        </w:rPr>
        <w:t>规定</w:t>
      </w:r>
      <w:r>
        <w:rPr>
          <w:rFonts w:ascii="黑体" w:hAnsi="黑体" w:cs="黑体"/>
          <w:szCs w:val="21"/>
        </w:rPr>
        <w:t>的情况下</w:t>
      </w:r>
      <w:r>
        <w:rPr>
          <w:rFonts w:hint="eastAsia" w:ascii="黑体" w:hAnsi="黑体" w:cs="黑体"/>
          <w:szCs w:val="21"/>
        </w:rPr>
        <w:t>按摊余成本法计量。因经济环境发生重大变化或债券发行主体发生重大事件等，导致债券价格发生重大变化的或导致债券发行主体无法履行应尽的偿债义务的，经管理人合理判断后，参考第三方估值机构提供的估值数据、市场价格及债券发行主体实际状况等，对该债券的价值进行重估，并合理确定随后该债券遵循的估值方法。</w:t>
      </w:r>
      <w:r>
        <w:rPr>
          <w:rFonts w:ascii="黑体" w:hAnsi="黑体" w:cs="黑体"/>
          <w:szCs w:val="21"/>
        </w:rPr>
        <w:t>资产支持证券和资产支持票据原则上按第三方估值机构（中债、中证等）提供的估值</w:t>
      </w:r>
      <w:r>
        <w:rPr>
          <w:rFonts w:hint="eastAsia" w:ascii="黑体" w:hAnsi="黑体" w:cs="黑体"/>
          <w:szCs w:val="21"/>
        </w:rPr>
        <w:t>数据进行估值，具体第三方估值机构由管理人和托管行具体协商确定。但若因其交易不活跃或未来现金流难以确认等客观原因，导致第三方估值机构提供的估值数据无法反映其公允价值的，为保护投资者利益，经管理人和托管行合理判断后，可采用其他估值技术对其进行估值。管理人应持续评估上述估值技术的适当性，并在此情况发生改变时做出适当调整。</w:t>
      </w:r>
    </w:p>
    <w:p w14:paraId="550B03E1">
      <w:pPr>
        <w:ind w:firstLine="420"/>
        <w:rPr>
          <w:rFonts w:hint="eastAsia" w:ascii="黑体" w:hAnsi="黑体" w:cs="黑体"/>
          <w:szCs w:val="21"/>
        </w:rPr>
      </w:pPr>
      <w:r>
        <w:rPr>
          <w:rFonts w:ascii="黑体" w:hAnsi="黑体" w:cs="黑体"/>
          <w:szCs w:val="21"/>
        </w:rPr>
        <w:t>3</w:t>
      </w:r>
      <w:r>
        <w:rPr>
          <w:rFonts w:hint="eastAsia" w:ascii="黑体" w:hAnsi="黑体" w:cs="黑体"/>
          <w:szCs w:val="21"/>
        </w:rPr>
        <w:t>、存款类资产</w:t>
      </w:r>
    </w:p>
    <w:p w14:paraId="52B66CA5">
      <w:pPr>
        <w:ind w:firstLine="420"/>
        <w:rPr>
          <w:rFonts w:hint="eastAsia" w:ascii="黑体" w:hAnsi="黑体" w:cs="黑体"/>
          <w:szCs w:val="21"/>
        </w:rPr>
      </w:pPr>
      <w:r>
        <w:rPr>
          <w:rFonts w:hint="eastAsia" w:ascii="黑体" w:hAnsi="黑体" w:cs="黑体"/>
          <w:szCs w:val="21"/>
        </w:rPr>
        <w:t>包括：活期存款、定期存款、通知存款、存放同业、大额存单等。按照</w:t>
      </w:r>
      <w:r>
        <w:rPr>
          <w:rFonts w:ascii="黑体" w:hAnsi="黑体" w:cs="黑体"/>
          <w:szCs w:val="21"/>
        </w:rPr>
        <w:t>约定利率在持有期内</w:t>
      </w:r>
      <w:r>
        <w:rPr>
          <w:rFonts w:hint="eastAsia" w:ascii="黑体" w:hAnsi="黑体" w:cs="黑体"/>
          <w:szCs w:val="21"/>
        </w:rPr>
        <w:t>逐日计提</w:t>
      </w:r>
      <w:r>
        <w:rPr>
          <w:rFonts w:ascii="黑体" w:hAnsi="黑体" w:cs="黑体"/>
          <w:szCs w:val="21"/>
        </w:rPr>
        <w:t>应收利息，</w:t>
      </w:r>
      <w:r>
        <w:rPr>
          <w:rFonts w:hint="eastAsia" w:ascii="黑体" w:hAnsi="黑体" w:cs="黑体"/>
          <w:szCs w:val="21"/>
        </w:rPr>
        <w:t>在</w:t>
      </w:r>
      <w:r>
        <w:rPr>
          <w:rFonts w:ascii="黑体" w:hAnsi="黑体" w:cs="黑体"/>
          <w:szCs w:val="21"/>
        </w:rPr>
        <w:t>利息到账日以实收利息入账。</w:t>
      </w:r>
    </w:p>
    <w:p w14:paraId="2EACCF8B">
      <w:pPr>
        <w:ind w:firstLine="420"/>
        <w:rPr>
          <w:rFonts w:hint="eastAsia" w:ascii="黑体" w:hAnsi="黑体" w:cs="黑体"/>
          <w:szCs w:val="21"/>
        </w:rPr>
      </w:pPr>
      <w:r>
        <w:rPr>
          <w:rFonts w:ascii="黑体" w:hAnsi="黑体" w:cs="黑体"/>
          <w:szCs w:val="21"/>
        </w:rPr>
        <w:t>4</w:t>
      </w:r>
      <w:r>
        <w:rPr>
          <w:rFonts w:hint="eastAsia" w:ascii="黑体" w:hAnsi="黑体" w:cs="黑体"/>
          <w:szCs w:val="21"/>
        </w:rPr>
        <w:t>、非上市基金</w:t>
      </w:r>
    </w:p>
    <w:p w14:paraId="7237FB11">
      <w:pPr>
        <w:ind w:firstLine="420"/>
        <w:rPr>
          <w:rFonts w:hint="eastAsia" w:ascii="黑体" w:hAnsi="黑体" w:cs="黑体"/>
          <w:szCs w:val="21"/>
        </w:rPr>
      </w:pPr>
      <w:r>
        <w:rPr>
          <w:rFonts w:hint="eastAsia" w:ascii="黑体" w:hAnsi="黑体" w:cs="黑体"/>
          <w:szCs w:val="21"/>
        </w:rPr>
        <w:t>理财产品投资的境内非货币市场基金，按所投资基金估值日的份额净值估值；境内货币市场基金，按所投资基金前一估值日后至估值日期间（含节假日）的万份收益计提估值日基金收益。</w:t>
      </w:r>
    </w:p>
    <w:p w14:paraId="3CE50916">
      <w:pPr>
        <w:ind w:firstLine="420"/>
        <w:rPr>
          <w:rFonts w:hint="eastAsia" w:ascii="黑体" w:hAnsi="黑体" w:cs="黑体"/>
          <w:szCs w:val="21"/>
        </w:rPr>
      </w:pPr>
      <w:r>
        <w:rPr>
          <w:rFonts w:ascii="黑体" w:hAnsi="黑体" w:cs="黑体"/>
          <w:szCs w:val="21"/>
        </w:rPr>
        <w:t>5</w:t>
      </w:r>
      <w:r>
        <w:rPr>
          <w:rFonts w:hint="eastAsia" w:ascii="黑体" w:hAnsi="黑体" w:cs="黑体"/>
          <w:szCs w:val="21"/>
        </w:rPr>
        <w:t>、上市证券投资基金</w:t>
      </w:r>
    </w:p>
    <w:p w14:paraId="3089D5EC">
      <w:pPr>
        <w:ind w:firstLine="420"/>
        <w:rPr>
          <w:rFonts w:hint="eastAsia" w:ascii="黑体" w:hAnsi="黑体" w:cs="黑体"/>
          <w:szCs w:val="21"/>
        </w:rPr>
      </w:pPr>
      <w:r>
        <w:rPr>
          <w:rFonts w:hint="eastAsia" w:ascii="黑体" w:hAnsi="黑体" w:cs="黑体"/>
          <w:szCs w:val="21"/>
        </w:rPr>
        <w:t>理财产品投资的ETF 基金、境内上市定期开放式基金、封闭式基金，按所投资基金估值日的收盘价估值；境内上市开放式基金（LOF）、境内上市交易型货币市场基金，如所投资基金披露份额净值，则按所投资基金估值日的份额净值估值，估值日未公布净值的，按其最近公布的基金份额净值为基础估值；如所投资基金披露万份收益，则按所投资基金前一估值日后至估值日期间（含节假日）的万份收益计提估值日基金收益。</w:t>
      </w:r>
    </w:p>
    <w:p w14:paraId="74F97808">
      <w:pPr>
        <w:ind w:firstLine="420"/>
        <w:rPr>
          <w:rFonts w:hint="eastAsia" w:ascii="黑体" w:hAnsi="黑体" w:cs="黑体"/>
          <w:szCs w:val="21"/>
        </w:rPr>
      </w:pPr>
      <w:r>
        <w:rPr>
          <w:rFonts w:ascii="黑体" w:hAnsi="黑体" w:cs="黑体"/>
          <w:szCs w:val="21"/>
        </w:rPr>
        <w:t>6</w:t>
      </w:r>
      <w:r>
        <w:rPr>
          <w:rFonts w:hint="eastAsia" w:ascii="黑体" w:hAnsi="黑体" w:cs="黑体"/>
          <w:szCs w:val="21"/>
        </w:rPr>
        <w:t>、净值型资管产品</w:t>
      </w:r>
    </w:p>
    <w:p w14:paraId="45F7B072">
      <w:pPr>
        <w:ind w:firstLine="420"/>
        <w:rPr>
          <w:rFonts w:hint="eastAsia" w:ascii="黑体" w:hAnsi="黑体" w:cs="黑体"/>
          <w:szCs w:val="21"/>
        </w:rPr>
      </w:pPr>
      <w:r>
        <w:rPr>
          <w:rFonts w:hint="eastAsia" w:ascii="黑体" w:hAnsi="黑体" w:cs="黑体"/>
          <w:szCs w:val="21"/>
        </w:rPr>
        <w:t>净值型资管产品包括基金资管计划、信托计划等。理财产品投资的资产管理产品，按资产管理人提供的资管产品份额净值估值，净值频率以管理人发布为准。</w:t>
      </w:r>
    </w:p>
    <w:p w14:paraId="76F64EAA">
      <w:pPr>
        <w:ind w:firstLine="420"/>
        <w:rPr>
          <w:rFonts w:hint="eastAsia" w:ascii="黑体" w:hAnsi="黑体" w:cs="黑体"/>
          <w:szCs w:val="21"/>
        </w:rPr>
      </w:pPr>
      <w:r>
        <w:rPr>
          <w:rFonts w:ascii="黑体" w:hAnsi="黑体" w:cs="黑体"/>
          <w:szCs w:val="21"/>
        </w:rPr>
        <w:t>7</w:t>
      </w:r>
      <w:r>
        <w:rPr>
          <w:rFonts w:hint="eastAsia" w:ascii="黑体" w:hAnsi="黑体" w:cs="黑体"/>
          <w:szCs w:val="21"/>
        </w:rPr>
        <w:t>、衍生品</w:t>
      </w:r>
    </w:p>
    <w:p w14:paraId="46C84606">
      <w:pPr>
        <w:ind w:firstLine="420"/>
        <w:rPr>
          <w:rFonts w:hint="eastAsia" w:ascii="黑体" w:hAnsi="黑体" w:cs="黑体"/>
          <w:szCs w:val="21"/>
        </w:rPr>
      </w:pPr>
      <w:r>
        <w:rPr>
          <w:rFonts w:hint="eastAsia" w:ascii="黑体" w:hAnsi="黑体" w:cs="黑体"/>
          <w:szCs w:val="21"/>
        </w:rPr>
        <w:t>对证券交易所或银行间市场上交易的衍生品，若存在活跃市场的情况下，以活跃市场上未经调整的报价作为计量日的公允价值；若活跃市场报价未能代表计量日公允价值的情况下，对市场报价进行调整以确认计量日的公允价值；对于不存在市场活动或市场活动很少的情况下，当采用第三方估值或估值技术确定其公允价值。</w:t>
      </w:r>
    </w:p>
    <w:p w14:paraId="44AD14E8">
      <w:pPr>
        <w:ind w:firstLine="420"/>
        <w:rPr>
          <w:rFonts w:hint="eastAsia" w:ascii="黑体" w:hAnsi="黑体" w:cs="黑体"/>
          <w:szCs w:val="21"/>
        </w:rPr>
      </w:pPr>
      <w:r>
        <w:rPr>
          <w:rFonts w:hint="eastAsia" w:ascii="黑体" w:hAnsi="黑体" w:cs="黑体"/>
          <w:szCs w:val="21"/>
        </w:rPr>
        <w:t>对非上市交易的衍生品，且第三方估值机构（中证或中债）未提供估值价格的，采用估值技术确定其公允价值。</w:t>
      </w:r>
    </w:p>
    <w:p w14:paraId="55601591">
      <w:pPr>
        <w:ind w:firstLine="420"/>
        <w:rPr>
          <w:rFonts w:hint="eastAsia" w:ascii="黑体" w:hAnsi="黑体" w:cs="黑体"/>
          <w:szCs w:val="21"/>
        </w:rPr>
      </w:pPr>
      <w:r>
        <w:rPr>
          <w:rFonts w:ascii="黑体" w:hAnsi="黑体" w:cs="黑体"/>
          <w:szCs w:val="21"/>
        </w:rPr>
        <w:t>8</w:t>
      </w:r>
      <w:r>
        <w:rPr>
          <w:rFonts w:hint="eastAsia" w:ascii="黑体" w:hAnsi="黑体" w:cs="黑体"/>
          <w:szCs w:val="21"/>
        </w:rPr>
        <w:t>、非标准化债权资产</w:t>
      </w:r>
    </w:p>
    <w:p w14:paraId="02ACE281">
      <w:pPr>
        <w:ind w:firstLine="420"/>
        <w:rPr>
          <w:rFonts w:hint="eastAsia" w:ascii="黑体" w:hAnsi="黑体" w:cs="黑体"/>
          <w:szCs w:val="21"/>
        </w:rPr>
      </w:pPr>
      <w:r>
        <w:rPr>
          <w:rFonts w:hint="eastAsia" w:ascii="黑体" w:hAnsi="黑体" w:cs="黑体"/>
          <w:szCs w:val="21"/>
        </w:rPr>
        <w:t>符合《关于规范金融机构资产管理业务的指导意见》中规定</w:t>
      </w:r>
      <w:r>
        <w:rPr>
          <w:rFonts w:ascii="黑体" w:hAnsi="黑体" w:cs="黑体"/>
          <w:szCs w:val="21"/>
        </w:rPr>
        <w:t>的可以使用摊余成本法</w:t>
      </w:r>
      <w:r>
        <w:rPr>
          <w:rFonts w:hint="eastAsia" w:ascii="黑体" w:hAnsi="黑体" w:cs="黑体"/>
          <w:szCs w:val="21"/>
        </w:rPr>
        <w:t>计量的非标准化债权资产，可使用摊余成本法计量，</w:t>
      </w:r>
      <w:r>
        <w:rPr>
          <w:rFonts w:ascii="黑体" w:hAnsi="黑体" w:cs="黑体"/>
          <w:szCs w:val="21"/>
        </w:rPr>
        <w:t>其余采用公允价值法</w:t>
      </w:r>
      <w:r>
        <w:rPr>
          <w:rFonts w:hint="eastAsia" w:ascii="黑体" w:hAnsi="黑体" w:cs="黑体"/>
          <w:szCs w:val="21"/>
        </w:rPr>
        <w:t>计量</w:t>
      </w:r>
      <w:r>
        <w:rPr>
          <w:rFonts w:ascii="黑体" w:hAnsi="黑体" w:cs="黑体"/>
          <w:szCs w:val="21"/>
        </w:rPr>
        <w:t>。</w:t>
      </w:r>
    </w:p>
    <w:p w14:paraId="784F7FBB">
      <w:pPr>
        <w:ind w:firstLine="420"/>
        <w:rPr>
          <w:rFonts w:hint="eastAsia" w:ascii="黑体" w:hAnsi="黑体" w:cs="黑体"/>
          <w:szCs w:val="21"/>
        </w:rPr>
      </w:pPr>
      <w:r>
        <w:rPr>
          <w:rFonts w:ascii="黑体" w:hAnsi="黑体" w:cs="黑体"/>
          <w:szCs w:val="21"/>
        </w:rPr>
        <w:t>9</w:t>
      </w:r>
      <w:r>
        <w:rPr>
          <w:rFonts w:hint="eastAsia" w:ascii="黑体" w:hAnsi="黑体" w:cs="黑体"/>
          <w:szCs w:val="21"/>
        </w:rPr>
        <w:t>、其他</w:t>
      </w:r>
    </w:p>
    <w:p w14:paraId="7729A7FE">
      <w:pPr>
        <w:ind w:firstLine="420"/>
        <w:rPr>
          <w:rFonts w:hint="eastAsia" w:ascii="黑体" w:hAnsi="黑体" w:cs="黑体"/>
          <w:szCs w:val="21"/>
        </w:rPr>
      </w:pPr>
      <w:r>
        <w:rPr>
          <w:rFonts w:hint="eastAsia" w:ascii="黑体" w:hAnsi="黑体" w:cs="黑体"/>
          <w:szCs w:val="21"/>
        </w:rPr>
        <w:t>各类资产具体估值方法的确认，可参考《企业会计准则》以及</w:t>
      </w:r>
      <w:r>
        <w:rPr>
          <w:rFonts w:ascii="黑体" w:hAnsi="黑体" w:cs="黑体"/>
          <w:szCs w:val="21"/>
        </w:rPr>
        <w:t>相关监管政策</w:t>
      </w:r>
      <w:r>
        <w:rPr>
          <w:rFonts w:hint="eastAsia" w:ascii="黑体" w:hAnsi="黑体" w:cs="黑体"/>
          <w:szCs w:val="21"/>
        </w:rPr>
        <w:t>的规定。</w:t>
      </w:r>
    </w:p>
    <w:p w14:paraId="4717CE86">
      <w:pPr>
        <w:ind w:firstLine="420"/>
        <w:rPr>
          <w:rFonts w:hint="eastAsia" w:ascii="黑体" w:hAnsi="黑体" w:cs="黑体"/>
          <w:szCs w:val="21"/>
        </w:rPr>
      </w:pPr>
      <w:r>
        <w:rPr>
          <w:rFonts w:ascii="黑体" w:hAnsi="黑体" w:cs="黑体"/>
          <w:szCs w:val="21"/>
        </w:rPr>
        <w:t>10</w:t>
      </w:r>
      <w:r>
        <w:rPr>
          <w:rFonts w:hint="eastAsia" w:ascii="黑体" w:hAnsi="黑体" w:cs="黑体"/>
          <w:szCs w:val="21"/>
        </w:rPr>
        <w:t>、若产品管理人或产品托管人认为按以上规定方法不能真实反映理财产品资产公允价值的，经产品管理人和产品托管人协商一致后，可以变更资产价值的确定方式。国家或相关监管机构有最新规定的，按其规定进行估值。</w:t>
      </w:r>
    </w:p>
    <w:p w14:paraId="6C54BD69">
      <w:pPr>
        <w:ind w:firstLine="420"/>
        <w:jc w:val="left"/>
        <w:rPr>
          <w:rFonts w:hint="eastAsia" w:ascii="黑体" w:hAnsi="黑体" w:cs="黑体"/>
          <w:szCs w:val="21"/>
        </w:rPr>
      </w:pPr>
      <w:r>
        <w:rPr>
          <w:rFonts w:hint="eastAsia" w:ascii="黑体" w:hAnsi="黑体" w:cs="黑体"/>
          <w:szCs w:val="21"/>
        </w:rPr>
        <w:t>1</w:t>
      </w:r>
      <w:r>
        <w:rPr>
          <w:rFonts w:ascii="黑体" w:hAnsi="黑体" w:cs="黑体"/>
          <w:szCs w:val="21"/>
        </w:rPr>
        <w:t>1</w:t>
      </w:r>
      <w:r>
        <w:rPr>
          <w:rFonts w:hint="eastAsia" w:ascii="黑体" w:hAnsi="黑体" w:cs="黑体"/>
          <w:szCs w:val="21"/>
        </w:rPr>
        <w:t>、在任何情况下，产品管理人与托管人所共同认可的估值方式均视为客观、公允的估值方法。该产品估值均以产品公布的估值结果为准。</w:t>
      </w:r>
    </w:p>
    <w:p w14:paraId="541497EA">
      <w:pPr>
        <w:ind w:firstLine="420"/>
        <w:jc w:val="left"/>
        <w:rPr>
          <w:rFonts w:hint="eastAsia" w:ascii="黑体" w:hAnsi="黑体" w:cs="ËÎÌå"/>
          <w:szCs w:val="21"/>
        </w:rPr>
      </w:pPr>
      <w:r>
        <w:rPr>
          <w:rFonts w:ascii="黑体" w:hAnsi="黑体" w:cs="ËÎÌå"/>
          <w:szCs w:val="21"/>
        </w:rPr>
        <w:t>12、以上估值方法所涉及的资产类型仅为条款完备性而列举，不代表本产品实际投向该类型资产。本产品的投资范围以说明书“三、产品投资管理 (一) 投资范围”载明为准。</w:t>
      </w:r>
    </w:p>
    <w:p w14:paraId="665F45A2">
      <w:pPr>
        <w:jc w:val="left"/>
        <w:rPr>
          <w:rFonts w:hint="eastAsia" w:ascii="黑体" w:hAnsi="黑体" w:cs="ËÎÌå"/>
          <w:szCs w:val="21"/>
        </w:rPr>
      </w:pPr>
      <w:r>
        <w:rPr>
          <w:rFonts w:hint="eastAsia" w:ascii="黑体" w:hAnsi="黑体" w:cs="ËÎÌå"/>
          <w:szCs w:val="21"/>
        </w:rPr>
        <w:t>（五）估值错误的处理</w:t>
      </w:r>
    </w:p>
    <w:p w14:paraId="017345D0">
      <w:pPr>
        <w:ind w:firstLine="420"/>
        <w:jc w:val="left"/>
        <w:rPr>
          <w:rFonts w:hint="eastAsia" w:ascii="黑体" w:hAnsi="黑体" w:cs="黑体"/>
          <w:szCs w:val="21"/>
        </w:rPr>
      </w:pPr>
      <w:r>
        <w:rPr>
          <w:rFonts w:hint="eastAsia" w:ascii="黑体" w:hAnsi="黑体" w:cs="黑体"/>
          <w:szCs w:val="21"/>
        </w:rPr>
        <w:t>产品</w:t>
      </w:r>
      <w:r>
        <w:rPr>
          <w:rFonts w:ascii="黑体" w:hAnsi="黑体" w:cs="黑体"/>
          <w:szCs w:val="21"/>
        </w:rPr>
        <w:t>管理人</w:t>
      </w:r>
      <w:r>
        <w:rPr>
          <w:rFonts w:hint="eastAsia" w:ascii="黑体" w:hAnsi="黑体" w:cs="黑体"/>
          <w:szCs w:val="21"/>
        </w:rPr>
        <w:t>和托管机构将采取必要、适当合理的措施确保产品资产估值的准确性、及时性。当产品单位净值出现错误时，产品</w:t>
      </w:r>
      <w:r>
        <w:rPr>
          <w:rFonts w:ascii="黑体" w:hAnsi="黑体" w:cs="黑体"/>
          <w:szCs w:val="21"/>
        </w:rPr>
        <w:t>管理人</w:t>
      </w:r>
      <w:r>
        <w:rPr>
          <w:rFonts w:hint="eastAsia" w:ascii="黑体" w:hAnsi="黑体" w:cs="黑体"/>
          <w:szCs w:val="21"/>
        </w:rPr>
        <w:t>应当立即予以纠正，并采取合理的措施防止损失进一步扩大。由于本产品估值所用的价格来源出现错误，或由于其它不可抗力原因，产品</w:t>
      </w:r>
      <w:r>
        <w:rPr>
          <w:rFonts w:ascii="黑体" w:hAnsi="黑体" w:cs="黑体"/>
          <w:szCs w:val="21"/>
        </w:rPr>
        <w:t>管理人</w:t>
      </w:r>
      <w:r>
        <w:rPr>
          <w:rFonts w:hint="eastAsia" w:ascii="黑体" w:hAnsi="黑体" w:cs="黑体"/>
          <w:szCs w:val="21"/>
        </w:rPr>
        <w:t>和托管机构虽然已经采取必要、适当、合理的措施进行检查，但是未能发现该错误的，</w:t>
      </w:r>
      <w:r>
        <w:rPr>
          <w:rFonts w:hint="eastAsia" w:ascii="黑体" w:hAnsi="黑体" w:cs="黑体"/>
          <w:b/>
          <w:szCs w:val="21"/>
        </w:rPr>
        <w:t>由此造成的产品资产估值错误，产品</w:t>
      </w:r>
      <w:r>
        <w:rPr>
          <w:rFonts w:ascii="黑体" w:hAnsi="黑体" w:cs="黑体"/>
          <w:b/>
          <w:szCs w:val="21"/>
        </w:rPr>
        <w:t>管理人</w:t>
      </w:r>
      <w:r>
        <w:rPr>
          <w:rFonts w:hint="eastAsia" w:ascii="黑体" w:hAnsi="黑体" w:cs="黑体"/>
          <w:b/>
          <w:szCs w:val="21"/>
        </w:rPr>
        <w:t>和托管机构不承担责任。</w:t>
      </w:r>
      <w:r>
        <w:rPr>
          <w:rFonts w:hint="eastAsia" w:ascii="黑体" w:hAnsi="黑体" w:cs="黑体"/>
          <w:szCs w:val="21"/>
        </w:rPr>
        <w:t>但产品</w:t>
      </w:r>
      <w:r>
        <w:rPr>
          <w:rFonts w:ascii="黑体" w:hAnsi="黑体" w:cs="黑体"/>
          <w:szCs w:val="21"/>
        </w:rPr>
        <w:t>管理人</w:t>
      </w:r>
      <w:r>
        <w:rPr>
          <w:rFonts w:hint="eastAsia" w:ascii="黑体" w:hAnsi="黑体" w:cs="黑体"/>
          <w:szCs w:val="21"/>
        </w:rPr>
        <w:t>和托管机构应当积极采取必要的措施消除或减轻由此造成的影响。</w:t>
      </w:r>
    </w:p>
    <w:p w14:paraId="27544992">
      <w:pPr>
        <w:jc w:val="left"/>
        <w:rPr>
          <w:rFonts w:hint="eastAsia" w:ascii="黑体" w:hAnsi="黑体" w:cs="ËÎÌå"/>
          <w:szCs w:val="21"/>
        </w:rPr>
      </w:pPr>
      <w:r>
        <w:rPr>
          <w:rFonts w:hint="eastAsia" w:ascii="黑体" w:hAnsi="黑体" w:cs="ËÎÌå"/>
          <w:szCs w:val="21"/>
        </w:rPr>
        <w:t>（六）暂停估值</w:t>
      </w:r>
    </w:p>
    <w:p w14:paraId="335D0A7B">
      <w:pPr>
        <w:ind w:firstLine="420"/>
        <w:jc w:val="left"/>
        <w:rPr>
          <w:rFonts w:hint="eastAsia" w:ascii="黑体" w:hAnsi="黑体" w:cs="黑体"/>
          <w:b/>
          <w:szCs w:val="21"/>
        </w:rPr>
      </w:pPr>
      <w:r>
        <w:rPr>
          <w:rFonts w:hint="eastAsia" w:ascii="黑体" w:hAnsi="黑体" w:cs="黑体"/>
          <w:szCs w:val="21"/>
        </w:rPr>
        <w:t>当本产品资产的估值因不可抗力或其它情形致使产品</w:t>
      </w:r>
      <w:r>
        <w:rPr>
          <w:rFonts w:ascii="黑体" w:hAnsi="黑体" w:cs="黑体"/>
          <w:szCs w:val="21"/>
        </w:rPr>
        <w:t>管理人</w:t>
      </w:r>
      <w:r>
        <w:rPr>
          <w:rFonts w:hint="eastAsia" w:ascii="黑体" w:hAnsi="黑体" w:cs="黑体"/>
          <w:szCs w:val="21"/>
        </w:rPr>
        <w:t>、托管机构无法准确评估产品资产价值或存在国家金融监督管理总局认定的导致无法准确估值的其它情形时，产品</w:t>
      </w:r>
      <w:r>
        <w:rPr>
          <w:rFonts w:ascii="黑体" w:hAnsi="黑体" w:cs="黑体"/>
          <w:szCs w:val="21"/>
        </w:rPr>
        <w:t>管理人</w:t>
      </w:r>
      <w:r>
        <w:rPr>
          <w:rFonts w:hint="eastAsia" w:ascii="黑体" w:hAnsi="黑体" w:cs="黑体"/>
          <w:szCs w:val="21"/>
        </w:rPr>
        <w:t>可暂停产品的估值直至另行通知，</w:t>
      </w:r>
      <w:r>
        <w:rPr>
          <w:rFonts w:hint="eastAsia" w:ascii="黑体" w:hAnsi="黑体" w:cs="黑体"/>
          <w:b/>
          <w:szCs w:val="21"/>
        </w:rPr>
        <w:t>由此造成的损失，产品</w:t>
      </w:r>
      <w:r>
        <w:rPr>
          <w:rFonts w:ascii="黑体" w:hAnsi="黑体" w:cs="黑体"/>
          <w:b/>
          <w:szCs w:val="21"/>
        </w:rPr>
        <w:t>管理人</w:t>
      </w:r>
      <w:r>
        <w:rPr>
          <w:rFonts w:hint="eastAsia" w:ascii="黑体" w:hAnsi="黑体" w:cs="黑体"/>
          <w:b/>
          <w:szCs w:val="21"/>
        </w:rPr>
        <w:t>和托管机构不承担责任。</w:t>
      </w:r>
    </w:p>
    <w:p w14:paraId="677CB637">
      <w:pPr>
        <w:ind w:firstLine="420"/>
        <w:jc w:val="left"/>
        <w:rPr>
          <w:rFonts w:hint="eastAsia" w:ascii="黑体" w:hAnsi="黑体"/>
        </w:rPr>
      </w:pPr>
    </w:p>
    <w:p w14:paraId="0F589ACA">
      <w:pPr>
        <w:jc w:val="left"/>
        <w:rPr>
          <w:rFonts w:hint="eastAsia" w:ascii="黑体" w:hAnsi="黑体" w:cs="黑体"/>
          <w:b/>
          <w:szCs w:val="21"/>
        </w:rPr>
      </w:pPr>
      <w:r>
        <w:rPr>
          <w:rFonts w:hint="eastAsia" w:ascii="黑体" w:hAnsi="黑体" w:cs="黑体"/>
          <w:b/>
          <w:szCs w:val="21"/>
        </w:rPr>
        <w:t>六、产品费用、收益及税收说明</w:t>
      </w:r>
    </w:p>
    <w:p w14:paraId="5930CE55">
      <w:pPr>
        <w:jc w:val="left"/>
        <w:rPr>
          <w:rFonts w:hint="eastAsia" w:ascii="黑体" w:hAnsi="黑体" w:cs="宋体"/>
          <w:szCs w:val="21"/>
        </w:rPr>
      </w:pPr>
      <w:r>
        <w:rPr>
          <w:rFonts w:hint="eastAsia" w:ascii="黑体" w:hAnsi="黑体" w:cs="宋体"/>
          <w:szCs w:val="21"/>
        </w:rPr>
        <w:t>（一）产品费用计提方法、计提标准和支付方式</w:t>
      </w:r>
    </w:p>
    <w:p w14:paraId="3D0E6C1B">
      <w:pPr>
        <w:pStyle w:val="188"/>
        <w:ind w:firstLine="420"/>
        <w:rPr>
          <w:rFonts w:hint="eastAsia"/>
        </w:rPr>
      </w:pPr>
      <w:r>
        <w:t>本产品收取的费用包括</w:t>
      </w:r>
      <w:r>
        <w:rPr>
          <w:rFonts w:hint="eastAsia"/>
          <w:sz w:val="20"/>
        </w:rPr>
        <w:t>固定管理费、托管费、浮动管理费、销售服务费、信息技术服务费</w:t>
      </w:r>
      <w:r>
        <w:t>等，具体计提方法、计提标准和支付方式如下：</w:t>
      </w:r>
    </w:p>
    <w:p w14:paraId="32D63EDE">
      <w:pPr>
        <w:pStyle w:val="188"/>
        <w:ind w:firstLine="420"/>
        <w:rPr>
          <w:rFonts w:hint="eastAsia"/>
        </w:rPr>
      </w:pPr>
      <w:r>
        <w:t>1、销售服务费：本产品销售服务费按照产品成立日的各类产品份额对应的销售服务费率（0.4%（适用于A份额）/0.4%（适用于B份额）/0.4%（适用于C份额）/0.4%（适用于D份额））计算，于成立日一次性</w:t>
      </w:r>
      <w:r>
        <w:rPr>
          <w:rFonts w:hint="eastAsia"/>
          <w:lang w:eastAsia="zh"/>
        </w:rPr>
        <w:t>计提</w:t>
      </w:r>
      <w:r>
        <w:t>，在产品存续期内每日平均摊销，摊销计算如有尾差，以管理人实际调整为准。销售服务费由产品资产承担。计算方法如下：</w:t>
      </w:r>
      <w:r>
        <w:br w:type="textWrapping"/>
      </w:r>
      <w:r>
        <w:t xml:space="preserve">    F=E×G÷365×H</w:t>
      </w:r>
      <w:r>
        <w:br w:type="textWrapping"/>
      </w:r>
      <w:r>
        <w:t xml:space="preserve">    F为该产品份额成立日当天应一次性</w:t>
      </w:r>
      <w:r>
        <w:rPr>
          <w:rFonts w:hint="eastAsia"/>
          <w:lang w:eastAsia="zh"/>
        </w:rPr>
        <w:t>计提</w:t>
      </w:r>
      <w:bookmarkStart w:id="5" w:name="_GoBack"/>
      <w:bookmarkEnd w:id="5"/>
      <w:r>
        <w:t>的销售服务费</w:t>
      </w:r>
      <w:r>
        <w:br w:type="textWrapping"/>
      </w:r>
      <w:r>
        <w:t xml:space="preserve">    E为产品成立日该产品份额的募集份额</w:t>
      </w:r>
      <w:r>
        <w:br w:type="textWrapping"/>
      </w:r>
      <w:r>
        <w:t xml:space="preserve">    G为该产品份额对应的销售服务费率（年化）</w:t>
      </w:r>
      <w:r>
        <w:br w:type="textWrapping"/>
      </w:r>
      <w:r>
        <w:t xml:space="preserve">    H为产品期限天数</w:t>
      </w:r>
      <w:r>
        <w:br w:type="textWrapping"/>
      </w:r>
      <w:r>
        <w:t>注：如遇产品因特殊情形导致份额发生变动等情况，则产品管理人将本着保护投资者权益的原则与销售机构进行协商处理。</w:t>
      </w:r>
    </w:p>
    <w:p w14:paraId="771C0BAD">
      <w:pPr>
        <w:pStyle w:val="188"/>
        <w:ind w:firstLine="420"/>
        <w:rPr>
          <w:rFonts w:hint="eastAsia"/>
        </w:rPr>
      </w:pPr>
      <w:r>
        <w:t>2、固定管理费：本产品固定管理费按理财产品各份额上一自然日的总净值的0.38%（适用于A份额）/0.15%（适用于B份额）/0.5%（适用于C份额）/0.4%（适用于D份额）年费率计提。计算方法如下：</w:t>
      </w:r>
      <w:r>
        <w:br w:type="textWrapping"/>
      </w:r>
      <w:r>
        <w:t xml:space="preserve">    H=E×固定管理费率（年化）÷365</w:t>
      </w:r>
      <w:r>
        <w:br w:type="textWrapping"/>
      </w:r>
      <w:r>
        <w:t xml:space="preserve">    H 为产品各份额每一自然日应计提的固定管理费</w:t>
      </w:r>
      <w:r>
        <w:br w:type="textWrapping"/>
      </w:r>
      <w:r>
        <w:t xml:space="preserve">    E 为理财产品该份额上一自然日的总净值（E在产品成立日为产品该份额的总份额）</w:t>
      </w:r>
      <w:r>
        <w:br w:type="textWrapping"/>
      </w:r>
      <w:r>
        <w:t xml:space="preserve">    固定管理费每日计提，产品到期（产品终止）后支付，或由管理人向托管人发送指令，托管人复核后从产品资产中支付</w:t>
      </w:r>
      <w:r>
        <w:rPr>
          <w:rFonts w:hint="eastAsia" w:cs="黑体"/>
        </w:rPr>
        <w:t>。</w:t>
      </w:r>
    </w:p>
    <w:p w14:paraId="5DBB2DC2">
      <w:pPr>
        <w:pStyle w:val="188"/>
        <w:ind w:firstLine="420"/>
        <w:rPr>
          <w:rFonts w:hint="eastAsia"/>
        </w:rPr>
      </w:pPr>
      <w:r>
        <w:rPr>
          <w:rFonts w:cs="黑体"/>
        </w:rPr>
        <w:t>3、</w:t>
      </w:r>
      <w:r>
        <w:t>浮动管理费：理财产品到期日（提前终止日）扣除浮动管理费前，本产品各份额年化收益率</w:t>
      </w:r>
      <w:r>
        <w:br w:type="textWrapping"/>
      </w:r>
      <w:r>
        <w:t xml:space="preserve">    （适用于A份额）若低于2.37%（含），投资管理人不收取浮动管理费；年化收益率超过2.37%以上的部分，45%归投资者所有，其余55%作为产品管理人的浮动管理费；</w:t>
      </w:r>
      <w:r>
        <w:br w:type="textWrapping"/>
      </w:r>
      <w:r>
        <w:t xml:space="preserve">    （适用于B份额）若低于2.6%（含），投资管理人不收取浮动管理费；年化收益率超过2.6%以上的部分，45%归投资者所有，其余55%作为产品管理人的浮动管理费；</w:t>
      </w:r>
      <w:r>
        <w:br w:type="textWrapping"/>
      </w:r>
      <w:r>
        <w:t xml:space="preserve">    （适用于C份额）若低于2.25%（含），投资管理人不收取浮动管理费；年化收益率超过2.25%以上的部分，45%归投资者所有，其余55%作为产品管理人的浮动管理费；</w:t>
      </w:r>
      <w:r>
        <w:br w:type="textWrapping"/>
      </w:r>
      <w:r>
        <w:t xml:space="preserve">    （适用于D份额）若低于2.35%（含），投资管理人不收取浮动管理费；年化收益率超过2.35%以上的部分，45%归投资者所有，其余55%作为产品管理人的浮动管理费；</w:t>
      </w:r>
      <w:r>
        <w:br w:type="textWrapping"/>
      </w:r>
      <w:r>
        <w:t xml:space="preserve">    产品存续期内每个估值日，如果产品成立日至估值日的扣除浮动管理费前的区间年化收益率大于本区间浮动管理费计提基准，则据此计算本区间浮动管理费，本产品浮动管理费在披露的产品单位净值中扣除，披露的单位净值即可反映投资者持有本产品的真实损益情况。计算区间浮动管理费的公式如下：</w:t>
      </w:r>
      <w:r>
        <w:br w:type="textWrapping"/>
      </w:r>
      <w:r>
        <w:t xml:space="preserve">    K=L*（M-N）*P/365*R</w:t>
      </w:r>
      <w:r>
        <w:br w:type="textWrapping"/>
      </w:r>
      <w:r>
        <w:t xml:space="preserve">    K为产品成立日至估值日的区间浮动管理费</w:t>
      </w:r>
      <w:r>
        <w:br w:type="textWrapping"/>
      </w:r>
      <w:r>
        <w:t xml:space="preserve">    L为估值日产品总份额</w:t>
      </w:r>
      <w:r>
        <w:br w:type="textWrapping"/>
      </w:r>
      <w:r>
        <w:t xml:space="preserve">    M为产品成立日至估值日的扣除浮动管理费前的区间年化收益率，根据产品成立日前一自然日产品单位净值和估值日的扣除浮动管理费前的单位净值计算得出。如果本区间内有分红，应将分红金额加回再计算产品的区间年化收益</w:t>
      </w:r>
      <w:r>
        <w:br w:type="textWrapping"/>
      </w:r>
      <w:r>
        <w:t xml:space="preserve">    N为浮动管理费计提基准</w:t>
      </w:r>
      <w:r>
        <w:br w:type="textWrapping"/>
      </w:r>
      <w:r>
        <w:t xml:space="preserve">    P为产品成立日（含）至估值日（含）的区间天数</w:t>
      </w:r>
      <w:r>
        <w:br w:type="textWrapping"/>
      </w:r>
      <w:r>
        <w:t xml:space="preserve">    R为本公司收取浮动管理费的比例</w:t>
      </w:r>
      <w:r>
        <w:br w:type="textWrapping"/>
      </w:r>
      <w:r>
        <w:t xml:space="preserve">    浮动管理费在每个估值日进行暂估，在计提周期结束时进行计提，已实现的浮动管理费产品到期（产品终止）后支付，或由管理人向托管人发送指令，托管人复核后从产品资产中支付</w:t>
      </w:r>
      <w:r>
        <w:rPr>
          <w:rFonts w:hint="eastAsia" w:cs="黑体"/>
        </w:rPr>
        <w:t>。</w:t>
      </w:r>
    </w:p>
    <w:p w14:paraId="6CA9958A">
      <w:pPr>
        <w:pStyle w:val="188"/>
        <w:ind w:firstLine="420"/>
        <w:rPr>
          <w:rFonts w:hint="eastAsia"/>
        </w:rPr>
      </w:pPr>
      <w:r>
        <w:t>4、托管费：本产品托管费按理财产品上一自然日的总净值的0.01%年费率计提。计算方法如下：</w:t>
      </w:r>
      <w:r>
        <w:br w:type="textWrapping"/>
      </w:r>
      <w:r>
        <w:t xml:space="preserve">    T=E×托管费率（年化）÷365</w:t>
      </w:r>
      <w:r>
        <w:br w:type="textWrapping"/>
      </w:r>
      <w:r>
        <w:t xml:space="preserve">    T 为产品每一自然日应计提的托管费</w:t>
      </w:r>
      <w:r>
        <w:br w:type="textWrapping"/>
      </w:r>
      <w:r>
        <w:t xml:space="preserve">    E 为理财产品上一自然日的总净值（E在产品成立日为产品的总份额）</w:t>
      </w:r>
      <w:r>
        <w:br w:type="textWrapping"/>
      </w:r>
      <w:r>
        <w:t xml:space="preserve">    托管费每日计提，产品到期（产品终止）后支付，或由管理人向托管人发送指令，托管人复核后从产品资产中支付</w:t>
      </w:r>
      <w:r>
        <w:rPr>
          <w:rFonts w:hint="eastAsia" w:cs="黑体"/>
        </w:rPr>
        <w:t>。</w:t>
      </w:r>
    </w:p>
    <w:p w14:paraId="2604C504">
      <w:pPr>
        <w:pStyle w:val="188"/>
        <w:ind w:firstLine="420"/>
        <w:rPr>
          <w:rFonts w:hint="eastAsia"/>
        </w:rPr>
      </w:pPr>
      <w:r>
        <w:t>5、手续费：</w:t>
      </w:r>
      <w:r>
        <w:br w:type="textWrapping"/>
      </w:r>
      <w:r>
        <w:t xml:space="preserve">    无。</w:t>
      </w:r>
    </w:p>
    <w:p w14:paraId="2AEFFE53">
      <w:pPr>
        <w:pStyle w:val="188"/>
        <w:ind w:firstLine="420"/>
        <w:rPr>
          <w:rFonts w:hint="eastAsia"/>
        </w:rPr>
      </w:pPr>
      <w:bookmarkStart w:id="2" w:name="_Hlk33107492"/>
      <w:r>
        <w:t>6、其他费用：</w:t>
      </w:r>
    </w:p>
    <w:p w14:paraId="15B262A6">
      <w:pPr>
        <w:jc w:val="left"/>
        <w:rPr>
          <w:rFonts w:hint="eastAsia" w:ascii="黑体" w:hAnsi="黑体" w:cs="黑体"/>
          <w:b/>
          <w:szCs w:val="21"/>
        </w:rPr>
      </w:pPr>
      <w:r>
        <w:rPr>
          <w:rFonts w:hint="eastAsia" w:ascii="黑体" w:hAnsi="黑体" w:cs="黑体"/>
          <w:b/>
          <w:szCs w:val="21"/>
        </w:rPr>
        <w:t xml:space="preserve">    无</w:t>
      </w:r>
    </w:p>
    <w:p w14:paraId="3B84CCB2">
      <w:pPr>
        <w:ind w:firstLine="420"/>
        <w:jc w:val="left"/>
        <w:rPr>
          <w:rFonts w:hint="eastAsia" w:ascii="黑体" w:hAnsi="黑体" w:cs="黑体"/>
          <w:b/>
          <w:szCs w:val="21"/>
        </w:rPr>
      </w:pPr>
      <w:r>
        <w:rPr>
          <w:rFonts w:ascii="黑体" w:hAnsi="黑体" w:cs="黑体"/>
          <w:b/>
          <w:szCs w:val="21"/>
        </w:rPr>
        <w:t>7</w:t>
      </w:r>
      <w:r>
        <w:rPr>
          <w:rFonts w:hint="eastAsia" w:ascii="黑体" w:hAnsi="黑体" w:cs="黑体"/>
          <w:b/>
          <w:szCs w:val="21"/>
        </w:rPr>
        <w:t>、</w:t>
      </w:r>
      <w:r>
        <w:rPr>
          <w:rFonts w:hint="eastAsia" w:ascii="黑体" w:hAnsi="黑体" w:cs="黑体"/>
          <w:b/>
          <w:szCs w:val="21"/>
          <w:lang w:bidi="ar"/>
        </w:rPr>
        <w:t>产品运作和清算中产生的其他费用，包括但不限于资金汇划费、结算费、交易手续费、注册登记费、信息披露费、账户服务费、审计费、项目推荐费、</w:t>
      </w:r>
      <w:r>
        <w:rPr>
          <w:rFonts w:ascii="黑体" w:hAnsi="黑体" w:cs="黑体"/>
          <w:b/>
          <w:szCs w:val="21"/>
          <w:lang w:bidi="ar"/>
        </w:rPr>
        <w:t>印花税、</w:t>
      </w:r>
      <w:r>
        <w:rPr>
          <w:rFonts w:hint="eastAsia" w:ascii="黑体" w:hAnsi="黑体" w:cs="黑体"/>
          <w:b/>
          <w:szCs w:val="21"/>
          <w:lang w:bidi="ar"/>
        </w:rPr>
        <w:t>相关机构为本理财产品投资交易提供保管、咨询、顾问、管理等服务所收取的费用、代表投资者利益行使诉讼权利或实施其他法律行为所产生的费用（包括但不限于资产处置费、诉讼费、仲裁费、保全费、律师费、鉴定费、公证费、评估费）等，按照实际发生情况从产品中列支</w:t>
      </w:r>
      <w:r>
        <w:rPr>
          <w:rFonts w:hint="eastAsia" w:ascii="黑体" w:hAnsi="黑体" w:cs="黑体"/>
          <w:b/>
          <w:szCs w:val="21"/>
        </w:rPr>
        <w:t>。</w:t>
      </w:r>
    </w:p>
    <w:p w14:paraId="28739BC4">
      <w:pPr>
        <w:ind w:firstLine="422"/>
        <w:jc w:val="left"/>
        <w:rPr>
          <w:rFonts w:hint="eastAsia" w:ascii="黑体" w:hAnsi="黑体" w:cs="黑体"/>
          <w:b/>
          <w:szCs w:val="21"/>
        </w:rPr>
      </w:pPr>
      <w:r>
        <w:rPr>
          <w:rFonts w:hint="eastAsia" w:ascii="黑体" w:hAnsi="黑体" w:cs="黑体"/>
          <w:b/>
          <w:szCs w:val="21"/>
        </w:rPr>
        <w:t>8、针对2026年9月1日（含）后成立的产品，产品将收取信息技术服务费，信息技术服务费将按产品前一</w:t>
      </w:r>
      <w:r>
        <w:rPr>
          <w:rFonts w:ascii="黑体" w:hAnsi="黑体" w:cs="黑体"/>
          <w:b/>
          <w:szCs w:val="21"/>
          <w:lang w:bidi="ar"/>
        </w:rPr>
        <w:t>自然</w:t>
      </w:r>
      <w:r>
        <w:rPr>
          <w:rFonts w:hint="eastAsia" w:ascii="黑体" w:hAnsi="黑体" w:cs="黑体"/>
          <w:b/>
          <w:szCs w:val="21"/>
        </w:rPr>
        <w:t>日资产净值的0.002%年费率计算。计算方法如下：</w:t>
      </w:r>
    </w:p>
    <w:p w14:paraId="762B7276">
      <w:pPr>
        <w:ind w:firstLine="422"/>
        <w:jc w:val="left"/>
        <w:rPr>
          <w:rFonts w:hint="eastAsia" w:ascii="黑体" w:hAnsi="黑体" w:cs="黑体"/>
          <w:b/>
          <w:szCs w:val="21"/>
        </w:rPr>
      </w:pPr>
      <w:r>
        <w:rPr>
          <w:rFonts w:hint="eastAsia" w:ascii="黑体" w:hAnsi="黑体" w:cs="黑体"/>
          <w:b/>
          <w:szCs w:val="21"/>
        </w:rPr>
        <w:t>T=B×信息技术服务费率（年化）÷365</w:t>
      </w:r>
    </w:p>
    <w:p w14:paraId="7BD304E9">
      <w:pPr>
        <w:ind w:firstLine="422"/>
        <w:jc w:val="left"/>
        <w:rPr>
          <w:rFonts w:hint="eastAsia" w:ascii="黑体" w:hAnsi="黑体" w:cs="黑体"/>
          <w:b/>
          <w:szCs w:val="21"/>
        </w:rPr>
      </w:pPr>
      <w:r>
        <w:rPr>
          <w:rFonts w:hint="eastAsia" w:ascii="黑体" w:hAnsi="黑体" w:cs="黑体"/>
          <w:b/>
          <w:szCs w:val="21"/>
        </w:rPr>
        <w:t>T为产品每一自然日应计提的信息技术服务费</w:t>
      </w:r>
    </w:p>
    <w:p w14:paraId="69705C26">
      <w:pPr>
        <w:ind w:firstLine="422"/>
        <w:jc w:val="left"/>
        <w:rPr>
          <w:rFonts w:hint="eastAsia" w:ascii="黑体" w:hAnsi="黑体" w:cs="黑体"/>
          <w:b/>
          <w:szCs w:val="21"/>
        </w:rPr>
      </w:pPr>
      <w:r>
        <w:rPr>
          <w:rFonts w:hint="eastAsia" w:ascii="黑体" w:hAnsi="黑体" w:cs="黑体"/>
          <w:b/>
          <w:szCs w:val="21"/>
        </w:rPr>
        <w:t>B为产品前一</w:t>
      </w:r>
      <w:r>
        <w:rPr>
          <w:rFonts w:ascii="黑体" w:hAnsi="黑体" w:cs="黑体"/>
          <w:b/>
          <w:szCs w:val="21"/>
          <w:lang w:bidi="ar"/>
        </w:rPr>
        <w:t>自然</w:t>
      </w:r>
      <w:r>
        <w:rPr>
          <w:rFonts w:hint="eastAsia" w:ascii="黑体" w:hAnsi="黑体" w:cs="黑体"/>
          <w:b/>
          <w:szCs w:val="21"/>
        </w:rPr>
        <w:t>日资产净值</w:t>
      </w:r>
    </w:p>
    <w:p w14:paraId="5320BFAB">
      <w:pPr>
        <w:ind w:firstLine="422"/>
        <w:jc w:val="left"/>
        <w:rPr>
          <w:rFonts w:hint="eastAsia" w:ascii="黑体" w:hAnsi="黑体" w:cs="黑体"/>
          <w:b/>
          <w:szCs w:val="21"/>
        </w:rPr>
      </w:pPr>
      <w:r>
        <w:rPr>
          <w:rFonts w:hint="eastAsia" w:ascii="黑体" w:hAnsi="黑体" w:cs="黑体"/>
          <w:b/>
          <w:szCs w:val="21"/>
        </w:rPr>
        <w:t>信息技术服务费用按日计提，按季支付，或由管理人向托管人发送指令，托管人复核后从产品资产中支付给银行业理财登记托管中心。</w:t>
      </w:r>
    </w:p>
    <w:p w14:paraId="1FCA005C">
      <w:pPr>
        <w:ind w:firstLine="420"/>
        <w:jc w:val="left"/>
        <w:rPr>
          <w:rFonts w:hint="eastAsia" w:ascii="黑体" w:hAnsi="黑体" w:cs="黑体"/>
          <w:szCs w:val="21"/>
        </w:rPr>
      </w:pPr>
      <w:r>
        <w:rPr>
          <w:rFonts w:hint="eastAsia" w:ascii="黑体" w:hAnsi="黑体" w:cs="黑体"/>
          <w:szCs w:val="21"/>
        </w:rPr>
        <w:t>9、上述费用将按相关合同约定的时间和方式支付给收款方。</w:t>
      </w:r>
      <w:bookmarkEnd w:id="2"/>
    </w:p>
    <w:p w14:paraId="13A3D4DA">
      <w:pPr>
        <w:pStyle w:val="188"/>
        <w:ind w:firstLine="420"/>
        <w:rPr>
          <w:rFonts w:hint="eastAsia"/>
        </w:rPr>
      </w:pPr>
      <w:r>
        <w:rPr>
          <w:rFonts w:hint="eastAsia"/>
        </w:rPr>
        <w:t>10</w:t>
      </w:r>
      <w:r>
        <w:t>、产品管理人有权根据市场情况等调整上述各项收费项目、收费条件、收费标准和收费方式，并至少于调整日之前</w:t>
      </w:r>
      <w:r>
        <w:rPr>
          <w:rFonts w:hint="eastAsia"/>
        </w:rPr>
        <w:t>3</w:t>
      </w:r>
      <w:r>
        <w:t>个工作日进行公告。上述情况下产品管理人将可能开放赎回，具体以信息披露公告为准。投资者不同意公告内容的，可按公告约定全部赎回本产品。若投资者在公告执行后继续持有本产品的，视同接受公告内容。</w:t>
      </w:r>
    </w:p>
    <w:p w14:paraId="759A8DED">
      <w:pPr>
        <w:jc w:val="left"/>
        <w:rPr>
          <w:rFonts w:hint="eastAsia" w:ascii="黑体" w:hAnsi="黑体" w:cs="宋体"/>
          <w:szCs w:val="21"/>
        </w:rPr>
      </w:pPr>
      <w:r>
        <w:rPr>
          <w:rFonts w:hint="eastAsia" w:ascii="黑体" w:hAnsi="黑体" w:cs="宋体"/>
          <w:szCs w:val="21"/>
        </w:rPr>
        <w:t>（二）产品收益计算示例</w:t>
      </w:r>
    </w:p>
    <w:p w14:paraId="3048A3CC">
      <w:pPr>
        <w:ind w:firstLine="420"/>
        <w:jc w:val="left"/>
        <w:rPr>
          <w:rFonts w:hint="eastAsia" w:ascii="黑体" w:hAnsi="黑体" w:cs="ËÎÌå"/>
          <w:szCs w:val="21"/>
        </w:rPr>
      </w:pPr>
      <w:r>
        <w:rPr>
          <w:rFonts w:hint="eastAsia" w:ascii="黑体" w:hAnsi="黑体" w:cs="ËÎÌå"/>
          <w:szCs w:val="21"/>
        </w:rPr>
        <w:t>示例1：假设投资者于募集期认购，本金为50000元，净值为1.00元/份，则投资者持有份额为50000份，产品</w:t>
      </w:r>
      <w:r>
        <w:rPr>
          <w:rFonts w:hint="eastAsia" w:ascii="黑体" w:hAnsi="黑体" w:cs="黑体"/>
          <w:szCs w:val="21"/>
        </w:rPr>
        <w:t>兑付日前一自然日</w:t>
      </w:r>
      <w:r>
        <w:rPr>
          <w:rFonts w:hint="eastAsia" w:ascii="黑体" w:hAnsi="黑体" w:cs="ËÎÌå"/>
          <w:szCs w:val="21"/>
        </w:rPr>
        <w:t>时产品单位净值为1.05元/份，则产品到期后兑付投资者金额： 50000× 1.05＝52500元 ，投资者理财收益2500元。</w:t>
      </w:r>
    </w:p>
    <w:p w14:paraId="6DC0A6D8">
      <w:pPr>
        <w:ind w:firstLine="420"/>
        <w:jc w:val="left"/>
        <w:rPr>
          <w:rFonts w:hint="eastAsia" w:ascii="黑体" w:hAnsi="黑体" w:cs="宋体"/>
          <w:szCs w:val="21"/>
        </w:rPr>
      </w:pPr>
      <w:r>
        <w:rPr>
          <w:rFonts w:hint="eastAsia" w:ascii="黑体" w:hAnsi="黑体" w:cs="ËÎÌå"/>
          <w:szCs w:val="21"/>
        </w:rPr>
        <w:t>示例2：假设投资者于募集期认购，本金为100000元，净值为1.00元/份，则投资者持有份额为100000份，产品</w:t>
      </w:r>
      <w:r>
        <w:rPr>
          <w:rFonts w:hint="eastAsia" w:ascii="黑体" w:hAnsi="黑体" w:cs="黑体"/>
          <w:szCs w:val="21"/>
        </w:rPr>
        <w:t>兑付日前一自然日</w:t>
      </w:r>
      <w:r>
        <w:rPr>
          <w:rFonts w:hint="eastAsia" w:ascii="黑体" w:hAnsi="黑体" w:cs="ËÎÌå"/>
          <w:szCs w:val="21"/>
        </w:rPr>
        <w:t>时产品单位净值为0.98元/份，则产品到期后兑付投资者金额： 100000× 0.98＝98000元 ，投资者亏损金额为2000元。</w:t>
      </w:r>
    </w:p>
    <w:p w14:paraId="49E3490B">
      <w:pPr>
        <w:ind w:firstLine="420"/>
        <w:jc w:val="left"/>
        <w:rPr>
          <w:rFonts w:hint="eastAsia" w:ascii="黑体" w:hAnsi="黑体" w:cs="宋体"/>
          <w:b/>
          <w:szCs w:val="21"/>
        </w:rPr>
      </w:pPr>
      <w:r>
        <w:rPr>
          <w:rFonts w:hint="eastAsia" w:ascii="黑体" w:hAnsi="黑体" w:cs="宋体"/>
          <w:b/>
          <w:szCs w:val="21"/>
        </w:rPr>
        <w:t>上述示例采用假设数据计算，测算收益不等于实际收益，投资须谨慎。</w:t>
      </w:r>
    </w:p>
    <w:p w14:paraId="2EDB1474">
      <w:pPr>
        <w:ind w:firstLine="422"/>
        <w:jc w:val="left"/>
        <w:rPr>
          <w:rFonts w:hint="eastAsia" w:ascii="黑体" w:hAnsi="黑体" w:cs="宋体"/>
          <w:b/>
          <w:bCs/>
          <w:szCs w:val="21"/>
        </w:rPr>
      </w:pPr>
      <w:r>
        <w:rPr>
          <w:rFonts w:hint="eastAsia" w:ascii="黑体" w:hAnsi="黑体" w:cs="宋体"/>
          <w:b/>
          <w:bCs/>
          <w:szCs w:val="21"/>
        </w:rPr>
        <w:t>在最不利情况下，投资者甚至可能损失全部本金。投资者应充分认识投资风险，谨慎投资。</w:t>
      </w:r>
    </w:p>
    <w:p w14:paraId="276E97EB">
      <w:pPr>
        <w:ind w:firstLine="420"/>
        <w:jc w:val="left"/>
        <w:rPr>
          <w:rFonts w:hint="eastAsia" w:ascii="黑体" w:hAnsi="黑体" w:cs="宋体"/>
          <w:szCs w:val="21"/>
        </w:rPr>
      </w:pPr>
      <w:r>
        <w:rPr>
          <w:rFonts w:hint="eastAsia" w:ascii="黑体" w:hAnsi="黑体" w:cs="宋体"/>
          <w:szCs w:val="21"/>
        </w:rPr>
        <w:t>示例：如投资者购买本理财产品，本金为10,000.00元，在理财产品资产组合项下资产全部亏损的最不利情况下，理财产品10,000.00元本金将全部损失</w:t>
      </w:r>
    </w:p>
    <w:p w14:paraId="3AC4D1D2">
      <w:pPr>
        <w:ind w:firstLine="420"/>
        <w:jc w:val="left"/>
        <w:rPr>
          <w:rFonts w:hint="eastAsia" w:ascii="黑体" w:hAnsi="黑体" w:cs="宋体"/>
          <w:szCs w:val="21"/>
        </w:rPr>
      </w:pPr>
    </w:p>
    <w:p w14:paraId="1105F509">
      <w:pPr>
        <w:jc w:val="left"/>
        <w:rPr>
          <w:rFonts w:hint="eastAsia" w:ascii="黑体" w:hAnsi="黑体" w:cs="宋体"/>
          <w:b/>
          <w:szCs w:val="21"/>
        </w:rPr>
      </w:pPr>
      <w:r>
        <w:rPr>
          <w:rFonts w:hint="eastAsia" w:ascii="黑体" w:hAnsi="黑体" w:cs="宋体"/>
          <w:b/>
          <w:szCs w:val="21"/>
        </w:rPr>
        <w:t>（三）税收</w:t>
      </w:r>
    </w:p>
    <w:p w14:paraId="166A10FF">
      <w:pPr>
        <w:ind w:firstLine="422"/>
        <w:jc w:val="left"/>
        <w:rPr>
          <w:rFonts w:hint="eastAsia" w:ascii="黑体" w:hAnsi="黑体" w:cs="黑体"/>
          <w:b/>
          <w:szCs w:val="21"/>
        </w:rPr>
      </w:pPr>
      <w:r>
        <w:rPr>
          <w:rFonts w:ascii="黑体" w:hAnsi="黑体" w:cs="黑体"/>
          <w:b/>
          <w:szCs w:val="21"/>
        </w:rPr>
        <w:t>1、根据财政部、国家税务总局相关税收监管政策的规定，理财产品运营过程中发生的增值税应税行为，以</w:t>
      </w:r>
      <w:r>
        <w:rPr>
          <w:rFonts w:hint="eastAsia" w:ascii="黑体" w:hAnsi="黑体" w:cs="黑体"/>
          <w:b/>
          <w:szCs w:val="21"/>
        </w:rPr>
        <w:t>理财产品为增值税纳税主体，计算并缴纳增值税及附加税费。产品</w:t>
      </w:r>
      <w:r>
        <w:rPr>
          <w:rFonts w:ascii="黑体" w:hAnsi="黑体" w:cs="黑体"/>
          <w:b/>
          <w:szCs w:val="21"/>
        </w:rPr>
        <w:t>管理人将按照相关规定计算应缴纳的税费，</w:t>
      </w:r>
      <w:r>
        <w:rPr>
          <w:rFonts w:hint="eastAsia" w:ascii="黑体" w:hAnsi="黑体" w:cs="黑体"/>
          <w:b/>
          <w:szCs w:val="21"/>
        </w:rPr>
        <w:t>并</w:t>
      </w:r>
      <w:r>
        <w:rPr>
          <w:rFonts w:ascii="黑体" w:hAnsi="黑体" w:cs="黑体"/>
          <w:b/>
          <w:szCs w:val="21"/>
        </w:rPr>
        <w:t>从本产品财产中</w:t>
      </w:r>
      <w:r>
        <w:rPr>
          <w:rFonts w:hint="eastAsia" w:ascii="黑体" w:hAnsi="黑体" w:cs="黑体"/>
          <w:b/>
          <w:szCs w:val="21"/>
        </w:rPr>
        <w:t>扣除</w:t>
      </w:r>
      <w:r>
        <w:rPr>
          <w:rFonts w:ascii="黑体" w:hAnsi="黑体" w:cs="黑体"/>
          <w:b/>
          <w:szCs w:val="21"/>
        </w:rPr>
        <w:t>。</w:t>
      </w:r>
    </w:p>
    <w:p w14:paraId="76FBECE6">
      <w:pPr>
        <w:ind w:firstLine="420"/>
        <w:jc w:val="left"/>
        <w:rPr>
          <w:rFonts w:hint="eastAsia" w:ascii="黑体" w:hAnsi="黑体" w:cs="黑体"/>
          <w:szCs w:val="21"/>
        </w:rPr>
      </w:pPr>
      <w:r>
        <w:rPr>
          <w:rFonts w:ascii="黑体" w:hAnsi="黑体" w:cs="黑体"/>
          <w:szCs w:val="21"/>
        </w:rPr>
        <w:t>2</w:t>
      </w:r>
      <w:r>
        <w:rPr>
          <w:rFonts w:hint="eastAsia" w:ascii="黑体" w:hAnsi="黑体" w:cs="黑体"/>
          <w:szCs w:val="21"/>
        </w:rPr>
        <w:t>、除法律法规</w:t>
      </w:r>
      <w:r>
        <w:rPr>
          <w:rFonts w:ascii="黑体" w:hAnsi="黑体" w:cs="黑体"/>
          <w:szCs w:val="21"/>
        </w:rPr>
        <w:t>特别要求外，投资者应缴纳的</w:t>
      </w:r>
      <w:r>
        <w:rPr>
          <w:rFonts w:hint="eastAsia" w:ascii="黑体" w:hAnsi="黑体" w:cs="黑体"/>
          <w:szCs w:val="21"/>
        </w:rPr>
        <w:t>税费</w:t>
      </w:r>
      <w:r>
        <w:rPr>
          <w:rFonts w:ascii="黑体" w:hAnsi="黑体" w:cs="黑体"/>
          <w:szCs w:val="21"/>
        </w:rPr>
        <w:t>由投资者</w:t>
      </w:r>
      <w:r>
        <w:rPr>
          <w:rFonts w:hint="eastAsia" w:ascii="黑体" w:hAnsi="黑体" w:cs="黑体"/>
          <w:szCs w:val="21"/>
        </w:rPr>
        <w:t>自行缴纳</w:t>
      </w:r>
      <w:r>
        <w:rPr>
          <w:rFonts w:ascii="黑体" w:hAnsi="黑体" w:cs="黑体"/>
          <w:szCs w:val="21"/>
        </w:rPr>
        <w:t>，</w:t>
      </w:r>
      <w:r>
        <w:rPr>
          <w:rFonts w:hint="eastAsia" w:ascii="黑体" w:hAnsi="黑体" w:cs="黑体"/>
          <w:szCs w:val="21"/>
        </w:rPr>
        <w:t>产品管理人</w:t>
      </w:r>
      <w:r>
        <w:rPr>
          <w:rFonts w:ascii="黑体" w:hAnsi="黑体" w:cs="黑体"/>
          <w:szCs w:val="21"/>
        </w:rPr>
        <w:t>不承担代扣代缴或纳税的义务。</w:t>
      </w:r>
    </w:p>
    <w:p w14:paraId="6187A308">
      <w:pPr>
        <w:ind w:firstLine="420"/>
        <w:jc w:val="left"/>
        <w:rPr>
          <w:rFonts w:hint="eastAsia" w:ascii="黑体" w:hAnsi="黑体" w:cs="黑体"/>
          <w:szCs w:val="21"/>
        </w:rPr>
      </w:pPr>
      <w:r>
        <w:rPr>
          <w:rFonts w:ascii="黑体" w:hAnsi="黑体" w:cs="黑体"/>
          <w:szCs w:val="21"/>
        </w:rPr>
        <w:t>3</w:t>
      </w:r>
      <w:r>
        <w:rPr>
          <w:rFonts w:hint="eastAsia" w:ascii="黑体" w:hAnsi="黑体" w:cs="黑体"/>
          <w:szCs w:val="21"/>
        </w:rPr>
        <w:t>、后续国家法律法规如对相关税收政策进行调整，产品管理人有权根据税收政策相应调整理财产品运营过程中发生的税费计算及</w:t>
      </w:r>
      <w:r>
        <w:rPr>
          <w:rFonts w:ascii="黑体" w:hAnsi="黑体" w:cs="黑体"/>
          <w:szCs w:val="21"/>
        </w:rPr>
        <w:t>缴纳</w:t>
      </w:r>
      <w:r>
        <w:rPr>
          <w:rFonts w:hint="eastAsia" w:ascii="黑体" w:hAnsi="黑体" w:cs="黑体"/>
          <w:szCs w:val="21"/>
        </w:rPr>
        <w:t>方式。</w:t>
      </w:r>
    </w:p>
    <w:p w14:paraId="5C6A373E">
      <w:pPr>
        <w:jc w:val="left"/>
        <w:rPr>
          <w:rFonts w:hint="eastAsia" w:ascii="黑体" w:hAnsi="黑体" w:cs="黑体"/>
          <w:szCs w:val="21"/>
        </w:rPr>
      </w:pPr>
    </w:p>
    <w:p w14:paraId="3321D7E3">
      <w:pPr>
        <w:jc w:val="left"/>
        <w:rPr>
          <w:rFonts w:hint="eastAsia" w:ascii="黑体" w:hAnsi="黑体" w:cs="黑体"/>
          <w:b/>
          <w:szCs w:val="21"/>
        </w:rPr>
      </w:pPr>
      <w:r>
        <w:rPr>
          <w:rFonts w:hint="eastAsia" w:ascii="黑体" w:hAnsi="黑体" w:cs="黑体"/>
          <w:b/>
          <w:szCs w:val="21"/>
        </w:rPr>
        <w:t>七、</w:t>
      </w:r>
      <w:bookmarkStart w:id="3" w:name="_Hlk33087179"/>
      <w:bookmarkStart w:id="4" w:name="_Hlk33087400"/>
      <w:r>
        <w:rPr>
          <w:rFonts w:hint="eastAsia" w:ascii="黑体" w:hAnsi="黑体" w:cs="黑体"/>
          <w:b/>
          <w:szCs w:val="21"/>
        </w:rPr>
        <w:t>理财产品到期与终止</w:t>
      </w:r>
    </w:p>
    <w:p w14:paraId="6835BBFC">
      <w:pPr>
        <w:ind w:firstLine="422"/>
        <w:jc w:val="left"/>
        <w:rPr>
          <w:rFonts w:hint="eastAsia" w:ascii="黑体" w:hAnsi="黑体" w:cs="宋体"/>
          <w:b/>
          <w:szCs w:val="21"/>
        </w:rPr>
      </w:pPr>
      <w:r>
        <w:rPr>
          <w:rFonts w:ascii="黑体" w:hAnsi="黑体" w:cs="ËÎÌå"/>
          <w:b/>
          <w:szCs w:val="21"/>
        </w:rPr>
        <w:t>1</w:t>
      </w:r>
      <w:r>
        <w:rPr>
          <w:rFonts w:hint="eastAsia" w:ascii="黑体" w:hAnsi="黑体" w:cs="ËÎÌå"/>
          <w:b/>
          <w:szCs w:val="21"/>
        </w:rPr>
        <w:t>、</w:t>
      </w:r>
      <w:r>
        <w:rPr>
          <w:rFonts w:hint="eastAsia" w:ascii="黑体" w:hAnsi="黑体" w:cs="宋体"/>
          <w:b/>
          <w:szCs w:val="21"/>
        </w:rPr>
        <w:t>正常兑付</w:t>
      </w:r>
    </w:p>
    <w:p w14:paraId="065BE480">
      <w:pPr>
        <w:pStyle w:val="188"/>
        <w:ind w:firstLine="422"/>
        <w:rPr>
          <w:rFonts w:hint="eastAsia"/>
        </w:rPr>
      </w:pPr>
      <w:r>
        <w:t>投资者持有产品至产品到期日，投资者的理财产品投资本金（如有）和收益（如有）在产品到期后一次性支付。投资者理财产品投资本金（如有）和收益（如有）将于产品到期日后</w:t>
      </w:r>
      <w:r>
        <w:rPr>
          <w:rFonts w:hint="eastAsia" w:cs="黑体"/>
        </w:rPr>
        <w:t>3</w:t>
      </w:r>
      <w:r>
        <w:t>个工作日内</w:t>
      </w:r>
      <w:r>
        <w:rPr>
          <w:rFonts w:hint="eastAsia"/>
        </w:rPr>
        <w:t>由销售机构</w:t>
      </w:r>
      <w:r>
        <w:t>划转至投资者指定账户，如遇法定节假日或公休日则顺延。</w:t>
      </w:r>
      <w:r>
        <w:rPr>
          <w:rFonts w:hint="eastAsia"/>
        </w:rPr>
        <w:t>产品到期日时，投资者持有的理财份额将在产品到期日全部自动赎回，赎回价格采用兑付日前一自然日的产品净值，产品兑付后至资金实际到账日期间，产品管理人不向投资者计付利息，销售机构是否计付利息以销售机构为准。</w:t>
      </w:r>
    </w:p>
    <w:p w14:paraId="70D39C49">
      <w:pPr>
        <w:ind w:firstLine="422"/>
        <w:jc w:val="left"/>
        <w:rPr>
          <w:rFonts w:hint="eastAsia" w:ascii="黑体" w:hAnsi="黑体" w:cs="宋体"/>
          <w:b/>
          <w:szCs w:val="21"/>
        </w:rPr>
      </w:pPr>
      <w:r>
        <w:rPr>
          <w:rFonts w:ascii="黑体" w:hAnsi="黑体" w:cs="宋体"/>
          <w:b/>
          <w:szCs w:val="21"/>
        </w:rPr>
        <w:t>2、提前终止</w:t>
      </w:r>
    </w:p>
    <w:p w14:paraId="2F607C63">
      <w:pPr>
        <w:pStyle w:val="188"/>
        <w:ind w:firstLine="422"/>
        <w:rPr>
          <w:rFonts w:hint="eastAsia"/>
        </w:rPr>
      </w:pPr>
      <w:r>
        <w:t>在本产品存续期内，如遇包括但不限于国家金融政策发生重大调整、金融市场发生重大波动、不可抗力</w:t>
      </w:r>
      <w:r>
        <w:rPr>
          <w:rFonts w:hint="eastAsia" w:cs="黑体"/>
        </w:rPr>
        <w:t>、产品存续规模低于产品最低成立规模</w:t>
      </w:r>
      <w:r>
        <w:t>或产品管理人认为</w:t>
      </w:r>
      <w:r>
        <w:rPr>
          <w:rFonts w:hint="eastAsia"/>
        </w:rPr>
        <w:t>影响产品运作</w:t>
      </w:r>
      <w:r>
        <w:t>需要提前终止产品的其他情况，产品管理人有权提前终止产品，并至少于提前终止日前</w:t>
      </w:r>
      <w:r>
        <w:rPr>
          <w:rFonts w:hint="eastAsia"/>
        </w:rPr>
        <w:t>3</w:t>
      </w:r>
      <w:r>
        <w:t>个工作日进行公告，相关兑付安排规则将在公告中披露。</w:t>
      </w:r>
    </w:p>
    <w:p w14:paraId="4F048F97">
      <w:pPr>
        <w:ind w:firstLine="422"/>
        <w:jc w:val="left"/>
        <w:rPr>
          <w:rFonts w:hint="eastAsia" w:ascii="黑体" w:hAnsi="黑体"/>
          <w:b/>
        </w:rPr>
      </w:pPr>
      <w:r>
        <w:rPr>
          <w:rFonts w:ascii="黑体" w:hAnsi="黑体"/>
          <w:b/>
        </w:rPr>
        <w:t>3、其他情况</w:t>
      </w:r>
    </w:p>
    <w:p w14:paraId="47D01180">
      <w:pPr>
        <w:pStyle w:val="189"/>
        <w:ind w:firstLine="420"/>
        <w:rPr>
          <w:rFonts w:hint="eastAsia"/>
          <w:b/>
        </w:rPr>
      </w:pPr>
      <w:r>
        <w:rPr>
          <w:b/>
        </w:rPr>
        <w:t>如果发生国家金融政策发生重大调整、流动性紧张、市场环境变化或不可抗力等特殊情形，造成本产品持有的基础资产无法及时、足额变现，产品管理人可以根据实际情况选择向投资者延迟兑付或者分次兑付，并于发生上述情形后的2个工作日内公告兑付方案。</w:t>
      </w:r>
      <w:bookmarkEnd w:id="3"/>
      <w:bookmarkEnd w:id="4"/>
    </w:p>
    <w:p w14:paraId="68928622">
      <w:pPr>
        <w:ind w:firstLine="420"/>
        <w:jc w:val="left"/>
        <w:rPr>
          <w:rFonts w:hint="eastAsia" w:ascii="黑体" w:hAnsi="黑体" w:cs="黑体"/>
          <w:szCs w:val="21"/>
        </w:rPr>
      </w:pPr>
    </w:p>
    <w:p w14:paraId="17E1AA49">
      <w:pPr>
        <w:jc w:val="left"/>
        <w:rPr>
          <w:rFonts w:hint="eastAsia" w:ascii="黑体" w:hAnsi="黑体" w:cs="宋体"/>
          <w:b/>
          <w:szCs w:val="21"/>
        </w:rPr>
      </w:pPr>
      <w:r>
        <w:rPr>
          <w:rFonts w:hint="eastAsia" w:ascii="黑体" w:hAnsi="黑体" w:cs="宋体"/>
          <w:b/>
          <w:szCs w:val="21"/>
        </w:rPr>
        <w:t>八、产品管理人、托管机构和销售机构</w:t>
      </w:r>
    </w:p>
    <w:p w14:paraId="66AC399A">
      <w:pPr>
        <w:jc w:val="left"/>
        <w:rPr>
          <w:rFonts w:hint="eastAsia" w:ascii="黑体" w:hAnsi="黑体" w:cs="宋体"/>
          <w:b/>
          <w:szCs w:val="21"/>
        </w:rPr>
      </w:pPr>
      <w:r>
        <w:rPr>
          <w:rFonts w:hint="eastAsia" w:ascii="黑体" w:hAnsi="黑体" w:cs="宋体"/>
          <w:b/>
          <w:szCs w:val="21"/>
        </w:rPr>
        <w:t>（一）产品管理人基本信息</w:t>
      </w:r>
    </w:p>
    <w:p w14:paraId="782AB789">
      <w:pPr>
        <w:ind w:firstLine="420"/>
        <w:jc w:val="left"/>
        <w:rPr>
          <w:rFonts w:hint="eastAsia" w:ascii="黑体" w:hAnsi="黑体" w:cs="宋体"/>
          <w:szCs w:val="21"/>
        </w:rPr>
      </w:pPr>
      <w:r>
        <w:rPr>
          <w:rFonts w:ascii="黑体" w:hAnsi="黑体" w:cs="宋体"/>
          <w:szCs w:val="21"/>
        </w:rPr>
        <w:t>1</w:t>
      </w:r>
      <w:r>
        <w:rPr>
          <w:rFonts w:hint="eastAsia" w:ascii="黑体" w:hAnsi="黑体" w:cs="宋体"/>
          <w:szCs w:val="21"/>
        </w:rPr>
        <w:t>、机构名称：宁银理财有限责任公司</w:t>
      </w:r>
    </w:p>
    <w:p w14:paraId="19D006DF">
      <w:pPr>
        <w:ind w:firstLine="420"/>
        <w:jc w:val="left"/>
        <w:rPr>
          <w:rFonts w:hint="eastAsia" w:ascii="黑体" w:hAnsi="黑体" w:cs="宋体"/>
          <w:szCs w:val="21"/>
        </w:rPr>
      </w:pPr>
      <w:r>
        <w:rPr>
          <w:rFonts w:ascii="黑体" w:hAnsi="黑体" w:cs="宋体"/>
          <w:szCs w:val="21"/>
        </w:rPr>
        <w:t xml:space="preserve">   </w:t>
      </w:r>
      <w:r>
        <w:rPr>
          <w:rFonts w:hint="eastAsia" w:ascii="黑体" w:hAnsi="黑体" w:cs="宋体"/>
          <w:szCs w:val="21"/>
        </w:rPr>
        <w:t>客服热线：400-099-5574</w:t>
      </w:r>
    </w:p>
    <w:p w14:paraId="5CA4557A">
      <w:pPr>
        <w:ind w:firstLine="420"/>
        <w:jc w:val="left"/>
        <w:rPr>
          <w:rFonts w:hint="eastAsia" w:ascii="黑体" w:hAnsi="黑体" w:cs="宋体"/>
          <w:szCs w:val="21"/>
        </w:rPr>
      </w:pPr>
      <w:r>
        <w:rPr>
          <w:rFonts w:ascii="黑体" w:hAnsi="黑体" w:cs="宋体"/>
          <w:szCs w:val="21"/>
        </w:rPr>
        <w:t xml:space="preserve">   </w:t>
      </w:r>
      <w:r>
        <w:rPr>
          <w:rFonts w:hint="eastAsia" w:ascii="黑体" w:hAnsi="黑体" w:cs="宋体"/>
          <w:szCs w:val="21"/>
        </w:rPr>
        <w:t>官方网站：www.wmbnb.com</w:t>
      </w:r>
    </w:p>
    <w:p w14:paraId="27701991">
      <w:pPr>
        <w:ind w:firstLine="420"/>
        <w:jc w:val="left"/>
        <w:rPr>
          <w:rFonts w:hint="eastAsia" w:ascii="黑体" w:hAnsi="黑体" w:cs="Calibri"/>
          <w:szCs w:val="21"/>
        </w:rPr>
      </w:pPr>
      <w:r>
        <w:rPr>
          <w:rFonts w:hint="eastAsia" w:ascii="黑体" w:hAnsi="黑体" w:cs="宋体"/>
          <w:szCs w:val="21"/>
        </w:rPr>
        <w:t xml:space="preserve">   住所：浙江省宁波市鄞州区和源路318号中银大厦26层、30层、32层</w:t>
      </w:r>
    </w:p>
    <w:p w14:paraId="129186E7">
      <w:pPr>
        <w:ind w:firstLine="420"/>
        <w:rPr>
          <w:rFonts w:hint="eastAsia" w:ascii="黑体" w:hAnsi="黑体" w:cs="宋体"/>
          <w:bCs/>
          <w:szCs w:val="21"/>
        </w:rPr>
      </w:pPr>
      <w:r>
        <w:rPr>
          <w:rFonts w:hint="eastAsia" w:ascii="黑体" w:hAnsi="黑体" w:cs="宋体"/>
          <w:bCs/>
          <w:szCs w:val="21"/>
        </w:rPr>
        <w:t>产品管理人主要职责：</w:t>
      </w:r>
    </w:p>
    <w:p w14:paraId="73F0FA5F">
      <w:pPr>
        <w:ind w:firstLine="420"/>
        <w:rPr>
          <w:rFonts w:hint="eastAsia" w:ascii="黑体" w:hAnsi="黑体" w:cs="黑体"/>
          <w:szCs w:val="21"/>
        </w:rPr>
      </w:pPr>
      <w:r>
        <w:rPr>
          <w:rFonts w:hint="eastAsia" w:ascii="黑体" w:hAnsi="黑体" w:cs="黑体"/>
          <w:szCs w:val="21"/>
        </w:rPr>
        <w:t>1、接受投资者的委托和授权，按照</w:t>
      </w:r>
      <w:r>
        <w:rPr>
          <w:rFonts w:hint="eastAsia" w:ascii="黑体" w:hAnsi="黑体" w:cs="宋体"/>
          <w:bCs/>
          <w:szCs w:val="21"/>
        </w:rPr>
        <w:t>国家法律、法规及其他有关规定和理财产品销售文件约定，遵循诚实信用、勤勉尽责的原则履行受托管理职责，负责本</w:t>
      </w:r>
      <w:r>
        <w:rPr>
          <w:rFonts w:hint="eastAsia" w:ascii="黑体" w:hAnsi="黑体" w:cs="黑体"/>
          <w:szCs w:val="21"/>
        </w:rPr>
        <w:t>理财产品资金的运用和理财产品资产的管理，开展风险管理等；</w:t>
      </w:r>
    </w:p>
    <w:p w14:paraId="7EC20006">
      <w:pPr>
        <w:ind w:firstLine="420"/>
        <w:rPr>
          <w:rFonts w:hint="eastAsia" w:ascii="黑体" w:hAnsi="黑体" w:cs="黑体"/>
          <w:szCs w:val="21"/>
        </w:rPr>
      </w:pPr>
      <w:r>
        <w:rPr>
          <w:rFonts w:hint="eastAsia" w:ascii="黑体" w:hAnsi="黑体" w:cs="黑体"/>
          <w:szCs w:val="21"/>
        </w:rPr>
        <w:t>2、对产品风险等级开展动态管理</w:t>
      </w:r>
      <w:r>
        <w:rPr>
          <w:rFonts w:hint="eastAsia" w:ascii="黑体" w:hAnsi="黑体" w:cs="宋体"/>
          <w:bCs/>
          <w:szCs w:val="21"/>
        </w:rPr>
        <w:t>，及时将产品风险等级变动情况告知销售机构</w:t>
      </w:r>
      <w:r>
        <w:rPr>
          <w:rFonts w:hint="eastAsia" w:ascii="黑体" w:hAnsi="黑体" w:cs="黑体"/>
          <w:szCs w:val="21"/>
        </w:rPr>
        <w:t>；</w:t>
      </w:r>
    </w:p>
    <w:p w14:paraId="7387ED93">
      <w:pPr>
        <w:ind w:firstLine="420"/>
        <w:rPr>
          <w:rFonts w:hint="eastAsia" w:ascii="黑体" w:hAnsi="黑体" w:cs="宋体"/>
          <w:szCs w:val="21"/>
        </w:rPr>
      </w:pPr>
      <w:r>
        <w:rPr>
          <w:rFonts w:hint="eastAsia" w:ascii="黑体" w:hAnsi="黑体" w:cs="黑体"/>
          <w:szCs w:val="21"/>
        </w:rPr>
        <w:t>3、按照</w:t>
      </w:r>
      <w:r>
        <w:rPr>
          <w:rFonts w:hint="eastAsia" w:ascii="黑体" w:hAnsi="黑体" w:cs="宋体"/>
          <w:bCs/>
          <w:szCs w:val="21"/>
        </w:rPr>
        <w:t>有关法律法规、监管规定和理财产品销售文件的要求，及时、充分披露本产品的相关信息</w:t>
      </w:r>
      <w:r>
        <w:rPr>
          <w:rFonts w:hint="eastAsia" w:ascii="黑体" w:hAnsi="黑体" w:cs="黑体"/>
          <w:szCs w:val="21"/>
        </w:rPr>
        <w:t>；</w:t>
      </w:r>
    </w:p>
    <w:p w14:paraId="40B202EF">
      <w:pPr>
        <w:ind w:firstLine="420"/>
        <w:rPr>
          <w:rFonts w:hint="eastAsia" w:ascii="黑体" w:hAnsi="黑体" w:cs="宋体"/>
          <w:szCs w:val="21"/>
        </w:rPr>
      </w:pPr>
      <w:r>
        <w:rPr>
          <w:rFonts w:hint="eastAsia" w:ascii="黑体" w:hAnsi="黑体" w:cs="宋体"/>
          <w:szCs w:val="21"/>
        </w:rPr>
        <w:t>4、</w:t>
      </w:r>
      <w:r>
        <w:rPr>
          <w:rFonts w:hint="eastAsia" w:ascii="黑体" w:hAnsi="黑体" w:cs="宋体"/>
          <w:bCs/>
          <w:szCs w:val="21"/>
        </w:rPr>
        <w:t>按照反洗钱、反恐怖融资及非居民金融账户涉税信息尽职调查等相关法律法规要求识别客户身份并报送相关信息</w:t>
      </w:r>
      <w:r>
        <w:rPr>
          <w:rFonts w:hint="eastAsia" w:ascii="黑体" w:hAnsi="黑体" w:cs="宋体"/>
          <w:szCs w:val="21"/>
        </w:rPr>
        <w:t>；</w:t>
      </w:r>
    </w:p>
    <w:p w14:paraId="08275F46">
      <w:pPr>
        <w:ind w:firstLine="420"/>
        <w:rPr>
          <w:rFonts w:hint="eastAsia" w:ascii="黑体" w:hAnsi="黑体" w:cs="黑体"/>
          <w:szCs w:val="21"/>
        </w:rPr>
      </w:pPr>
      <w:r>
        <w:rPr>
          <w:rFonts w:hint="eastAsia" w:ascii="黑体" w:hAnsi="黑体" w:cs="黑体"/>
          <w:szCs w:val="21"/>
        </w:rPr>
        <w:t>5、按照</w:t>
      </w:r>
      <w:r>
        <w:rPr>
          <w:rFonts w:hint="eastAsia" w:ascii="黑体" w:hAnsi="黑体" w:cs="宋体"/>
          <w:bCs/>
          <w:szCs w:val="21"/>
        </w:rPr>
        <w:t>国家法律、法规及其他有关规定和理财产品销售文件约定处理投资者个人信息</w:t>
      </w:r>
      <w:r>
        <w:rPr>
          <w:rFonts w:hint="eastAsia" w:ascii="黑体" w:hAnsi="黑体" w:cs="黑体"/>
          <w:szCs w:val="21"/>
        </w:rPr>
        <w:t>并开展个人信息保护工作，除法律、法规、监管规定及销售文件约定外，不得向任何机构或者个人提供投资者个人信息；</w:t>
      </w:r>
    </w:p>
    <w:p w14:paraId="697EA8BD">
      <w:pPr>
        <w:ind w:firstLine="420"/>
        <w:rPr>
          <w:rFonts w:hint="eastAsia" w:ascii="黑体" w:hAnsi="黑体" w:cs="宋体"/>
          <w:szCs w:val="21"/>
        </w:rPr>
      </w:pPr>
      <w:r>
        <w:rPr>
          <w:rFonts w:hint="eastAsia" w:ascii="黑体" w:hAnsi="黑体" w:cs="黑体"/>
          <w:szCs w:val="21"/>
        </w:rPr>
        <w:t>6、代表投资者利益，按照法律、法规及其他有关规定和理财产品销售文件规定，对理财产品投资产生的风险资产进行多种方式的处置以及</w:t>
      </w:r>
      <w:r>
        <w:rPr>
          <w:rFonts w:hint="eastAsia" w:ascii="黑体" w:hAnsi="黑体" w:cs="宋体"/>
          <w:szCs w:val="21"/>
        </w:rPr>
        <w:t>行使诉讼权利或实施其他法律行为；</w:t>
      </w:r>
    </w:p>
    <w:p w14:paraId="3B1C5039">
      <w:pPr>
        <w:ind w:firstLine="420"/>
        <w:rPr>
          <w:rFonts w:hint="eastAsia" w:ascii="黑体" w:hAnsi="黑体" w:cs="黑体"/>
          <w:szCs w:val="21"/>
        </w:rPr>
      </w:pPr>
      <w:r>
        <w:rPr>
          <w:rFonts w:hint="eastAsia" w:ascii="黑体" w:hAnsi="黑体" w:cs="宋体"/>
          <w:szCs w:val="21"/>
        </w:rPr>
        <w:t>7、妥善保管投资者理财产品销售相关资料，保管年限不低于法律、法规及监管规定的年限；</w:t>
      </w:r>
    </w:p>
    <w:p w14:paraId="4752FB5F">
      <w:pPr>
        <w:ind w:firstLine="420"/>
        <w:jc w:val="left"/>
        <w:rPr>
          <w:rFonts w:hint="eastAsia" w:ascii="黑体" w:hAnsi="黑体" w:cs="黑体"/>
          <w:szCs w:val="21"/>
        </w:rPr>
      </w:pPr>
      <w:r>
        <w:rPr>
          <w:rFonts w:hint="eastAsia" w:ascii="黑体" w:hAnsi="黑体" w:cs="宋体"/>
          <w:szCs w:val="21"/>
        </w:rPr>
        <w:t>8、法律</w:t>
      </w:r>
      <w:r>
        <w:rPr>
          <w:rFonts w:ascii="黑体" w:hAnsi="黑体" w:cs="宋体"/>
          <w:szCs w:val="21"/>
        </w:rPr>
        <w:t>、法规、</w:t>
      </w:r>
      <w:r>
        <w:rPr>
          <w:rFonts w:hint="eastAsia" w:ascii="黑体" w:hAnsi="黑体" w:cs="宋体"/>
          <w:szCs w:val="21"/>
        </w:rPr>
        <w:t>监管</w:t>
      </w:r>
      <w:r>
        <w:rPr>
          <w:rFonts w:hint="eastAsia" w:ascii="黑体" w:hAnsi="黑体" w:cs="黑体"/>
          <w:szCs w:val="21"/>
        </w:rPr>
        <w:t>规定和理财产品销售文件约定的其他职责。</w:t>
      </w:r>
    </w:p>
    <w:p w14:paraId="3B6566E8">
      <w:pPr>
        <w:jc w:val="left"/>
        <w:rPr>
          <w:rFonts w:hint="eastAsia" w:ascii="黑体" w:hAnsi="黑体" w:cs="宋体"/>
          <w:bCs/>
          <w:szCs w:val="21"/>
        </w:rPr>
      </w:pPr>
      <w:r>
        <w:rPr>
          <w:rFonts w:hint="eastAsia" w:ascii="黑体" w:hAnsi="黑体" w:cs="宋体"/>
          <w:bCs/>
          <w:szCs w:val="21"/>
        </w:rPr>
        <w:t>（二）托管机构基本</w:t>
      </w:r>
      <w:r>
        <w:rPr>
          <w:rFonts w:ascii="黑体" w:hAnsi="黑体" w:cs="宋体"/>
          <w:bCs/>
          <w:szCs w:val="21"/>
        </w:rPr>
        <w:t>信息</w:t>
      </w:r>
    </w:p>
    <w:p w14:paraId="61E01A75">
      <w:pPr>
        <w:ind w:firstLine="420"/>
        <w:jc w:val="left"/>
        <w:rPr>
          <w:rFonts w:hint="eastAsia" w:ascii="黑体" w:hAnsi="黑体" w:cs="宋体"/>
          <w:szCs w:val="21"/>
        </w:rPr>
      </w:pPr>
      <w:r>
        <w:rPr>
          <w:rFonts w:hint="eastAsia" w:ascii="黑体" w:hAnsi="黑体" w:cs="宋体"/>
          <w:szCs w:val="21"/>
        </w:rPr>
        <w:t>1、机构名称：宁波银行股份有限公司</w:t>
      </w:r>
    </w:p>
    <w:p w14:paraId="3E9A9322">
      <w:pPr>
        <w:ind w:firstLine="420"/>
        <w:jc w:val="left"/>
        <w:rPr>
          <w:rFonts w:hint="eastAsia" w:ascii="黑体" w:hAnsi="黑体" w:cs="宋体"/>
          <w:szCs w:val="21"/>
        </w:rPr>
      </w:pPr>
      <w:r>
        <w:rPr>
          <w:rFonts w:hint="eastAsia" w:ascii="黑体" w:hAnsi="黑体" w:cs="宋体"/>
          <w:szCs w:val="21"/>
        </w:rPr>
        <w:t xml:space="preserve">   客服热线：95574</w:t>
      </w:r>
    </w:p>
    <w:p w14:paraId="625CD371">
      <w:pPr>
        <w:ind w:firstLine="420"/>
        <w:jc w:val="left"/>
        <w:rPr>
          <w:rFonts w:hint="eastAsia" w:ascii="黑体" w:hAnsi="黑体" w:cs="宋体"/>
          <w:szCs w:val="21"/>
        </w:rPr>
      </w:pPr>
      <w:r>
        <w:rPr>
          <w:rFonts w:hint="eastAsia" w:ascii="黑体" w:hAnsi="黑体" w:cs="宋体"/>
          <w:szCs w:val="21"/>
        </w:rPr>
        <w:t xml:space="preserve">   官方网站：www.nbcb.com.cn</w:t>
      </w:r>
    </w:p>
    <w:p w14:paraId="04883688">
      <w:pPr>
        <w:ind w:firstLine="420"/>
        <w:jc w:val="left"/>
        <w:rPr>
          <w:rFonts w:hint="eastAsia" w:ascii="黑体" w:hAnsi="黑体" w:cs="Calibri"/>
          <w:szCs w:val="21"/>
        </w:rPr>
      </w:pPr>
      <w:r>
        <w:rPr>
          <w:rFonts w:hint="eastAsia" w:ascii="黑体" w:hAnsi="黑体" w:cs="宋体"/>
          <w:szCs w:val="21"/>
        </w:rPr>
        <w:t xml:space="preserve">   住所：</w:t>
      </w:r>
      <w:r>
        <w:rPr>
          <w:rFonts w:ascii="黑体" w:hAnsi="黑体" w:cs="宋体"/>
          <w:szCs w:val="21"/>
        </w:rPr>
        <w:t>浙江省宁波市鄞州区宁东路345号</w:t>
      </w:r>
    </w:p>
    <w:p w14:paraId="68F5D143">
      <w:pPr>
        <w:ind w:firstLine="420"/>
        <w:jc w:val="left"/>
        <w:rPr>
          <w:rFonts w:hint="eastAsia" w:ascii="黑体" w:hAnsi="黑体" w:cs="宋体"/>
          <w:bCs/>
          <w:szCs w:val="21"/>
        </w:rPr>
      </w:pPr>
      <w:r>
        <w:rPr>
          <w:rFonts w:hint="eastAsia" w:ascii="黑体" w:hAnsi="黑体" w:cs="宋体"/>
          <w:bCs/>
          <w:szCs w:val="21"/>
        </w:rPr>
        <w:t>托管机构主要职责：</w:t>
      </w:r>
    </w:p>
    <w:p w14:paraId="0F2F5FD3">
      <w:pPr>
        <w:ind w:firstLine="420"/>
        <w:jc w:val="left"/>
        <w:rPr>
          <w:rFonts w:hint="eastAsia" w:ascii="黑体" w:hAnsi="黑体" w:cs="宋体"/>
          <w:szCs w:val="21"/>
        </w:rPr>
      </w:pPr>
      <w:r>
        <w:rPr>
          <w:rFonts w:hint="eastAsia" w:ascii="黑体" w:hAnsi="黑体" w:cs="宋体"/>
          <w:szCs w:val="21"/>
        </w:rPr>
        <w:t>1、安全托管理财资金及其所投资的资产或保管代表资产的权益凭证或财产清单；</w:t>
      </w:r>
    </w:p>
    <w:p w14:paraId="50EAABE9">
      <w:pPr>
        <w:ind w:firstLine="420"/>
        <w:jc w:val="left"/>
        <w:rPr>
          <w:rFonts w:hint="eastAsia" w:ascii="黑体" w:hAnsi="黑体" w:cs="宋体"/>
          <w:szCs w:val="21"/>
        </w:rPr>
      </w:pPr>
      <w:r>
        <w:rPr>
          <w:rFonts w:hint="eastAsia" w:ascii="黑体" w:hAnsi="黑体" w:cs="宋体"/>
          <w:szCs w:val="21"/>
        </w:rPr>
        <w:t>2、为本产品开设独立的托管账户，不同托管账户中的资产应当相互独立；</w:t>
      </w:r>
    </w:p>
    <w:p w14:paraId="2C3CE4A6">
      <w:pPr>
        <w:ind w:firstLine="420"/>
        <w:jc w:val="left"/>
        <w:rPr>
          <w:rFonts w:hint="eastAsia" w:ascii="黑体" w:hAnsi="黑体" w:cs="宋体"/>
          <w:szCs w:val="21"/>
        </w:rPr>
      </w:pPr>
      <w:r>
        <w:rPr>
          <w:rFonts w:hint="eastAsia" w:ascii="黑体" w:hAnsi="黑体" w:cs="宋体"/>
          <w:szCs w:val="21"/>
        </w:rPr>
        <w:t>3、按照托管协议约定和产品管理人的投资指令，及时办理清算、交割事宜；</w:t>
      </w:r>
    </w:p>
    <w:p w14:paraId="77FE4607">
      <w:pPr>
        <w:ind w:firstLine="420"/>
        <w:jc w:val="left"/>
        <w:rPr>
          <w:rFonts w:hint="eastAsia" w:ascii="黑体" w:hAnsi="黑体" w:cs="宋体"/>
          <w:szCs w:val="21"/>
        </w:rPr>
      </w:pPr>
      <w:r>
        <w:rPr>
          <w:rFonts w:hint="eastAsia" w:ascii="黑体" w:hAnsi="黑体" w:cs="宋体"/>
          <w:szCs w:val="21"/>
        </w:rPr>
        <w:t>4、记录理财资金划拨情况，保存产品管理人的资金用途说明；</w:t>
      </w:r>
    </w:p>
    <w:p w14:paraId="7C114821">
      <w:pPr>
        <w:ind w:firstLine="420"/>
        <w:jc w:val="left"/>
        <w:rPr>
          <w:rFonts w:hint="eastAsia" w:ascii="黑体" w:hAnsi="黑体" w:cs="宋体"/>
          <w:szCs w:val="21"/>
        </w:rPr>
      </w:pPr>
      <w:r>
        <w:rPr>
          <w:rFonts w:hint="eastAsia" w:ascii="黑体" w:hAnsi="黑体" w:cs="宋体"/>
          <w:szCs w:val="21"/>
        </w:rPr>
        <w:t>5、负责本产品财产的会计核算；</w:t>
      </w:r>
    </w:p>
    <w:p w14:paraId="4D2F7CB5">
      <w:pPr>
        <w:ind w:firstLine="420"/>
        <w:jc w:val="left"/>
        <w:rPr>
          <w:rFonts w:hint="eastAsia" w:ascii="黑体" w:hAnsi="黑体" w:cs="宋体"/>
          <w:szCs w:val="21"/>
        </w:rPr>
      </w:pPr>
      <w:r>
        <w:rPr>
          <w:rFonts w:ascii="黑体" w:hAnsi="黑体" w:cs="宋体"/>
          <w:szCs w:val="21"/>
        </w:rPr>
        <w:t>6</w:t>
      </w:r>
      <w:r>
        <w:rPr>
          <w:rFonts w:hint="eastAsia" w:ascii="黑体" w:hAnsi="黑体" w:cs="宋体"/>
          <w:szCs w:val="21"/>
        </w:rPr>
        <w:t>、建立与产品管理人的对账机制，核对本产品财产交易记录、资金和财产账目、资产净值等数据；</w:t>
      </w:r>
    </w:p>
    <w:p w14:paraId="12EE0C3B">
      <w:pPr>
        <w:ind w:firstLine="420"/>
        <w:jc w:val="left"/>
        <w:rPr>
          <w:rFonts w:hint="eastAsia" w:ascii="黑体" w:hAnsi="黑体" w:cs="宋体"/>
          <w:szCs w:val="21"/>
        </w:rPr>
      </w:pPr>
      <w:r>
        <w:rPr>
          <w:rFonts w:ascii="黑体" w:hAnsi="黑体" w:cs="宋体"/>
          <w:szCs w:val="21"/>
        </w:rPr>
        <w:t>7</w:t>
      </w:r>
      <w:r>
        <w:rPr>
          <w:rFonts w:hint="eastAsia" w:ascii="黑体" w:hAnsi="黑体" w:cs="宋体"/>
          <w:szCs w:val="21"/>
        </w:rPr>
        <w:t>、监督本产品投资运作；</w:t>
      </w:r>
    </w:p>
    <w:p w14:paraId="12FDEE7A">
      <w:pPr>
        <w:ind w:firstLine="420"/>
        <w:jc w:val="left"/>
        <w:rPr>
          <w:rFonts w:hint="eastAsia" w:ascii="黑体" w:hAnsi="黑体" w:cs="宋体"/>
          <w:szCs w:val="21"/>
        </w:rPr>
      </w:pPr>
      <w:r>
        <w:rPr>
          <w:rFonts w:ascii="黑体" w:hAnsi="黑体" w:cs="宋体"/>
          <w:szCs w:val="21"/>
        </w:rPr>
        <w:t>8</w:t>
      </w:r>
      <w:r>
        <w:rPr>
          <w:rFonts w:hint="eastAsia" w:ascii="黑体" w:hAnsi="黑体" w:cs="宋体"/>
          <w:szCs w:val="21"/>
        </w:rPr>
        <w:t>、办理与本产品托管业务活动相关的信息披露事项；</w:t>
      </w:r>
    </w:p>
    <w:p w14:paraId="14295021">
      <w:pPr>
        <w:ind w:firstLine="420"/>
        <w:jc w:val="left"/>
        <w:rPr>
          <w:rFonts w:hint="eastAsia" w:ascii="黑体" w:hAnsi="黑体" w:cs="宋体"/>
          <w:szCs w:val="21"/>
        </w:rPr>
      </w:pPr>
      <w:r>
        <w:rPr>
          <w:rFonts w:ascii="黑体" w:hAnsi="黑体" w:cs="宋体"/>
          <w:szCs w:val="21"/>
        </w:rPr>
        <w:t>9</w:t>
      </w:r>
      <w:r>
        <w:rPr>
          <w:rFonts w:hint="eastAsia" w:ascii="黑体" w:hAnsi="黑体" w:cs="宋体"/>
          <w:szCs w:val="21"/>
        </w:rPr>
        <w:t>、将本产</w:t>
      </w:r>
      <w:r>
        <w:rPr>
          <w:rFonts w:ascii="黑体" w:hAnsi="黑体" w:cs="宋体"/>
          <w:szCs w:val="21"/>
        </w:rPr>
        <w:t>品</w:t>
      </w:r>
      <w:r>
        <w:rPr>
          <w:rFonts w:hint="eastAsia" w:ascii="黑体" w:hAnsi="黑体" w:cs="宋体"/>
          <w:szCs w:val="21"/>
        </w:rPr>
        <w:t>托管业务活动的记录、账册、报表和其他相关资料保存15年以上；</w:t>
      </w:r>
    </w:p>
    <w:p w14:paraId="40098000">
      <w:pPr>
        <w:ind w:firstLine="420"/>
        <w:jc w:val="left"/>
        <w:rPr>
          <w:rFonts w:hint="eastAsia" w:ascii="黑体" w:hAnsi="黑体" w:cs="宋体"/>
          <w:szCs w:val="21"/>
        </w:rPr>
      </w:pPr>
      <w:r>
        <w:rPr>
          <w:rFonts w:ascii="黑体" w:hAnsi="黑体" w:cs="宋体"/>
          <w:szCs w:val="21"/>
        </w:rPr>
        <w:t>10</w:t>
      </w:r>
      <w:r>
        <w:rPr>
          <w:rFonts w:hint="eastAsia" w:ascii="黑体" w:hAnsi="黑体" w:cs="宋体"/>
          <w:szCs w:val="21"/>
        </w:rPr>
        <w:t>、对本产品投资信息和相关资料承担保密责任，除法律、行政法规、规章规定、审计要求或者合同约定外，不得向任何机构或者个人提供相关信息和资料；</w:t>
      </w:r>
    </w:p>
    <w:p w14:paraId="681BAA1B">
      <w:pPr>
        <w:ind w:firstLine="420"/>
        <w:jc w:val="left"/>
        <w:rPr>
          <w:rFonts w:hint="eastAsia" w:ascii="黑体" w:hAnsi="黑体" w:cs="宋体"/>
          <w:szCs w:val="21"/>
        </w:rPr>
      </w:pPr>
      <w:r>
        <w:rPr>
          <w:rFonts w:hint="eastAsia" w:ascii="黑体" w:hAnsi="黑体" w:cs="宋体"/>
          <w:szCs w:val="21"/>
        </w:rPr>
        <w:t>1</w:t>
      </w:r>
      <w:r>
        <w:rPr>
          <w:rFonts w:ascii="黑体" w:hAnsi="黑体" w:cs="宋体"/>
          <w:szCs w:val="21"/>
        </w:rPr>
        <w:t>1</w:t>
      </w:r>
      <w:r>
        <w:rPr>
          <w:rFonts w:hint="eastAsia" w:ascii="黑体" w:hAnsi="黑体" w:cs="宋体"/>
          <w:szCs w:val="21"/>
        </w:rPr>
        <w:t>、每季度向产品管理人出具本产品的托管业务报告；</w:t>
      </w:r>
    </w:p>
    <w:p w14:paraId="278720E2">
      <w:pPr>
        <w:ind w:firstLine="420"/>
        <w:jc w:val="left"/>
        <w:rPr>
          <w:rFonts w:hint="eastAsia" w:ascii="黑体" w:hAnsi="黑体" w:cs="宋体"/>
          <w:szCs w:val="21"/>
        </w:rPr>
      </w:pPr>
      <w:r>
        <w:rPr>
          <w:rFonts w:ascii="黑体" w:hAnsi="黑体" w:cs="宋体"/>
          <w:szCs w:val="21"/>
        </w:rPr>
        <w:t>12</w:t>
      </w:r>
      <w:r>
        <w:rPr>
          <w:rFonts w:hint="eastAsia" w:ascii="黑体" w:hAnsi="黑体" w:cs="宋体"/>
          <w:szCs w:val="21"/>
        </w:rPr>
        <w:t>、法律</w:t>
      </w:r>
      <w:r>
        <w:rPr>
          <w:rFonts w:ascii="黑体" w:hAnsi="黑体" w:cs="宋体"/>
          <w:szCs w:val="21"/>
        </w:rPr>
        <w:t>、法规、</w:t>
      </w:r>
      <w:r>
        <w:rPr>
          <w:rFonts w:hint="eastAsia" w:ascii="黑体" w:hAnsi="黑体" w:cs="宋体"/>
          <w:szCs w:val="21"/>
        </w:rPr>
        <w:t>国务院银行业监督管理机构规定的其他职责。</w:t>
      </w:r>
    </w:p>
    <w:p w14:paraId="554BCE0F">
      <w:pPr>
        <w:jc w:val="left"/>
        <w:rPr>
          <w:rFonts w:hint="eastAsia" w:ascii="黑体" w:hAnsi="黑体" w:cs="宋体"/>
          <w:bCs/>
          <w:szCs w:val="21"/>
        </w:rPr>
      </w:pPr>
      <w:r>
        <w:rPr>
          <w:rFonts w:hint="eastAsia" w:ascii="黑体" w:hAnsi="黑体" w:cs="宋体"/>
          <w:bCs/>
          <w:szCs w:val="21"/>
        </w:rPr>
        <w:t>（三）销售机构基本信息</w:t>
      </w:r>
    </w:p>
    <w:p w14:paraId="21E9A1DF">
      <w:pPr>
        <w:pStyle w:val="189"/>
        <w:ind w:left="420"/>
        <w:rPr>
          <w:rFonts w:hint="eastAsia"/>
        </w:rPr>
      </w:pPr>
      <w:r>
        <w:rPr>
          <w:rFonts w:hint="eastAsia"/>
        </w:rPr>
        <w:t>1、机构名称：湖南银行股份有限公司</w:t>
      </w:r>
      <w:r>
        <w:rPr>
          <w:rFonts w:hint="eastAsia"/>
        </w:rPr>
        <w:br w:type="textWrapping"/>
      </w:r>
      <w:r>
        <w:rPr>
          <w:rFonts w:hint="eastAsia"/>
        </w:rPr>
        <w:t xml:space="preserve">   客服热线：0731-96599</w:t>
      </w:r>
      <w:r>
        <w:rPr>
          <w:rFonts w:hint="eastAsia"/>
        </w:rPr>
        <w:br w:type="textWrapping"/>
      </w:r>
      <w:r>
        <w:rPr>
          <w:rFonts w:hint="eastAsia"/>
        </w:rPr>
        <w:t xml:space="preserve">   官方网站：www.hunan-bank.com</w:t>
      </w:r>
      <w:r>
        <w:rPr>
          <w:rFonts w:hint="eastAsia"/>
        </w:rPr>
        <w:br w:type="textWrapping"/>
      </w:r>
      <w:r>
        <w:rPr>
          <w:rFonts w:hint="eastAsia"/>
        </w:rPr>
        <w:t xml:space="preserve">   住所：湖南省长沙市天心区湘江中路二段210号</w:t>
      </w:r>
      <w:r>
        <w:rPr>
          <w:rFonts w:hint="eastAsia"/>
        </w:rPr>
        <w:br w:type="textWrapping"/>
      </w:r>
      <w:r>
        <w:rPr>
          <w:rFonts w:hint="eastAsia"/>
        </w:rPr>
        <w:t>2、机构名称：长沙银行股份有限公司</w:t>
      </w:r>
      <w:r>
        <w:rPr>
          <w:rFonts w:hint="eastAsia"/>
        </w:rPr>
        <w:br w:type="textWrapping"/>
      </w:r>
      <w:r>
        <w:rPr>
          <w:rFonts w:hint="eastAsia"/>
        </w:rPr>
        <w:t xml:space="preserve">   客服热线：0731-96511</w:t>
      </w:r>
      <w:r>
        <w:rPr>
          <w:rFonts w:hint="eastAsia"/>
        </w:rPr>
        <w:br w:type="textWrapping"/>
      </w:r>
      <w:r>
        <w:rPr>
          <w:rFonts w:hint="eastAsia"/>
        </w:rPr>
        <w:t xml:space="preserve">   官方网站：www.cscb.cn</w:t>
      </w:r>
      <w:r>
        <w:rPr>
          <w:rFonts w:hint="eastAsia"/>
        </w:rPr>
        <w:br w:type="textWrapping"/>
      </w:r>
      <w:r>
        <w:rPr>
          <w:rFonts w:hint="eastAsia"/>
        </w:rPr>
        <w:t xml:space="preserve">   住所：长沙市岳麓区滨江路53号楷林商务中心B座</w:t>
      </w:r>
      <w:r>
        <w:rPr>
          <w:rFonts w:hint="eastAsia"/>
        </w:rPr>
        <w:br w:type="textWrapping"/>
      </w:r>
      <w:r>
        <w:rPr>
          <w:rFonts w:hint="eastAsia"/>
        </w:rPr>
        <w:t>3、机构名称：台州银行股份有限公司</w:t>
      </w:r>
      <w:r>
        <w:rPr>
          <w:rFonts w:hint="eastAsia"/>
        </w:rPr>
        <w:br w:type="textWrapping"/>
      </w:r>
      <w:r>
        <w:rPr>
          <w:rFonts w:hint="eastAsia"/>
        </w:rPr>
        <w:t xml:space="preserve">   客服热线：95371</w:t>
      </w:r>
      <w:r>
        <w:rPr>
          <w:rFonts w:hint="eastAsia"/>
        </w:rPr>
        <w:br w:type="textWrapping"/>
      </w:r>
      <w:r>
        <w:rPr>
          <w:rFonts w:hint="eastAsia"/>
        </w:rPr>
        <w:t xml:space="preserve">   官方网站：www.tzbank.com</w:t>
      </w:r>
      <w:r>
        <w:rPr>
          <w:rFonts w:hint="eastAsia"/>
        </w:rPr>
        <w:br w:type="textWrapping"/>
      </w:r>
      <w:r>
        <w:rPr>
          <w:rFonts w:hint="eastAsia"/>
        </w:rPr>
        <w:t xml:space="preserve">   住所：浙江省台州市路桥区南官大道92号</w:t>
      </w:r>
    </w:p>
    <w:p w14:paraId="1D76C2FA">
      <w:pPr>
        <w:pStyle w:val="189"/>
        <w:ind w:firstLine="420"/>
        <w:rPr>
          <w:rFonts w:hint="eastAsia"/>
        </w:rPr>
      </w:pPr>
      <w:r>
        <w:rPr>
          <w:rFonts w:hint="eastAsia"/>
        </w:rPr>
        <w:t>销售机构主要职责：</w:t>
      </w:r>
    </w:p>
    <w:p w14:paraId="40E029F0">
      <w:pPr>
        <w:ind w:firstLine="420"/>
        <w:jc w:val="left"/>
        <w:rPr>
          <w:rFonts w:hint="eastAsia" w:ascii="黑体" w:hAnsi="黑体" w:cs="宋体"/>
          <w:bCs/>
          <w:szCs w:val="21"/>
        </w:rPr>
      </w:pPr>
      <w:r>
        <w:rPr>
          <w:rFonts w:ascii="黑体" w:hAnsi="黑体" w:cs="宋体"/>
          <w:bCs/>
          <w:szCs w:val="21"/>
        </w:rPr>
        <w:t>1</w:t>
      </w:r>
      <w:r>
        <w:rPr>
          <w:rFonts w:hint="eastAsia" w:ascii="黑体" w:hAnsi="黑体" w:cs="宋体"/>
          <w:bCs/>
          <w:szCs w:val="21"/>
        </w:rPr>
        <w:t>、严格遵循国家法律、法规及其他有关规定和理财产品销售文件的规定，办理本产品销售业务，勤勉、尽责地履行销售机构的职责；</w:t>
      </w:r>
    </w:p>
    <w:p w14:paraId="27B67033">
      <w:pPr>
        <w:ind w:firstLine="420"/>
        <w:jc w:val="left"/>
        <w:rPr>
          <w:rFonts w:hint="eastAsia" w:ascii="黑体" w:hAnsi="黑体" w:cs="宋体"/>
          <w:bCs/>
          <w:szCs w:val="21"/>
        </w:rPr>
      </w:pPr>
      <w:r>
        <w:rPr>
          <w:rFonts w:hint="eastAsia" w:ascii="黑体" w:hAnsi="黑体" w:cs="宋体"/>
          <w:bCs/>
          <w:szCs w:val="21"/>
        </w:rPr>
        <w:t>2、应保证在履行理财产品销售文件过程中占有、控制的理财产品资产或理财产品份额持有人的资产与销售机构自身资产相互独立，分别建账，分别管理；</w:t>
      </w:r>
    </w:p>
    <w:p w14:paraId="34500670">
      <w:pPr>
        <w:ind w:firstLine="420"/>
        <w:jc w:val="left"/>
        <w:rPr>
          <w:rFonts w:hint="eastAsia" w:ascii="黑体" w:hAnsi="黑体" w:cs="宋体"/>
          <w:bCs/>
          <w:szCs w:val="21"/>
        </w:rPr>
      </w:pPr>
      <w:r>
        <w:rPr>
          <w:rFonts w:hint="eastAsia" w:ascii="黑体" w:hAnsi="黑体" w:cs="宋体"/>
          <w:bCs/>
          <w:szCs w:val="21"/>
        </w:rPr>
        <w:t>3、对投资者身份信息的真实性进行验证；</w:t>
      </w:r>
    </w:p>
    <w:p w14:paraId="1F4FFB26">
      <w:pPr>
        <w:ind w:firstLine="420"/>
        <w:jc w:val="left"/>
        <w:rPr>
          <w:rFonts w:hint="eastAsia" w:ascii="黑体" w:hAnsi="黑体" w:cs="宋体"/>
          <w:bCs/>
          <w:szCs w:val="21"/>
        </w:rPr>
      </w:pPr>
      <w:r>
        <w:rPr>
          <w:rFonts w:ascii="黑体" w:hAnsi="黑体" w:cs="宋体"/>
          <w:bCs/>
          <w:szCs w:val="21"/>
        </w:rPr>
        <w:t>4</w:t>
      </w:r>
      <w:r>
        <w:rPr>
          <w:rFonts w:hint="eastAsia" w:ascii="黑体" w:hAnsi="黑体" w:cs="宋体"/>
          <w:bCs/>
          <w:szCs w:val="21"/>
        </w:rPr>
        <w:t>、对</w:t>
      </w:r>
      <w:r>
        <w:rPr>
          <w:rFonts w:hint="eastAsia" w:ascii="黑体" w:hAnsi="黑体" w:cs="宋体"/>
          <w:bCs/>
          <w:szCs w:val="21"/>
          <w:lang w:eastAsia="zh"/>
        </w:rPr>
        <w:t>普通</w:t>
      </w:r>
      <w:r>
        <w:rPr>
          <w:rFonts w:hint="eastAsia" w:ascii="黑体" w:hAnsi="黑体" w:cs="宋体"/>
          <w:bCs/>
          <w:szCs w:val="21"/>
        </w:rPr>
        <w:t>投资者严谨客观实施风险承受能力评估并持续跟进，根据投资者的风险承受能力销售不同风险等级的产品，把合适的理财产品销售给合适的投资者；</w:t>
      </w:r>
    </w:p>
    <w:p w14:paraId="5E66315C">
      <w:pPr>
        <w:ind w:firstLine="420"/>
        <w:jc w:val="left"/>
        <w:rPr>
          <w:rFonts w:hint="eastAsia" w:ascii="黑体" w:hAnsi="黑体" w:cs="宋体"/>
          <w:bCs/>
          <w:szCs w:val="21"/>
        </w:rPr>
      </w:pPr>
      <w:r>
        <w:rPr>
          <w:rFonts w:ascii="黑体" w:hAnsi="黑体" w:cs="宋体"/>
          <w:bCs/>
          <w:szCs w:val="21"/>
        </w:rPr>
        <w:t>5</w:t>
      </w:r>
      <w:r>
        <w:rPr>
          <w:rFonts w:hint="eastAsia" w:ascii="黑体" w:hAnsi="黑体" w:cs="宋体"/>
          <w:bCs/>
          <w:szCs w:val="21"/>
        </w:rPr>
        <w:t>、向投资者提供持续信息服务，包括但不限于以下方面：及时向投资者告知申赎理财产品的确认日期、确认份额和金额等信息；定期向投资者提供其所持有的理财产品基本信息；及时向投资者告知对其决策有重大影响的信息；</w:t>
      </w:r>
    </w:p>
    <w:p w14:paraId="56BE68FF">
      <w:pPr>
        <w:ind w:firstLine="420"/>
        <w:jc w:val="left"/>
        <w:rPr>
          <w:rFonts w:hint="eastAsia" w:ascii="黑体" w:hAnsi="黑体" w:cs="宋体"/>
          <w:bCs/>
          <w:szCs w:val="21"/>
        </w:rPr>
      </w:pPr>
      <w:r>
        <w:rPr>
          <w:rFonts w:ascii="黑体" w:hAnsi="黑体" w:cs="宋体"/>
          <w:bCs/>
          <w:szCs w:val="21"/>
        </w:rPr>
        <w:t>6</w:t>
      </w:r>
      <w:r>
        <w:rPr>
          <w:rFonts w:hint="eastAsia" w:ascii="黑体" w:hAnsi="黑体" w:cs="宋体"/>
          <w:bCs/>
          <w:szCs w:val="21"/>
        </w:rPr>
        <w:t>、充分了解面向特定对象销售的理财产品的投资者信息，收集、核验投资者金融资产证明、收入证明或纳税凭证等材料；</w:t>
      </w:r>
    </w:p>
    <w:p w14:paraId="0C6A2AE2">
      <w:pPr>
        <w:ind w:firstLine="420"/>
        <w:jc w:val="left"/>
        <w:rPr>
          <w:rFonts w:hint="eastAsia" w:ascii="黑体" w:hAnsi="黑体" w:cs="宋体"/>
          <w:bCs/>
          <w:szCs w:val="21"/>
        </w:rPr>
      </w:pPr>
      <w:r>
        <w:rPr>
          <w:rFonts w:ascii="黑体" w:hAnsi="黑体" w:cs="宋体"/>
          <w:bCs/>
          <w:szCs w:val="21"/>
        </w:rPr>
        <w:t>7</w:t>
      </w:r>
      <w:r>
        <w:rPr>
          <w:rFonts w:hint="eastAsia" w:ascii="黑体" w:hAnsi="黑体" w:cs="宋体"/>
          <w:bCs/>
          <w:szCs w:val="21"/>
        </w:rPr>
        <w:t>、根据反洗钱、反恐怖融资及非居民金融账户涉税信息尽职调查等相关法律法规要求识别客户身份；</w:t>
      </w:r>
    </w:p>
    <w:p w14:paraId="07ABA20D">
      <w:pPr>
        <w:ind w:firstLine="420"/>
        <w:jc w:val="left"/>
        <w:rPr>
          <w:rFonts w:hint="eastAsia" w:ascii="黑体" w:hAnsi="黑体" w:cs="宋体"/>
          <w:bCs/>
          <w:szCs w:val="21"/>
        </w:rPr>
      </w:pPr>
      <w:r>
        <w:rPr>
          <w:rFonts w:ascii="黑体" w:hAnsi="黑体" w:cs="宋体"/>
          <w:bCs/>
          <w:szCs w:val="21"/>
        </w:rPr>
        <w:t>8</w:t>
      </w:r>
      <w:r>
        <w:rPr>
          <w:rFonts w:hint="eastAsia" w:ascii="黑体" w:hAnsi="黑体" w:cs="宋体"/>
          <w:bCs/>
          <w:szCs w:val="21"/>
        </w:rPr>
        <w:t>、按照法律法规规定、理财产品销售文件约定办理理财产品的认（申）购、赎回，归集、划转理财产品销售结算资金，确保理财产品销售结算资金安全、及时划付。通过投资者指定账户办理理财产品认（申）购和赎回的款项收付，并将赎回、分红及认（申）购不成功的相应款项划入投资者指定账户，制作、留存款项收付的有效凭证；</w:t>
      </w:r>
    </w:p>
    <w:p w14:paraId="5CB26FF1">
      <w:pPr>
        <w:ind w:firstLine="420"/>
        <w:jc w:val="left"/>
        <w:rPr>
          <w:rFonts w:hint="eastAsia" w:ascii="黑体" w:hAnsi="黑体" w:cs="宋体"/>
          <w:bCs/>
          <w:szCs w:val="21"/>
        </w:rPr>
      </w:pPr>
      <w:r>
        <w:rPr>
          <w:rFonts w:ascii="黑体" w:hAnsi="黑体" w:cs="宋体"/>
          <w:bCs/>
          <w:szCs w:val="21"/>
        </w:rPr>
        <w:t>9、完整记录和保存销售业务活动信息，确保记录信息全面、准确和</w:t>
      </w:r>
      <w:r>
        <w:rPr>
          <w:rFonts w:hint="eastAsia" w:ascii="黑体" w:hAnsi="黑体" w:cs="宋体"/>
          <w:bCs/>
          <w:szCs w:val="21"/>
        </w:rPr>
        <w:t>不可篡改；</w:t>
      </w:r>
    </w:p>
    <w:p w14:paraId="03CAC915">
      <w:pPr>
        <w:ind w:firstLine="420"/>
        <w:jc w:val="left"/>
        <w:rPr>
          <w:rFonts w:hint="eastAsia" w:ascii="黑体" w:hAnsi="黑体" w:cs="宋体"/>
          <w:bCs/>
          <w:szCs w:val="21"/>
        </w:rPr>
      </w:pPr>
      <w:r>
        <w:rPr>
          <w:rFonts w:ascii="黑体" w:hAnsi="黑体" w:cs="宋体"/>
          <w:bCs/>
          <w:szCs w:val="21"/>
        </w:rPr>
        <w:t>10</w:t>
      </w:r>
      <w:r>
        <w:rPr>
          <w:rFonts w:hint="eastAsia" w:ascii="黑体" w:hAnsi="黑体" w:cs="宋体"/>
          <w:bCs/>
          <w:szCs w:val="21"/>
        </w:rPr>
        <w:t>、根据有关法律法规、监管规定和理财产品销售文件的要求，及时、充分披露本产品的相关信息；</w:t>
      </w:r>
    </w:p>
    <w:p w14:paraId="518512F7">
      <w:pPr>
        <w:ind w:firstLine="420"/>
        <w:jc w:val="left"/>
        <w:rPr>
          <w:rFonts w:hint="eastAsia" w:ascii="黑体" w:hAnsi="黑体" w:cs="宋体"/>
          <w:bCs/>
          <w:szCs w:val="21"/>
        </w:rPr>
      </w:pPr>
      <w:r>
        <w:rPr>
          <w:rFonts w:ascii="黑体" w:hAnsi="黑体" w:cs="宋体"/>
          <w:bCs/>
          <w:szCs w:val="21"/>
        </w:rPr>
        <w:t>11</w:t>
      </w:r>
      <w:r>
        <w:rPr>
          <w:rFonts w:hint="eastAsia" w:ascii="黑体" w:hAnsi="黑体" w:cs="宋体"/>
          <w:bCs/>
          <w:szCs w:val="21"/>
        </w:rPr>
        <w:t>、建立健全档案管理制度，妥善保管投资者理财产品销售相关资料，保管年限不得低于法规规定的年限；</w:t>
      </w:r>
    </w:p>
    <w:p w14:paraId="21A883F5">
      <w:pPr>
        <w:ind w:firstLine="420"/>
        <w:jc w:val="left"/>
        <w:rPr>
          <w:rFonts w:hint="eastAsia" w:ascii="黑体" w:hAnsi="黑体" w:cs="宋体"/>
          <w:szCs w:val="21"/>
        </w:rPr>
      </w:pPr>
      <w:r>
        <w:rPr>
          <w:rFonts w:ascii="黑体" w:hAnsi="黑体" w:cs="宋体"/>
          <w:bCs/>
          <w:szCs w:val="21"/>
        </w:rPr>
        <w:t>12</w:t>
      </w:r>
      <w:r>
        <w:rPr>
          <w:rFonts w:hint="eastAsia" w:ascii="黑体" w:hAnsi="黑体" w:cs="宋体"/>
          <w:bCs/>
          <w:szCs w:val="21"/>
        </w:rPr>
        <w:t>、法律、法规</w:t>
      </w:r>
      <w:r>
        <w:rPr>
          <w:rFonts w:ascii="黑体" w:hAnsi="黑体" w:cs="宋体"/>
          <w:bCs/>
          <w:szCs w:val="21"/>
        </w:rPr>
        <w:t>、</w:t>
      </w:r>
      <w:r>
        <w:rPr>
          <w:rFonts w:hint="eastAsia" w:ascii="黑体" w:hAnsi="黑体" w:cs="宋体"/>
          <w:bCs/>
          <w:szCs w:val="21"/>
        </w:rPr>
        <w:t>国务院银行业监督管理机构规定、理财产品销售文件约定的其他职责。</w:t>
      </w:r>
    </w:p>
    <w:p w14:paraId="244BE5D0">
      <w:pPr>
        <w:rPr>
          <w:rFonts w:hint="eastAsia" w:ascii="黑体" w:hAnsi="黑体" w:cs="宋体"/>
          <w:bCs/>
          <w:szCs w:val="21"/>
        </w:rPr>
      </w:pPr>
    </w:p>
    <w:p w14:paraId="0EBC1091">
      <w:pPr>
        <w:jc w:val="left"/>
        <w:rPr>
          <w:rFonts w:hint="eastAsia" w:ascii="黑体" w:hAnsi="黑体" w:cs="宋体"/>
          <w:b/>
          <w:szCs w:val="21"/>
        </w:rPr>
      </w:pPr>
      <w:r>
        <w:rPr>
          <w:rFonts w:hint="eastAsia" w:ascii="黑体" w:hAnsi="黑体" w:cs="宋体"/>
          <w:b/>
          <w:szCs w:val="21"/>
        </w:rPr>
        <w:t>（四）管理人与托管机构、销售机构的关联关系</w:t>
      </w:r>
    </w:p>
    <w:p w14:paraId="5FD44066">
      <w:pPr>
        <w:ind w:firstLine="422" w:firstLineChars="200"/>
        <w:jc w:val="left"/>
        <w:rPr>
          <w:rFonts w:hint="eastAsia" w:ascii="黑体" w:hAnsi="黑体" w:cs="宋体"/>
          <w:szCs w:val="21"/>
        </w:rPr>
      </w:pPr>
      <w:r>
        <w:rPr>
          <w:rFonts w:hint="eastAsia" w:ascii="黑体" w:hAnsi="黑体" w:cs="黑体"/>
          <w:b/>
          <w:szCs w:val="21"/>
        </w:rPr>
        <w:t>本产品托管机构宁波银行股份有限公司为管理人宁银理财有限责任公司的关联方。上述关联关系可能导致影响管理人独立决策的潜在风险，投资者已充分知悉并接受前述关联关系。</w:t>
      </w:r>
    </w:p>
    <w:p w14:paraId="09A9E165">
      <w:pPr>
        <w:jc w:val="left"/>
        <w:rPr>
          <w:rFonts w:hint="eastAsia" w:ascii="黑体" w:hAnsi="黑体" w:cs="宋体"/>
          <w:b/>
          <w:szCs w:val="21"/>
        </w:rPr>
      </w:pPr>
    </w:p>
    <w:p w14:paraId="75616F31">
      <w:pPr>
        <w:jc w:val="left"/>
        <w:rPr>
          <w:rFonts w:hint="eastAsia" w:ascii="黑体" w:hAnsi="黑体" w:cs="宋体"/>
          <w:szCs w:val="21"/>
        </w:rPr>
      </w:pPr>
      <w:r>
        <w:rPr>
          <w:rFonts w:hint="eastAsia" w:ascii="黑体" w:hAnsi="黑体" w:cs="宋体"/>
          <w:b/>
          <w:szCs w:val="21"/>
        </w:rPr>
        <w:t>九、投资合作机构</w:t>
      </w:r>
    </w:p>
    <w:p w14:paraId="76273E95">
      <w:pPr>
        <w:ind w:firstLine="420"/>
        <w:jc w:val="left"/>
        <w:rPr>
          <w:rFonts w:hint="eastAsia" w:ascii="黑体" w:hAnsi="黑体" w:cs="黑体"/>
          <w:szCs w:val="21"/>
        </w:rPr>
      </w:pPr>
      <w:r>
        <w:rPr>
          <w:rFonts w:hint="eastAsia" w:ascii="黑体" w:hAnsi="黑体" w:cs="黑体"/>
          <w:szCs w:val="21"/>
        </w:rPr>
        <w:t>投资合作机构的主要职责为进行受托资金的投资管理，根据合同约定从事受托投资或提供投资顾问等服务，具体职责以产品管理人与投资合作机构签署的合同为准。</w:t>
      </w:r>
    </w:p>
    <w:p w14:paraId="382321D3">
      <w:pPr>
        <w:ind w:firstLine="422"/>
        <w:jc w:val="left"/>
        <w:rPr>
          <w:rFonts w:hint="eastAsia" w:ascii="黑体" w:hAnsi="黑体" w:cs="黑体"/>
          <w:b/>
          <w:bCs/>
          <w:szCs w:val="21"/>
        </w:rPr>
      </w:pPr>
    </w:p>
    <w:p w14:paraId="628D108F">
      <w:pPr>
        <w:jc w:val="left"/>
        <w:rPr>
          <w:rFonts w:hint="eastAsia" w:ascii="黑体" w:hAnsi="黑体" w:cs="宋体"/>
          <w:b/>
          <w:szCs w:val="21"/>
        </w:rPr>
      </w:pPr>
      <w:r>
        <w:rPr>
          <w:rFonts w:hint="eastAsia" w:ascii="黑体" w:hAnsi="黑体" w:cs="宋体"/>
          <w:b/>
          <w:szCs w:val="21"/>
        </w:rPr>
        <w:t>十、信息披露</w:t>
      </w:r>
    </w:p>
    <w:p w14:paraId="31796B80">
      <w:pPr>
        <w:jc w:val="left"/>
        <w:rPr>
          <w:rFonts w:hint="eastAsia" w:ascii="黑体" w:hAnsi="黑体" w:cs="宋体"/>
          <w:szCs w:val="21"/>
        </w:rPr>
      </w:pPr>
      <w:r>
        <w:rPr>
          <w:rFonts w:hint="eastAsia" w:ascii="黑体" w:hAnsi="黑体" w:cs="宋体"/>
          <w:szCs w:val="21"/>
        </w:rPr>
        <w:t>（一</w:t>
      </w:r>
      <w:r>
        <w:rPr>
          <w:rFonts w:ascii="黑体" w:hAnsi="黑体" w:cs="宋体"/>
          <w:szCs w:val="21"/>
        </w:rPr>
        <w:t>）信息披露内容</w:t>
      </w:r>
    </w:p>
    <w:p w14:paraId="7C006614">
      <w:pPr>
        <w:pStyle w:val="189"/>
        <w:ind w:firstLine="420"/>
        <w:rPr>
          <w:rFonts w:hint="eastAsia"/>
        </w:rPr>
      </w:pPr>
      <w:r>
        <w:t>产品管理人将于产品募集期间、存续期间和终止时，</w:t>
      </w:r>
      <w:r>
        <w:rPr>
          <w:rFonts w:hint="eastAsia"/>
        </w:rPr>
        <w:t>通过</w:t>
      </w:r>
      <w:r>
        <w:rPr>
          <w:rFonts w:cs="黑体"/>
        </w:rPr>
        <w:t>行业统一信息披露平台（中国理财网）、</w:t>
      </w:r>
      <w:r>
        <w:rPr>
          <w:rFonts w:hint="eastAsia"/>
        </w:rPr>
        <w:t>宁银理财官网（</w:t>
      </w:r>
      <w:r>
        <w:t>www.wmbnb.com)、宁银理财相关产品代理销售机构官方渠道或其他适当的方式披露以下产品信息：</w:t>
      </w:r>
    </w:p>
    <w:p w14:paraId="458E55EA">
      <w:pPr>
        <w:ind w:firstLine="420"/>
        <w:jc w:val="left"/>
        <w:rPr>
          <w:rFonts w:hint="eastAsia" w:ascii="黑体" w:hAnsi="黑体" w:cs="宋体"/>
          <w:szCs w:val="21"/>
        </w:rPr>
      </w:pPr>
      <w:r>
        <w:rPr>
          <w:rFonts w:ascii="黑体" w:hAnsi="黑体" w:cs="宋体"/>
          <w:szCs w:val="21"/>
        </w:rPr>
        <w:t>1、</w:t>
      </w:r>
      <w:r>
        <w:rPr>
          <w:rFonts w:hint="eastAsia" w:ascii="黑体" w:hAnsi="黑体" w:cs="宋体"/>
          <w:szCs w:val="21"/>
        </w:rPr>
        <w:t>理财产品销售文件，包括《理财产品说明书》、《风险揭示书》、</w:t>
      </w:r>
      <w:r>
        <w:rPr>
          <w:rFonts w:hint="eastAsia" w:ascii="黑体" w:hAnsi="黑体" w:cs="黑体"/>
          <w:szCs w:val="21"/>
        </w:rPr>
        <w:t>《销售（代理销售）协议书》</w:t>
      </w:r>
      <w:r>
        <w:rPr>
          <w:rFonts w:hint="eastAsia" w:ascii="黑体" w:hAnsi="黑体" w:cs="宋体"/>
          <w:szCs w:val="21"/>
        </w:rPr>
        <w:t>、《投资协议书》和《投资者权益须知》等有关文件，以及对以上文件的有效修改或补充；</w:t>
      </w:r>
    </w:p>
    <w:p w14:paraId="5A797216">
      <w:pPr>
        <w:ind w:firstLine="420"/>
        <w:jc w:val="left"/>
        <w:rPr>
          <w:rFonts w:hint="eastAsia" w:ascii="黑体" w:hAnsi="黑体" w:cs="宋体"/>
          <w:szCs w:val="21"/>
        </w:rPr>
      </w:pPr>
      <w:r>
        <w:rPr>
          <w:rFonts w:hint="eastAsia" w:ascii="黑体" w:hAnsi="黑体" w:cs="宋体"/>
          <w:szCs w:val="21"/>
        </w:rPr>
        <w:t>2、发行公告，包括本产品成立日期和募集规模等信息，产品管理人将在本理财产品成立后5个工作日内披露产品发行公告；</w:t>
      </w:r>
    </w:p>
    <w:p w14:paraId="235E1E1B">
      <w:pPr>
        <w:ind w:firstLine="420"/>
        <w:rPr>
          <w:rFonts w:hint="eastAsia" w:ascii="黑体" w:hAnsi="黑体" w:cs="黑体"/>
          <w:szCs w:val="21"/>
        </w:rPr>
      </w:pPr>
      <w:r>
        <w:rPr>
          <w:rFonts w:hint="eastAsia" w:ascii="黑体" w:hAnsi="黑体" w:cs="宋体"/>
          <w:szCs w:val="21"/>
        </w:rPr>
        <w:t>3、定期报告，包括</w:t>
      </w:r>
      <w:r>
        <w:rPr>
          <w:rFonts w:hint="eastAsia" w:ascii="黑体" w:hAnsi="黑体" w:cs="黑体"/>
          <w:szCs w:val="21"/>
        </w:rPr>
        <w:t>：</w:t>
      </w:r>
    </w:p>
    <w:p w14:paraId="6CB5C726">
      <w:pPr>
        <w:ind w:firstLine="420"/>
        <w:rPr>
          <w:rFonts w:hint="eastAsia" w:ascii="黑体" w:hAnsi="黑体" w:cs="黑体"/>
          <w:szCs w:val="21"/>
        </w:rPr>
      </w:pPr>
      <w:r>
        <w:rPr>
          <w:rFonts w:hint="eastAsia" w:ascii="黑体" w:hAnsi="黑体" w:cs="黑体"/>
          <w:szCs w:val="21"/>
        </w:rPr>
        <w:t>（1）产品存续规模、杠杆水平等。</w:t>
      </w:r>
    </w:p>
    <w:p w14:paraId="14A5F8BD">
      <w:pPr>
        <w:ind w:firstLine="420"/>
        <w:rPr>
          <w:rFonts w:hint="eastAsia" w:ascii="黑体" w:hAnsi="黑体" w:cs="黑体"/>
          <w:szCs w:val="21"/>
        </w:rPr>
      </w:pPr>
      <w:r>
        <w:rPr>
          <w:rFonts w:hint="eastAsia" w:ascii="黑体" w:hAnsi="黑体" w:cs="黑体"/>
          <w:szCs w:val="21"/>
        </w:rPr>
        <w:t>（2）本报告期期末的产品份额净值、份额累计净值和资产净值，本报告期收益表现情况、收益分配情况。</w:t>
      </w:r>
    </w:p>
    <w:p w14:paraId="3E442EEC">
      <w:pPr>
        <w:ind w:firstLine="420"/>
        <w:rPr>
          <w:rFonts w:hint="eastAsia" w:ascii="黑体" w:hAnsi="黑体" w:cs="黑体"/>
          <w:szCs w:val="21"/>
        </w:rPr>
      </w:pPr>
      <w:r>
        <w:rPr>
          <w:rFonts w:hint="eastAsia" w:ascii="黑体" w:hAnsi="黑体" w:cs="黑体"/>
          <w:szCs w:val="21"/>
        </w:rPr>
        <w:t>（3）产品投资账户信息。</w:t>
      </w:r>
    </w:p>
    <w:p w14:paraId="58C8D96B">
      <w:pPr>
        <w:ind w:firstLine="420"/>
        <w:rPr>
          <w:rFonts w:hint="eastAsia" w:ascii="黑体" w:hAnsi="黑体" w:cs="黑体"/>
          <w:szCs w:val="21"/>
        </w:rPr>
      </w:pPr>
      <w:r>
        <w:rPr>
          <w:rFonts w:hint="eastAsia" w:ascii="黑体" w:hAnsi="黑体" w:cs="黑体"/>
          <w:szCs w:val="21"/>
        </w:rPr>
        <w:t>（4）产品主要投资资产情况，包括穿透前和穿透后的资产种类、投资比例等信息。</w:t>
      </w:r>
    </w:p>
    <w:p w14:paraId="2C49B4DD">
      <w:pPr>
        <w:ind w:firstLine="420"/>
        <w:rPr>
          <w:rFonts w:hint="eastAsia" w:ascii="黑体" w:hAnsi="黑体" w:cs="黑体"/>
          <w:szCs w:val="21"/>
        </w:rPr>
      </w:pPr>
      <w:r>
        <w:rPr>
          <w:rFonts w:hint="eastAsia" w:ascii="黑体" w:hAnsi="黑体" w:cs="黑体"/>
          <w:szCs w:val="21"/>
        </w:rPr>
        <w:t>（5）相关投资风险。</w:t>
      </w:r>
    </w:p>
    <w:p w14:paraId="22AC57B5">
      <w:pPr>
        <w:ind w:firstLine="420"/>
        <w:rPr>
          <w:rFonts w:hint="eastAsia" w:ascii="黑体" w:hAnsi="黑体" w:cs="黑体"/>
          <w:szCs w:val="21"/>
        </w:rPr>
      </w:pPr>
      <w:r>
        <w:rPr>
          <w:rFonts w:hint="eastAsia" w:ascii="黑体" w:hAnsi="黑体" w:cs="黑体"/>
          <w:szCs w:val="21"/>
        </w:rPr>
        <w:t>（6）本报告期产品投资产品管理人、托管机构，及其控股股东、实际控制人、与其有其他重大利害关系的公司发行或者承销期内承销的证券，或者从事其他重大关联交易的情况。</w:t>
      </w:r>
    </w:p>
    <w:p w14:paraId="48AD70ED">
      <w:pPr>
        <w:ind w:firstLine="420"/>
        <w:rPr>
          <w:rFonts w:hint="eastAsia" w:ascii="黑体" w:hAnsi="黑体" w:cs="黑体"/>
          <w:szCs w:val="21"/>
        </w:rPr>
      </w:pPr>
      <w:r>
        <w:rPr>
          <w:rFonts w:hint="eastAsia" w:ascii="黑体" w:hAnsi="黑体" w:cs="黑体"/>
          <w:szCs w:val="21"/>
        </w:rPr>
        <w:t>（7）产品的年度报告（附产品的财务会计报告）。其中，产品按照监管规定需要进行单独外部审计的，其年度报告所附的财务会计报告应当经外部审计，并同时披露外部审计意见。</w:t>
      </w:r>
    </w:p>
    <w:p w14:paraId="40D21A73">
      <w:pPr>
        <w:ind w:firstLine="420"/>
        <w:rPr>
          <w:rFonts w:hint="eastAsia" w:ascii="黑体" w:hAnsi="黑体" w:cs="黑体"/>
          <w:szCs w:val="21"/>
        </w:rPr>
      </w:pPr>
      <w:r>
        <w:rPr>
          <w:rFonts w:hint="eastAsia" w:ascii="黑体" w:hAnsi="黑体" w:cs="黑体"/>
          <w:szCs w:val="21"/>
        </w:rPr>
        <w:t>（8）法律法规以及国家金融监督管理总局规定的其他内容。</w:t>
      </w:r>
    </w:p>
    <w:p w14:paraId="574D8C43">
      <w:pPr>
        <w:ind w:firstLine="420"/>
        <w:rPr>
          <w:rFonts w:hint="eastAsia" w:ascii="黑体" w:hAnsi="黑体" w:cs="黑体"/>
          <w:szCs w:val="21"/>
        </w:rPr>
      </w:pPr>
      <w:r>
        <w:rPr>
          <w:rFonts w:hint="eastAsia" w:ascii="黑体" w:hAnsi="黑体" w:cs="黑体"/>
          <w:szCs w:val="21"/>
        </w:rPr>
        <w:t>产品管理人将在每个季度结束之日起15个工作日内披露本理财产品的季度报告，每年8月3</w:t>
      </w:r>
      <w:r>
        <w:rPr>
          <w:rFonts w:ascii="黑体" w:hAnsi="黑体" w:cs="黑体"/>
          <w:szCs w:val="21"/>
        </w:rPr>
        <w:t>1</w:t>
      </w:r>
      <w:r>
        <w:rPr>
          <w:rFonts w:hint="eastAsia" w:ascii="黑体" w:hAnsi="黑体" w:cs="黑体"/>
          <w:szCs w:val="21"/>
        </w:rPr>
        <w:t>前披露本理财产品的半年度报告，每年4月3</w:t>
      </w:r>
      <w:r>
        <w:rPr>
          <w:rFonts w:ascii="黑体" w:hAnsi="黑体" w:cs="黑体"/>
          <w:szCs w:val="21"/>
        </w:rPr>
        <w:t>0</w:t>
      </w:r>
      <w:r>
        <w:rPr>
          <w:rFonts w:hint="eastAsia" w:ascii="黑体" w:hAnsi="黑体" w:cs="黑体"/>
          <w:szCs w:val="21"/>
        </w:rPr>
        <w:t>日前披露本理财产品的上一年度年度报告。如果本理财产品成立不足90个自然日的，可以不编制当期的季度、半年度和年度报告。本理财产品剩余存续期不足完整报告期，且到期公告包括对应定期报告内容的，产品管理人可以不编制剩余存续期所对应的季度、半年度和年度报告。</w:t>
      </w:r>
    </w:p>
    <w:p w14:paraId="53F3934D">
      <w:pPr>
        <w:ind w:firstLine="420"/>
        <w:jc w:val="left"/>
        <w:rPr>
          <w:rFonts w:hint="eastAsia" w:ascii="黑体" w:hAnsi="黑体" w:cs="宋体"/>
          <w:szCs w:val="21"/>
        </w:rPr>
      </w:pPr>
      <w:r>
        <w:rPr>
          <w:rFonts w:hint="eastAsia" w:ascii="黑体" w:hAnsi="黑体" w:cs="宋体"/>
          <w:szCs w:val="21"/>
        </w:rPr>
        <w:t>4、到期公告，包括本产品的存续期限、终止日期、收费情况和收益分配情况等信息，产品管理人将在本理财产品终止后5个工作日内披露产品到期公告；</w:t>
      </w:r>
    </w:p>
    <w:p w14:paraId="55312B9C">
      <w:pPr>
        <w:ind w:firstLine="420"/>
        <w:jc w:val="left"/>
        <w:rPr>
          <w:rFonts w:hint="eastAsia" w:ascii="黑体" w:hAnsi="黑体" w:cs="宋体"/>
          <w:szCs w:val="21"/>
        </w:rPr>
      </w:pPr>
      <w:r>
        <w:rPr>
          <w:rFonts w:hint="eastAsia" w:ascii="黑体" w:hAnsi="黑体" w:cs="宋体"/>
          <w:szCs w:val="21"/>
        </w:rPr>
        <w:t>5、重大事项公告；</w:t>
      </w:r>
    </w:p>
    <w:p w14:paraId="33E2ABC2">
      <w:pPr>
        <w:ind w:firstLine="420"/>
        <w:jc w:val="left"/>
        <w:rPr>
          <w:rFonts w:hint="eastAsia" w:ascii="黑体" w:hAnsi="黑体" w:cs="宋体"/>
          <w:szCs w:val="21"/>
        </w:rPr>
      </w:pPr>
      <w:r>
        <w:rPr>
          <w:rFonts w:hint="eastAsia" w:ascii="黑体" w:hAnsi="黑体" w:cs="宋体"/>
          <w:szCs w:val="21"/>
        </w:rPr>
        <w:t>6、临时性信息披露；</w:t>
      </w:r>
    </w:p>
    <w:p w14:paraId="7FD8929D">
      <w:pPr>
        <w:ind w:firstLine="420"/>
        <w:jc w:val="left"/>
        <w:rPr>
          <w:rFonts w:hint="eastAsia" w:ascii="黑体" w:hAnsi="黑体" w:cs="宋体"/>
          <w:szCs w:val="21"/>
        </w:rPr>
      </w:pPr>
      <w:r>
        <w:rPr>
          <w:rFonts w:hint="eastAsia" w:ascii="黑体" w:hAnsi="黑体" w:cs="宋体"/>
          <w:szCs w:val="21"/>
        </w:rPr>
        <w:t>7、国务院银行业监督管理机构规定的其他信息；</w:t>
      </w:r>
    </w:p>
    <w:p w14:paraId="378FF38A">
      <w:pPr>
        <w:ind w:firstLine="420"/>
        <w:jc w:val="left"/>
        <w:rPr>
          <w:rFonts w:hint="eastAsia" w:ascii="黑体" w:hAnsi="黑体" w:cs="宋体"/>
          <w:szCs w:val="21"/>
        </w:rPr>
      </w:pPr>
      <w:r>
        <w:rPr>
          <w:rFonts w:hint="eastAsia" w:ascii="黑体" w:hAnsi="黑体" w:cs="宋体"/>
          <w:szCs w:val="21"/>
        </w:rPr>
        <w:t>8、产品管理人认为需要披露的其他信息。</w:t>
      </w:r>
    </w:p>
    <w:p w14:paraId="53933A4D">
      <w:pPr>
        <w:jc w:val="left"/>
        <w:rPr>
          <w:rFonts w:hint="eastAsia" w:ascii="黑体" w:hAnsi="黑体" w:cs="宋体"/>
          <w:b/>
          <w:szCs w:val="21"/>
        </w:rPr>
      </w:pPr>
      <w:r>
        <w:rPr>
          <w:rFonts w:hint="eastAsia" w:ascii="黑体" w:hAnsi="黑体" w:cs="宋体"/>
          <w:b/>
          <w:szCs w:val="21"/>
        </w:rPr>
        <w:t>（二</w:t>
      </w:r>
      <w:r>
        <w:rPr>
          <w:rFonts w:ascii="黑体" w:hAnsi="黑体" w:cs="宋体"/>
          <w:b/>
          <w:szCs w:val="21"/>
        </w:rPr>
        <w:t>）</w:t>
      </w:r>
      <w:r>
        <w:rPr>
          <w:rFonts w:hint="eastAsia" w:ascii="黑体" w:hAnsi="黑体" w:cs="宋体"/>
          <w:b/>
          <w:szCs w:val="21"/>
        </w:rPr>
        <w:t>投资者同意，产品管理人或销售</w:t>
      </w:r>
      <w:r>
        <w:rPr>
          <w:rFonts w:ascii="黑体" w:hAnsi="黑体" w:cs="宋体"/>
          <w:b/>
          <w:szCs w:val="21"/>
        </w:rPr>
        <w:t>机构</w:t>
      </w:r>
      <w:r>
        <w:rPr>
          <w:rFonts w:hint="eastAsia" w:ascii="黑体" w:hAnsi="黑体" w:cs="宋体"/>
          <w:b/>
          <w:szCs w:val="21"/>
        </w:rPr>
        <w:t>通过</w:t>
      </w:r>
      <w:r>
        <w:rPr>
          <w:rFonts w:ascii="黑体" w:hAnsi="黑体" w:cs="宋体"/>
          <w:b/>
          <w:szCs w:val="21"/>
        </w:rPr>
        <w:t>上述</w:t>
      </w:r>
      <w:r>
        <w:rPr>
          <w:rFonts w:hint="eastAsia" w:ascii="黑体" w:hAnsi="黑体" w:cs="宋体"/>
          <w:b/>
          <w:szCs w:val="21"/>
        </w:rPr>
        <w:t>方式及</w:t>
      </w:r>
      <w:r>
        <w:rPr>
          <w:rFonts w:ascii="黑体" w:hAnsi="黑体" w:cs="宋体"/>
          <w:b/>
          <w:szCs w:val="21"/>
        </w:rPr>
        <w:t>频率</w:t>
      </w:r>
      <w:r>
        <w:rPr>
          <w:rFonts w:hint="eastAsia" w:ascii="黑体" w:hAnsi="黑体" w:cs="宋体"/>
          <w:b/>
          <w:szCs w:val="21"/>
        </w:rPr>
        <w:t>进行信息披露，</w:t>
      </w:r>
      <w:r>
        <w:rPr>
          <w:rFonts w:ascii="黑体" w:hAnsi="黑体" w:cs="宋体"/>
          <w:b/>
          <w:szCs w:val="21"/>
        </w:rPr>
        <w:t>视为完全履行信息</w:t>
      </w:r>
      <w:r>
        <w:rPr>
          <w:rFonts w:hint="eastAsia" w:ascii="黑体" w:hAnsi="黑体" w:cs="宋体"/>
          <w:b/>
          <w:szCs w:val="21"/>
        </w:rPr>
        <w:t>披露</w:t>
      </w:r>
      <w:r>
        <w:rPr>
          <w:rFonts w:ascii="黑体" w:hAnsi="黑体" w:cs="宋体"/>
          <w:b/>
          <w:szCs w:val="21"/>
        </w:rPr>
        <w:t>义务</w:t>
      </w:r>
      <w:r>
        <w:rPr>
          <w:rFonts w:hint="eastAsia" w:ascii="黑体" w:hAnsi="黑体" w:cs="宋体"/>
          <w:b/>
          <w:szCs w:val="21"/>
        </w:rPr>
        <w:t>，如果投资者未及时查询，或由于通讯故障、非产品管理人原因的系统故障以及其他不可抗力等因素的影响</w:t>
      </w:r>
      <w:r>
        <w:rPr>
          <w:rFonts w:ascii="黑体" w:hAnsi="黑体" w:cs="宋体"/>
          <w:b/>
          <w:szCs w:val="21"/>
        </w:rPr>
        <w:t>,致使投资者无法及时了解产品信息，因此而产生的（包括但不限于因未及时获知信息而错过资金使用和再投资的机会等）全部责任和风险，由投资者自行承担。</w:t>
      </w:r>
    </w:p>
    <w:p w14:paraId="160EAC37">
      <w:pPr>
        <w:ind w:firstLine="420"/>
        <w:jc w:val="left"/>
        <w:rPr>
          <w:rFonts w:hint="eastAsia" w:ascii="黑体" w:hAnsi="黑体" w:cs="宋体"/>
          <w:szCs w:val="21"/>
        </w:rPr>
      </w:pPr>
    </w:p>
    <w:p w14:paraId="023220F2">
      <w:pPr>
        <w:jc w:val="left"/>
        <w:rPr>
          <w:rFonts w:hint="eastAsia" w:ascii="黑体" w:hAnsi="黑体" w:cs="黑体"/>
          <w:b/>
          <w:szCs w:val="21"/>
        </w:rPr>
      </w:pPr>
      <w:r>
        <w:rPr>
          <w:rFonts w:hint="eastAsia" w:ascii="黑体" w:hAnsi="黑体" w:cs="黑体"/>
          <w:b/>
          <w:szCs w:val="21"/>
        </w:rPr>
        <w:t>十一、特别提示</w:t>
      </w:r>
    </w:p>
    <w:p w14:paraId="2E21BC23">
      <w:pPr>
        <w:ind w:firstLine="422"/>
        <w:jc w:val="left"/>
        <w:rPr>
          <w:rFonts w:hint="eastAsia" w:ascii="黑体" w:hAnsi="黑体" w:cs="宋体"/>
          <w:b/>
          <w:szCs w:val="21"/>
        </w:rPr>
      </w:pPr>
      <w:r>
        <w:rPr>
          <w:rFonts w:hint="eastAsia" w:ascii="黑体" w:hAnsi="黑体" w:cs="宋体"/>
          <w:b/>
          <w:szCs w:val="21"/>
        </w:rPr>
        <w:t>1、本产品业绩比较基准、产品的过往业绩仅供投资者参考，并不作为产品管理人向投资者支付本产品本金</w:t>
      </w:r>
      <w:r>
        <w:rPr>
          <w:rFonts w:ascii="黑体" w:hAnsi="黑体" w:cs="宋体"/>
          <w:b/>
          <w:szCs w:val="21"/>
        </w:rPr>
        <w:t>或</w:t>
      </w:r>
      <w:r>
        <w:rPr>
          <w:rFonts w:hint="eastAsia" w:ascii="黑体" w:hAnsi="黑体" w:cs="宋体"/>
          <w:b/>
          <w:szCs w:val="21"/>
        </w:rPr>
        <w:t>收益的承诺；投资者所能获得的最终收益以产品实际</w:t>
      </w:r>
      <w:r>
        <w:rPr>
          <w:rFonts w:ascii="黑体" w:hAnsi="黑体" w:cs="宋体"/>
          <w:b/>
          <w:szCs w:val="21"/>
        </w:rPr>
        <w:t>情况</w:t>
      </w:r>
      <w:r>
        <w:rPr>
          <w:rFonts w:hint="eastAsia" w:ascii="黑体" w:hAnsi="黑体" w:cs="宋体"/>
          <w:b/>
          <w:szCs w:val="21"/>
        </w:rPr>
        <w:t>为准。</w:t>
      </w:r>
    </w:p>
    <w:p w14:paraId="7BE84B62">
      <w:pPr>
        <w:ind w:firstLine="422"/>
        <w:jc w:val="left"/>
        <w:rPr>
          <w:rFonts w:hint="eastAsia" w:ascii="黑体" w:hAnsi="黑体" w:cs="宋体"/>
          <w:b/>
          <w:szCs w:val="21"/>
        </w:rPr>
      </w:pPr>
      <w:r>
        <w:rPr>
          <w:rFonts w:ascii="黑体" w:hAnsi="黑体" w:cs="宋体"/>
          <w:b/>
          <w:szCs w:val="21"/>
        </w:rPr>
        <w:t>2</w:t>
      </w:r>
      <w:r>
        <w:rPr>
          <w:rFonts w:hint="eastAsia" w:ascii="黑体" w:hAnsi="黑体" w:cs="宋体"/>
          <w:b/>
          <w:szCs w:val="21"/>
        </w:rPr>
        <w:t>、投资者在投资前，请仔细阅读本说明书，并作出独立的投资决策。</w:t>
      </w:r>
    </w:p>
    <w:p w14:paraId="7176C8DA">
      <w:pPr>
        <w:ind w:firstLine="422"/>
        <w:jc w:val="left"/>
        <w:rPr>
          <w:rFonts w:hint="eastAsia" w:ascii="黑体" w:hAnsi="黑体" w:cs="宋体"/>
          <w:b/>
          <w:szCs w:val="21"/>
        </w:rPr>
      </w:pPr>
      <w:r>
        <w:rPr>
          <w:rFonts w:ascii="黑体" w:hAnsi="黑体" w:cs="宋体"/>
          <w:b/>
          <w:szCs w:val="21"/>
        </w:rPr>
        <w:t>3、产品管理人</w:t>
      </w:r>
      <w:r>
        <w:rPr>
          <w:rFonts w:hint="eastAsia" w:ascii="黑体" w:hAnsi="黑体" w:cs="宋体"/>
          <w:b/>
          <w:szCs w:val="21"/>
        </w:rPr>
        <w:t>将恪守勤勉尽责的原则，合理配置资产组合，为投资者提供专业化的理财服务。</w:t>
      </w:r>
    </w:p>
    <w:p w14:paraId="77DDADD5">
      <w:pPr>
        <w:ind w:firstLine="422"/>
        <w:jc w:val="left"/>
        <w:rPr>
          <w:rFonts w:hint="eastAsia" w:ascii="黑体" w:hAnsi="黑体" w:cs="宋体"/>
          <w:b/>
          <w:szCs w:val="21"/>
        </w:rPr>
      </w:pPr>
      <w:r>
        <w:rPr>
          <w:rFonts w:ascii="黑体" w:hAnsi="黑体" w:cs="宋体"/>
          <w:b/>
          <w:szCs w:val="21"/>
        </w:rPr>
        <w:t>4</w:t>
      </w:r>
      <w:r>
        <w:rPr>
          <w:rFonts w:hint="eastAsia" w:ascii="黑体" w:hAnsi="黑体" w:cs="宋体"/>
          <w:b/>
          <w:szCs w:val="21"/>
        </w:rPr>
        <w:t>、投资者应密切关注产品管理人或</w:t>
      </w:r>
      <w:r>
        <w:rPr>
          <w:rFonts w:ascii="黑体" w:hAnsi="黑体" w:cs="宋体"/>
          <w:b/>
          <w:szCs w:val="21"/>
        </w:rPr>
        <w:t>销售机构发布的</w:t>
      </w:r>
      <w:r>
        <w:rPr>
          <w:rFonts w:hint="eastAsia" w:ascii="黑体" w:hAnsi="黑体" w:cs="宋体"/>
          <w:b/>
          <w:szCs w:val="21"/>
        </w:rPr>
        <w:t>与本产品有关的信息披露公告，以免造成不必要的损失。</w:t>
      </w:r>
    </w:p>
    <w:p w14:paraId="14CA4F3D">
      <w:pPr>
        <w:pStyle w:val="188"/>
        <w:rPr>
          <w:rFonts w:hint="eastAsia"/>
        </w:rPr>
      </w:pPr>
      <w:r>
        <w:t>5、其他：</w:t>
      </w:r>
      <w:r>
        <w:rPr>
          <w:rFonts w:hint="eastAsia"/>
        </w:rPr>
        <w:t>无。</w:t>
      </w:r>
    </w:p>
    <w:p w14:paraId="77B55AD5">
      <w:pPr>
        <w:pStyle w:val="189"/>
        <w:rPr>
          <w:rFonts w:hint="eastAsia"/>
        </w:rPr>
      </w:pPr>
    </w:p>
    <w:p w14:paraId="73389E2A">
      <w:pPr>
        <w:jc w:val="left"/>
        <w:rPr>
          <w:rFonts w:hint="eastAsia" w:ascii="黑体" w:hAnsi="黑体"/>
          <w:b/>
          <w:szCs w:val="21"/>
        </w:rPr>
      </w:pPr>
      <w:r>
        <w:rPr>
          <w:rFonts w:hint="eastAsia" w:ascii="黑体" w:hAnsi="黑体"/>
          <w:b/>
          <w:szCs w:val="21"/>
        </w:rPr>
        <w:t>十二、其他</w:t>
      </w:r>
    </w:p>
    <w:p w14:paraId="38830493">
      <w:pPr>
        <w:ind w:firstLine="422"/>
        <w:jc w:val="left"/>
        <w:rPr>
          <w:rFonts w:hint="eastAsia" w:ascii="黑体" w:hAnsi="黑体"/>
          <w:b/>
          <w:szCs w:val="21"/>
        </w:rPr>
      </w:pPr>
      <w:r>
        <w:rPr>
          <w:rFonts w:ascii="黑体" w:hAnsi="黑体"/>
          <w:b/>
          <w:szCs w:val="21"/>
        </w:rPr>
        <w:t>1、除产品管理人</w:t>
      </w:r>
      <w:r>
        <w:rPr>
          <w:rFonts w:hint="eastAsia" w:ascii="黑体" w:hAnsi="黑体"/>
          <w:b/>
          <w:szCs w:val="21"/>
        </w:rPr>
        <w:t>同意外</w:t>
      </w:r>
      <w:r>
        <w:rPr>
          <w:rFonts w:ascii="黑体" w:hAnsi="黑体"/>
          <w:b/>
          <w:szCs w:val="21"/>
        </w:rPr>
        <w:t>，本产品</w:t>
      </w:r>
      <w:r>
        <w:rPr>
          <w:rFonts w:hint="eastAsia" w:ascii="黑体" w:hAnsi="黑体"/>
          <w:b/>
          <w:szCs w:val="21"/>
        </w:rPr>
        <w:t>不</w:t>
      </w:r>
      <w:r>
        <w:rPr>
          <w:rFonts w:ascii="黑体" w:hAnsi="黑体"/>
          <w:b/>
          <w:szCs w:val="21"/>
        </w:rPr>
        <w:t>允许</w:t>
      </w:r>
      <w:r>
        <w:rPr>
          <w:rFonts w:hint="eastAsia" w:ascii="黑体" w:hAnsi="黑体"/>
          <w:b/>
          <w:szCs w:val="21"/>
        </w:rPr>
        <w:t>投资者办理</w:t>
      </w:r>
      <w:r>
        <w:rPr>
          <w:rFonts w:ascii="黑体" w:hAnsi="黑体"/>
          <w:b/>
          <w:szCs w:val="21"/>
        </w:rPr>
        <w:t>提前赎回</w:t>
      </w:r>
      <w:r>
        <w:rPr>
          <w:rFonts w:hint="eastAsia" w:ascii="黑体" w:hAnsi="黑体"/>
          <w:b/>
          <w:szCs w:val="21"/>
        </w:rPr>
        <w:t>。</w:t>
      </w:r>
    </w:p>
    <w:p w14:paraId="17D9B1E7">
      <w:pPr>
        <w:pStyle w:val="188"/>
        <w:rPr>
          <w:rFonts w:hint="eastAsia"/>
        </w:rPr>
      </w:pPr>
      <w:r>
        <w:t xml:space="preserve">    2、其他：</w:t>
      </w:r>
      <w:r>
        <w:rPr>
          <w:rFonts w:hint="eastAsia"/>
        </w:rPr>
        <w:t>无。</w:t>
      </w:r>
    </w:p>
    <w:p w14:paraId="616C40CC">
      <w:pPr>
        <w:ind w:firstLine="420"/>
        <w:jc w:val="left"/>
        <w:rPr>
          <w:rFonts w:hint="eastAsia" w:ascii="黑体" w:hAnsi="黑体"/>
          <w:szCs w:val="21"/>
        </w:rPr>
      </w:pPr>
    </w:p>
    <w:p w14:paraId="3549EF62">
      <w:pPr>
        <w:ind w:firstLine="422"/>
        <w:rPr>
          <w:rFonts w:hint="eastAsia" w:ascii="黑体" w:hAnsi="黑体"/>
          <w:b/>
          <w:szCs w:val="21"/>
        </w:rPr>
      </w:pPr>
      <w:r>
        <w:rPr>
          <w:rFonts w:hint="eastAsia" w:ascii="黑体" w:hAnsi="黑体"/>
          <w:b/>
          <w:szCs w:val="21"/>
        </w:rPr>
        <w:t>以下内容由投资者确认并</w:t>
      </w:r>
      <w:r>
        <w:rPr>
          <w:rFonts w:ascii="黑体" w:hAnsi="黑体"/>
          <w:b/>
          <w:szCs w:val="21"/>
        </w:rPr>
        <w:t>签字</w:t>
      </w:r>
      <w:r>
        <w:rPr>
          <w:rFonts w:hint="eastAsia" w:ascii="黑体" w:hAnsi="黑体"/>
          <w:b/>
          <w:szCs w:val="21"/>
        </w:rPr>
        <w:t>（机构投资者需盖章），如通过线上渠道购买，认（申）购确认即视为投资者同意并确认下述内容：</w:t>
      </w:r>
    </w:p>
    <w:p w14:paraId="4C969790">
      <w:pPr>
        <w:ind w:firstLine="420"/>
        <w:rPr>
          <w:rFonts w:hint="eastAsia" w:ascii="黑体" w:hAnsi="黑体"/>
          <w:szCs w:val="21"/>
        </w:rPr>
      </w:pPr>
      <w:r>
        <w:rPr>
          <w:rFonts w:hint="eastAsia" w:ascii="黑体" w:hAnsi="黑体"/>
          <w:szCs w:val="21"/>
        </w:rPr>
        <w:t>声明：本人/本机构充分阅读本</w:t>
      </w:r>
      <w:r>
        <w:rPr>
          <w:rFonts w:ascii="黑体" w:hAnsi="黑体"/>
          <w:szCs w:val="21"/>
        </w:rPr>
        <w:t>说明书及</w:t>
      </w:r>
      <w:r>
        <w:rPr>
          <w:rFonts w:hint="eastAsia" w:ascii="黑体" w:hAnsi="黑体"/>
          <w:szCs w:val="21"/>
        </w:rPr>
        <w:t>本理财产品的《风险揭示书》、</w:t>
      </w:r>
      <w:r>
        <w:rPr>
          <w:rFonts w:hint="eastAsia" w:ascii="黑体" w:hAnsi="黑体" w:cs="黑体"/>
          <w:szCs w:val="21"/>
        </w:rPr>
        <w:t>《销售（代理销售）协议书》</w:t>
      </w:r>
      <w:r>
        <w:rPr>
          <w:rFonts w:hint="eastAsia" w:ascii="黑体" w:hAnsi="黑体"/>
          <w:szCs w:val="21"/>
        </w:rPr>
        <w:t>、《投资协议书》、《投资者权益须知》等理财产品销售文件，已全面、准确地理解本产品，充分认识到投资本产品需要承担的风险，并自愿承担此风险。</w:t>
      </w:r>
    </w:p>
    <w:p w14:paraId="05E02328">
      <w:pPr>
        <w:ind w:firstLine="420"/>
        <w:jc w:val="left"/>
        <w:rPr>
          <w:rFonts w:hint="eastAsia" w:ascii="黑体" w:hAnsi="黑体"/>
          <w:szCs w:val="21"/>
        </w:rPr>
      </w:pPr>
    </w:p>
    <w:p w14:paraId="77D4B315">
      <w:pPr>
        <w:autoSpaceDE w:val="0"/>
        <w:autoSpaceDN w:val="0"/>
        <w:adjustRightInd w:val="0"/>
        <w:ind w:firstLine="422" w:firstLineChars="200"/>
        <w:jc w:val="left"/>
        <w:rPr>
          <w:rFonts w:hint="eastAsia" w:ascii="黑体" w:hAnsi="黑体"/>
          <w:b/>
          <w:szCs w:val="21"/>
        </w:rPr>
      </w:pPr>
      <w:r>
        <w:rPr>
          <w:rFonts w:hint="eastAsia" w:ascii="黑体" w:hAnsi="黑体"/>
          <w:b/>
          <w:szCs w:val="21"/>
        </w:rPr>
        <w:t>（自然人签署适用）</w:t>
      </w:r>
    </w:p>
    <w:p w14:paraId="35E7209E">
      <w:pPr>
        <w:autoSpaceDE w:val="0"/>
        <w:autoSpaceDN w:val="0"/>
        <w:adjustRightInd w:val="0"/>
        <w:ind w:firstLine="422" w:firstLineChars="200"/>
        <w:jc w:val="left"/>
        <w:rPr>
          <w:rFonts w:hint="eastAsia" w:ascii="黑体" w:hAnsi="黑体"/>
          <w:b/>
          <w:szCs w:val="21"/>
        </w:rPr>
      </w:pPr>
      <w:r>
        <w:rPr>
          <w:rFonts w:hint="eastAsia" w:ascii="黑体" w:hAnsi="黑体"/>
          <w:b/>
          <w:szCs w:val="21"/>
        </w:rPr>
        <w:t>投资者签字</w:t>
      </w:r>
      <w:r>
        <w:rPr>
          <w:rFonts w:ascii="黑体" w:hAnsi="黑体"/>
          <w:b/>
          <w:szCs w:val="21"/>
        </w:rPr>
        <w:t>____________</w:t>
      </w:r>
    </w:p>
    <w:p w14:paraId="7EDB2E21">
      <w:pPr>
        <w:autoSpaceDE w:val="0"/>
        <w:autoSpaceDN w:val="0"/>
        <w:adjustRightInd w:val="0"/>
        <w:ind w:firstLine="422" w:firstLineChars="200"/>
        <w:jc w:val="left"/>
        <w:rPr>
          <w:rFonts w:hint="eastAsia" w:ascii="黑体" w:hAnsi="黑体"/>
          <w:b/>
          <w:szCs w:val="21"/>
        </w:rPr>
      </w:pPr>
    </w:p>
    <w:p w14:paraId="398594EF">
      <w:pPr>
        <w:autoSpaceDE w:val="0"/>
        <w:autoSpaceDN w:val="0"/>
        <w:adjustRightInd w:val="0"/>
        <w:ind w:firstLine="422" w:firstLineChars="200"/>
        <w:jc w:val="left"/>
        <w:rPr>
          <w:rFonts w:hint="eastAsia" w:ascii="黑体" w:hAnsi="黑体"/>
          <w:b/>
          <w:szCs w:val="21"/>
        </w:rPr>
      </w:pPr>
      <w:r>
        <w:rPr>
          <w:rFonts w:hint="eastAsia" w:ascii="黑体" w:hAnsi="黑体"/>
          <w:b/>
          <w:szCs w:val="21"/>
        </w:rPr>
        <w:t>（机构投资者签署适用）</w:t>
      </w:r>
    </w:p>
    <w:p w14:paraId="54AF72DC">
      <w:pPr>
        <w:autoSpaceDE w:val="0"/>
        <w:autoSpaceDN w:val="0"/>
        <w:adjustRightInd w:val="0"/>
        <w:ind w:firstLine="422" w:firstLineChars="200"/>
        <w:jc w:val="left"/>
        <w:rPr>
          <w:rFonts w:hint="eastAsia" w:ascii="黑体" w:hAnsi="黑体"/>
          <w:b/>
          <w:szCs w:val="21"/>
        </w:rPr>
      </w:pPr>
      <w:r>
        <w:rPr>
          <w:rFonts w:ascii="黑体" w:hAnsi="黑体"/>
          <w:b/>
          <w:szCs w:val="21"/>
        </w:rPr>
        <w:t>公章（或经公章授权的其他有效印鉴）：</w:t>
      </w:r>
    </w:p>
    <w:p w14:paraId="69D63A2F">
      <w:pPr>
        <w:autoSpaceDE w:val="0"/>
        <w:autoSpaceDN w:val="0"/>
        <w:adjustRightInd w:val="0"/>
        <w:ind w:firstLine="422" w:firstLineChars="200"/>
        <w:jc w:val="left"/>
        <w:rPr>
          <w:rFonts w:hint="eastAsia" w:ascii="黑体" w:hAnsi="黑体"/>
          <w:b/>
          <w:szCs w:val="21"/>
        </w:rPr>
      </w:pPr>
      <w:r>
        <w:rPr>
          <w:rFonts w:ascii="黑体" w:hAnsi="黑体"/>
          <w:b/>
          <w:szCs w:val="21"/>
        </w:rPr>
        <w:t>法定代表人（负责人）或授权代理人签字/签章：</w:t>
      </w:r>
    </w:p>
    <w:p w14:paraId="5A831C3A">
      <w:pPr>
        <w:autoSpaceDE w:val="0"/>
        <w:autoSpaceDN w:val="0"/>
        <w:adjustRightInd w:val="0"/>
        <w:ind w:firstLine="422" w:firstLineChars="200"/>
        <w:jc w:val="left"/>
        <w:rPr>
          <w:rFonts w:hint="eastAsia" w:ascii="黑体" w:hAnsi="黑体"/>
          <w:b/>
          <w:szCs w:val="21"/>
        </w:rPr>
      </w:pPr>
    </w:p>
    <w:p w14:paraId="72DEC046">
      <w:pPr>
        <w:autoSpaceDE w:val="0"/>
        <w:autoSpaceDN w:val="0"/>
        <w:adjustRightInd w:val="0"/>
        <w:ind w:firstLine="422" w:firstLineChars="200"/>
        <w:jc w:val="left"/>
        <w:rPr>
          <w:rFonts w:hint="eastAsia" w:ascii="黑体" w:hAnsi="黑体"/>
          <w:b/>
          <w:szCs w:val="21"/>
        </w:rPr>
      </w:pPr>
    </w:p>
    <w:p w14:paraId="00E352E1">
      <w:pPr>
        <w:autoSpaceDE w:val="0"/>
        <w:autoSpaceDN w:val="0"/>
        <w:adjustRightInd w:val="0"/>
        <w:ind w:firstLine="422" w:firstLineChars="200"/>
        <w:jc w:val="left"/>
        <w:rPr>
          <w:rFonts w:hint="eastAsia" w:ascii="黑体" w:hAnsi="黑体"/>
          <w:b/>
          <w:szCs w:val="21"/>
        </w:rPr>
      </w:pPr>
      <w:r>
        <w:rPr>
          <w:rFonts w:hint="eastAsia" w:ascii="黑体" w:hAnsi="黑体"/>
          <w:b/>
          <w:szCs w:val="21"/>
        </w:rPr>
        <w:t>日期</w:t>
      </w:r>
      <w:r>
        <w:rPr>
          <w:rFonts w:ascii="黑体" w:hAnsi="黑体"/>
          <w:b/>
          <w:szCs w:val="21"/>
        </w:rPr>
        <w:t>_______________</w:t>
      </w:r>
    </w:p>
    <w:p w14:paraId="2BEF2B8D">
      <w:pPr>
        <w:pageBreakBefore/>
        <w:rPr>
          <w:rFonts w:hint="eastAsia" w:ascii="黑体" w:hAnsi="黑体" w:cs="黑体"/>
          <w:b/>
          <w:bCs/>
        </w:rPr>
      </w:pPr>
    </w:p>
    <w:p w14:paraId="1600FD15">
      <w:pPr>
        <w:widowControl/>
        <w:jc w:val="left"/>
        <w:rPr>
          <w:rFonts w:hint="eastAsia" w:ascii="黑体" w:hAnsi="黑体"/>
          <w:b/>
          <w:bCs/>
        </w:rPr>
      </w:pPr>
    </w:p>
    <w:p w14:paraId="47FE2D10">
      <w:pPr>
        <w:widowControl/>
        <w:jc w:val="left"/>
        <w:rPr>
          <w:rFonts w:hint="eastAsia" w:ascii="黑体" w:hAnsi="黑体"/>
          <w:szCs w:val="21"/>
        </w:rPr>
      </w:pPr>
    </w:p>
    <w:sectPr>
      <w:pgSz w:w="11906" w:h="16838"/>
      <w:pgMar w:top="1440" w:right="1800" w:bottom="1440" w:left="1800" w:header="851" w:footer="992" w:gutter="0"/>
      <w:cols w:space="425"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Arial">
    <w:panose1 w:val="020B0604020202020204"/>
    <w:charset w:val="00"/>
    <w:family w:val="swiss"/>
    <w:pitch w:val="default"/>
    <w:sig w:usb0="E0002EFF" w:usb1="C000785B" w:usb2="00000009" w:usb3="00000000" w:csb0="400001FF" w:csb1="FFFF0000"/>
  </w:font>
  <w:font w:name="ËÎÌå">
    <w:altName w:val="Times New Roman"/>
    <w:panose1 w:val="00000000000000000000"/>
    <w:charset w:val="00"/>
    <w:family w:val="swiss"/>
    <w:pitch w:val="default"/>
    <w:sig w:usb0="00000000" w:usb1="00000000" w:usb2="00000000" w:usb3="00000000" w:csb0="00000001" w:csb1="00000000"/>
  </w:font>
  <w:font w:name="等线">
    <w:altName w:val="汉仪中等线KW"/>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0053208E"/>
    <w:multiLevelType w:val="multilevel"/>
    <w:tmpl w:val="0053208E"/>
    <w:lvl w:ilvl="0" w:tentative="0">
      <w:start w:val="1"/>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isplayHorizontalDrawingGridEvery w:val="0"/>
  <w:displayVerticalDrawingGridEvery w:val="2"/>
  <w:characterSpacingControl w:val="doNotCompress"/>
  <w:compat>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5AD"/>
    <w:rsid w:val="00036AFC"/>
    <w:rsid w:val="00041061"/>
    <w:rsid w:val="000452F9"/>
    <w:rsid w:val="00063373"/>
    <w:rsid w:val="00074A58"/>
    <w:rsid w:val="000776B4"/>
    <w:rsid w:val="00083351"/>
    <w:rsid w:val="00083902"/>
    <w:rsid w:val="0009688C"/>
    <w:rsid w:val="000C43F0"/>
    <w:rsid w:val="000E66E2"/>
    <w:rsid w:val="000F554C"/>
    <w:rsid w:val="001105BB"/>
    <w:rsid w:val="00131A16"/>
    <w:rsid w:val="00146B7E"/>
    <w:rsid w:val="001E04DC"/>
    <w:rsid w:val="001E48AD"/>
    <w:rsid w:val="001F7D09"/>
    <w:rsid w:val="002A471B"/>
    <w:rsid w:val="002A5C19"/>
    <w:rsid w:val="002B38E2"/>
    <w:rsid w:val="002B4F06"/>
    <w:rsid w:val="002D5A61"/>
    <w:rsid w:val="002E1B69"/>
    <w:rsid w:val="002F1438"/>
    <w:rsid w:val="00334318"/>
    <w:rsid w:val="00345B3F"/>
    <w:rsid w:val="003466BA"/>
    <w:rsid w:val="003A234B"/>
    <w:rsid w:val="003D4AF9"/>
    <w:rsid w:val="004406FB"/>
    <w:rsid w:val="00450668"/>
    <w:rsid w:val="00487F37"/>
    <w:rsid w:val="004C0DF0"/>
    <w:rsid w:val="00513670"/>
    <w:rsid w:val="00563B9B"/>
    <w:rsid w:val="005A4B80"/>
    <w:rsid w:val="006531CE"/>
    <w:rsid w:val="006767AE"/>
    <w:rsid w:val="006B0E81"/>
    <w:rsid w:val="006D0D3E"/>
    <w:rsid w:val="00783003"/>
    <w:rsid w:val="008063A0"/>
    <w:rsid w:val="00810065"/>
    <w:rsid w:val="00837DC3"/>
    <w:rsid w:val="00861EBE"/>
    <w:rsid w:val="00874C82"/>
    <w:rsid w:val="008A55AD"/>
    <w:rsid w:val="008F191A"/>
    <w:rsid w:val="00935A0A"/>
    <w:rsid w:val="00936A0A"/>
    <w:rsid w:val="00965B73"/>
    <w:rsid w:val="009710CA"/>
    <w:rsid w:val="009804BB"/>
    <w:rsid w:val="009A18B9"/>
    <w:rsid w:val="009F0F8F"/>
    <w:rsid w:val="00A25310"/>
    <w:rsid w:val="00A51EF2"/>
    <w:rsid w:val="00A853CB"/>
    <w:rsid w:val="00AA22A4"/>
    <w:rsid w:val="00AA33D1"/>
    <w:rsid w:val="00B612FD"/>
    <w:rsid w:val="00B81493"/>
    <w:rsid w:val="00BE3C98"/>
    <w:rsid w:val="00C01A62"/>
    <w:rsid w:val="00C1689E"/>
    <w:rsid w:val="00C2442F"/>
    <w:rsid w:val="00C33F7A"/>
    <w:rsid w:val="00C3624C"/>
    <w:rsid w:val="00C51598"/>
    <w:rsid w:val="00C548A4"/>
    <w:rsid w:val="00C64DF8"/>
    <w:rsid w:val="00CA2469"/>
    <w:rsid w:val="00D2788E"/>
    <w:rsid w:val="00D87445"/>
    <w:rsid w:val="00DA0082"/>
    <w:rsid w:val="00DD5A41"/>
    <w:rsid w:val="00DE0271"/>
    <w:rsid w:val="00DE411F"/>
    <w:rsid w:val="00DF6BEC"/>
    <w:rsid w:val="00E32426"/>
    <w:rsid w:val="00E464F9"/>
    <w:rsid w:val="00EC4D40"/>
    <w:rsid w:val="00EE438D"/>
    <w:rsid w:val="00F64368"/>
    <w:rsid w:val="00F754A5"/>
    <w:rsid w:val="013171D3"/>
    <w:rsid w:val="02290F60"/>
    <w:rsid w:val="085D7896"/>
    <w:rsid w:val="088219ED"/>
    <w:rsid w:val="0EC266A4"/>
    <w:rsid w:val="0F7B7754"/>
    <w:rsid w:val="11EB5F12"/>
    <w:rsid w:val="12A47B4F"/>
    <w:rsid w:val="168816ED"/>
    <w:rsid w:val="23CD2F64"/>
    <w:rsid w:val="243E6375"/>
    <w:rsid w:val="27575806"/>
    <w:rsid w:val="36B2235B"/>
    <w:rsid w:val="58596B7D"/>
    <w:rsid w:val="6F667AFB"/>
    <w:rsid w:val="759D8422"/>
    <w:rsid w:val="77DE645A"/>
    <w:rsid w:val="F6BF8A33"/>
    <w:rsid w:val="FCFF3FC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黑体" w:asciiTheme="minorHAnsi" w:hAnsiTheme="minorHAnsi" w:cstheme="minorBidi"/>
      <w:sz w:val="21"/>
      <w:szCs w:val="22"/>
      <w:lang w:val="en-US" w:eastAsia="zh-CN" w:bidi="ar-SA"/>
    </w:rPr>
  </w:style>
  <w:style w:type="paragraph" w:styleId="2">
    <w:name w:val="heading 1"/>
    <w:basedOn w:val="1"/>
    <w:next w:val="1"/>
    <w:link w:val="186"/>
    <w:qFormat/>
    <w:uiPriority w:val="9"/>
    <w:pPr>
      <w:keepNext/>
      <w:keepLines/>
      <w:spacing w:before="340" w:after="330" w:line="578" w:lineRule="auto"/>
      <w:outlineLvl w:val="0"/>
    </w:pPr>
    <w:rPr>
      <w:b/>
      <w:bCs/>
      <w:sz w:val="44"/>
      <w:szCs w:val="44"/>
    </w:rPr>
  </w:style>
  <w:style w:type="paragraph" w:styleId="3">
    <w:name w:val="heading 2"/>
    <w:basedOn w:val="1"/>
    <w:next w:val="1"/>
    <w:link w:val="159"/>
    <w:unhideWhenUsed/>
    <w:qFormat/>
    <w:uiPriority w:val="9"/>
    <w:pPr>
      <w:keepNext/>
      <w:keepLines/>
      <w:spacing w:before="160" w:after="80"/>
      <w:outlineLvl w:val="1"/>
    </w:pPr>
    <w:rPr>
      <w:rFonts w:ascii="Arial" w:hAnsi="Arial" w:eastAsia="Arial" w:cs="Arial"/>
      <w:color w:val="2F5597" w:themeColor="accent1" w:themeShade="BF"/>
      <w:sz w:val="32"/>
      <w:szCs w:val="32"/>
    </w:rPr>
  </w:style>
  <w:style w:type="paragraph" w:styleId="4">
    <w:name w:val="heading 3"/>
    <w:basedOn w:val="1"/>
    <w:next w:val="1"/>
    <w:link w:val="160"/>
    <w:unhideWhenUsed/>
    <w:qFormat/>
    <w:uiPriority w:val="9"/>
    <w:pPr>
      <w:keepNext/>
      <w:keepLines/>
      <w:spacing w:before="160" w:after="80"/>
      <w:outlineLvl w:val="2"/>
    </w:pPr>
    <w:rPr>
      <w:rFonts w:ascii="Arial" w:hAnsi="Arial" w:eastAsia="Arial" w:cs="Arial"/>
      <w:color w:val="2F5597" w:themeColor="accent1" w:themeShade="BF"/>
      <w:sz w:val="28"/>
      <w:szCs w:val="28"/>
    </w:rPr>
  </w:style>
  <w:style w:type="paragraph" w:styleId="5">
    <w:name w:val="heading 4"/>
    <w:basedOn w:val="1"/>
    <w:next w:val="1"/>
    <w:link w:val="161"/>
    <w:unhideWhenUsed/>
    <w:qFormat/>
    <w:uiPriority w:val="9"/>
    <w:pPr>
      <w:keepNext/>
      <w:keepLines/>
      <w:spacing w:before="80" w:after="40"/>
      <w:outlineLvl w:val="3"/>
    </w:pPr>
    <w:rPr>
      <w:rFonts w:ascii="Arial" w:hAnsi="Arial" w:eastAsia="Arial" w:cs="Arial"/>
      <w:i/>
      <w:iCs/>
      <w:color w:val="2F5597" w:themeColor="accent1" w:themeShade="BF"/>
    </w:rPr>
  </w:style>
  <w:style w:type="paragraph" w:styleId="6">
    <w:name w:val="heading 5"/>
    <w:basedOn w:val="1"/>
    <w:next w:val="1"/>
    <w:link w:val="162"/>
    <w:unhideWhenUsed/>
    <w:qFormat/>
    <w:uiPriority w:val="9"/>
    <w:pPr>
      <w:keepNext/>
      <w:keepLines/>
      <w:spacing w:before="80" w:after="40"/>
      <w:outlineLvl w:val="4"/>
    </w:pPr>
    <w:rPr>
      <w:rFonts w:ascii="Arial" w:hAnsi="Arial" w:eastAsia="Arial" w:cs="Arial"/>
      <w:color w:val="2F5597" w:themeColor="accent1" w:themeShade="BF"/>
    </w:rPr>
  </w:style>
  <w:style w:type="paragraph" w:styleId="7">
    <w:name w:val="heading 6"/>
    <w:basedOn w:val="1"/>
    <w:next w:val="1"/>
    <w:link w:val="163"/>
    <w:unhideWhenUsed/>
    <w:qFormat/>
    <w:uiPriority w:val="9"/>
    <w:pPr>
      <w:keepNext/>
      <w:keepLines/>
      <w:spacing w:before="4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164"/>
    <w:unhideWhenUsed/>
    <w:qFormat/>
    <w:uiPriority w:val="9"/>
    <w:pPr>
      <w:keepNext/>
      <w:keepLines/>
      <w:spacing w:before="4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165"/>
    <w:unhideWhenUsed/>
    <w:qFormat/>
    <w:uiPriority w:val="9"/>
    <w:pPr>
      <w:keepNext/>
      <w:keepLines/>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166"/>
    <w:unhideWhenUsed/>
    <w:qFormat/>
    <w:uiPriority w:val="9"/>
    <w:pPr>
      <w:keepNext/>
      <w:keepLines/>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25">
    <w:name w:val="Default Paragraph Font"/>
    <w:semiHidden/>
    <w:unhideWhenUsed/>
    <w:uiPriority w:val="1"/>
  </w:style>
  <w:style w:type="table" w:default="1" w:styleId="23">
    <w:name w:val="Normal Table"/>
    <w:semiHidden/>
    <w:unhideWhenUsed/>
    <w:uiPriority w:val="99"/>
    <w:tblPr>
      <w:tblCellMar>
        <w:top w:w="0" w:type="dxa"/>
        <w:left w:w="108" w:type="dxa"/>
        <w:bottom w:w="0" w:type="dxa"/>
        <w:right w:w="108" w:type="dxa"/>
      </w:tblCellMar>
    </w:tblPr>
  </w:style>
  <w:style w:type="paragraph" w:styleId="11">
    <w:name w:val="caption"/>
    <w:basedOn w:val="1"/>
    <w:next w:val="1"/>
    <w:unhideWhenUsed/>
    <w:qFormat/>
    <w:uiPriority w:val="35"/>
    <w:pPr>
      <w:spacing w:after="200"/>
    </w:pPr>
    <w:rPr>
      <w:i/>
      <w:iCs/>
      <w:color w:val="44546A" w:themeColor="text2"/>
      <w:sz w:val="18"/>
      <w:szCs w:val="18"/>
      <w14:textFill>
        <w14:solidFill>
          <w14:schemeClr w14:val="tx2"/>
        </w14:solidFill>
      </w14:textFill>
    </w:rPr>
  </w:style>
  <w:style w:type="paragraph" w:styleId="12">
    <w:name w:val="annotation text"/>
    <w:basedOn w:val="1"/>
    <w:link w:val="201"/>
    <w:semiHidden/>
    <w:unhideWhenUsed/>
    <w:qFormat/>
    <w:uiPriority w:val="99"/>
    <w:pPr>
      <w:jc w:val="left"/>
    </w:pPr>
  </w:style>
  <w:style w:type="paragraph" w:styleId="13">
    <w:name w:val="endnote text"/>
    <w:basedOn w:val="1"/>
    <w:link w:val="182"/>
    <w:semiHidden/>
    <w:unhideWhenUsed/>
    <w:qFormat/>
    <w:uiPriority w:val="99"/>
    <w:rPr>
      <w:sz w:val="20"/>
      <w:szCs w:val="20"/>
    </w:rPr>
  </w:style>
  <w:style w:type="paragraph" w:styleId="14">
    <w:name w:val="Balloon Text"/>
    <w:basedOn w:val="1"/>
    <w:link w:val="199"/>
    <w:semiHidden/>
    <w:unhideWhenUsed/>
    <w:qFormat/>
    <w:uiPriority w:val="99"/>
    <w:rPr>
      <w:sz w:val="18"/>
      <w:szCs w:val="18"/>
    </w:rPr>
  </w:style>
  <w:style w:type="paragraph" w:styleId="15">
    <w:name w:val="footer"/>
    <w:basedOn w:val="1"/>
    <w:link w:val="185"/>
    <w:unhideWhenUsed/>
    <w:qFormat/>
    <w:uiPriority w:val="99"/>
    <w:pPr>
      <w:tabs>
        <w:tab w:val="center" w:pos="4153"/>
        <w:tab w:val="right" w:pos="8306"/>
      </w:tabs>
      <w:jc w:val="left"/>
    </w:pPr>
    <w:rPr>
      <w:sz w:val="18"/>
      <w:szCs w:val="18"/>
    </w:rPr>
  </w:style>
  <w:style w:type="paragraph" w:styleId="16">
    <w:name w:val="header"/>
    <w:basedOn w:val="1"/>
    <w:link w:val="184"/>
    <w:unhideWhenUsed/>
    <w:qFormat/>
    <w:uiPriority w:val="99"/>
    <w:pPr>
      <w:pBdr>
        <w:bottom w:val="single" w:color="000000" w:sz="6" w:space="1"/>
      </w:pBdr>
      <w:tabs>
        <w:tab w:val="center" w:pos="4153"/>
        <w:tab w:val="right" w:pos="8306"/>
      </w:tabs>
      <w:jc w:val="center"/>
    </w:pPr>
    <w:rPr>
      <w:sz w:val="18"/>
      <w:szCs w:val="18"/>
    </w:rPr>
  </w:style>
  <w:style w:type="paragraph" w:styleId="17">
    <w:name w:val="Subtitle"/>
    <w:basedOn w:val="1"/>
    <w:next w:val="1"/>
    <w:link w:val="168"/>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8">
    <w:name w:val="footnote text"/>
    <w:basedOn w:val="1"/>
    <w:link w:val="181"/>
    <w:semiHidden/>
    <w:unhideWhenUsed/>
    <w:qFormat/>
    <w:uiPriority w:val="99"/>
    <w:rPr>
      <w:sz w:val="20"/>
      <w:szCs w:val="20"/>
    </w:rPr>
  </w:style>
  <w:style w:type="paragraph" w:styleId="19">
    <w:name w:val="table of figures"/>
    <w:basedOn w:val="1"/>
    <w:next w:val="1"/>
    <w:unhideWhenUsed/>
    <w:qFormat/>
    <w:uiPriority w:val="99"/>
  </w:style>
  <w:style w:type="paragraph" w:styleId="20">
    <w:name w:val="Normal (Web)"/>
    <w:basedOn w:val="1"/>
    <w:unhideWhenUsed/>
    <w:qFormat/>
    <w:uiPriority w:val="99"/>
    <w:pPr>
      <w:spacing w:beforeAutospacing="1" w:afterAutospacing="1"/>
      <w:jc w:val="left"/>
    </w:pPr>
    <w:rPr>
      <w:rFonts w:cs="Times New Roman"/>
      <w:sz w:val="24"/>
    </w:rPr>
  </w:style>
  <w:style w:type="paragraph" w:styleId="21">
    <w:name w:val="Title"/>
    <w:basedOn w:val="1"/>
    <w:next w:val="1"/>
    <w:link w:val="167"/>
    <w:qFormat/>
    <w:uiPriority w:val="10"/>
    <w:pPr>
      <w:spacing w:after="80"/>
      <w:contextualSpacing/>
    </w:pPr>
    <w:rPr>
      <w:rFonts w:ascii="Arial" w:hAnsi="Arial" w:eastAsia="Arial" w:cs="Arial"/>
      <w:spacing w:val="-10"/>
      <w:sz w:val="56"/>
      <w:szCs w:val="56"/>
    </w:rPr>
  </w:style>
  <w:style w:type="paragraph" w:styleId="22">
    <w:name w:val="annotation subject"/>
    <w:basedOn w:val="12"/>
    <w:next w:val="12"/>
    <w:link w:val="202"/>
    <w:semiHidden/>
    <w:unhideWhenUsed/>
    <w:qFormat/>
    <w:uiPriority w:val="99"/>
    <w:rPr>
      <w:b/>
      <w:bCs/>
    </w:rPr>
  </w:style>
  <w:style w:type="table" w:styleId="24">
    <w:name w:val="Table Grid"/>
    <w:basedOn w:val="2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6">
    <w:name w:val="Strong"/>
    <w:basedOn w:val="25"/>
    <w:qFormat/>
    <w:uiPriority w:val="22"/>
    <w:rPr>
      <w:b/>
      <w:bCs/>
    </w:rPr>
  </w:style>
  <w:style w:type="character" w:styleId="27">
    <w:name w:val="endnote reference"/>
    <w:basedOn w:val="25"/>
    <w:semiHidden/>
    <w:unhideWhenUsed/>
    <w:qFormat/>
    <w:uiPriority w:val="99"/>
    <w:rPr>
      <w:vertAlign w:val="superscript"/>
    </w:rPr>
  </w:style>
  <w:style w:type="character" w:styleId="28">
    <w:name w:val="FollowedHyperlink"/>
    <w:basedOn w:val="25"/>
    <w:semiHidden/>
    <w:unhideWhenUsed/>
    <w:qFormat/>
    <w:uiPriority w:val="99"/>
    <w:rPr>
      <w:color w:val="954F72" w:themeColor="followedHyperlink"/>
      <w:u w:val="single"/>
      <w14:textFill>
        <w14:solidFill>
          <w14:schemeClr w14:val="folHlink"/>
        </w14:solidFill>
      </w14:textFill>
    </w:rPr>
  </w:style>
  <w:style w:type="character" w:styleId="29">
    <w:name w:val="Emphasis"/>
    <w:basedOn w:val="25"/>
    <w:qFormat/>
    <w:uiPriority w:val="20"/>
    <w:rPr>
      <w:i/>
      <w:iCs/>
    </w:rPr>
  </w:style>
  <w:style w:type="character" w:styleId="30">
    <w:name w:val="Hyperlink"/>
    <w:basedOn w:val="25"/>
    <w:unhideWhenUsed/>
    <w:qFormat/>
    <w:uiPriority w:val="99"/>
    <w:rPr>
      <w:color w:val="0563C1" w:themeColor="hyperlink"/>
      <w:u w:val="single"/>
      <w14:textFill>
        <w14:solidFill>
          <w14:schemeClr w14:val="hlink"/>
        </w14:solidFill>
      </w14:textFill>
    </w:rPr>
  </w:style>
  <w:style w:type="character" w:styleId="31">
    <w:name w:val="annotation reference"/>
    <w:basedOn w:val="25"/>
    <w:semiHidden/>
    <w:unhideWhenUsed/>
    <w:qFormat/>
    <w:uiPriority w:val="99"/>
    <w:rPr>
      <w:sz w:val="21"/>
      <w:szCs w:val="21"/>
    </w:rPr>
  </w:style>
  <w:style w:type="character" w:styleId="32">
    <w:name w:val="footnote reference"/>
    <w:basedOn w:val="25"/>
    <w:semiHidden/>
    <w:unhideWhenUsed/>
    <w:qFormat/>
    <w:uiPriority w:val="99"/>
    <w:rPr>
      <w:vertAlign w:val="superscript"/>
    </w:rPr>
  </w:style>
  <w:style w:type="table" w:customStyle="1" w:styleId="33">
    <w:name w:val="Table Grid Light"/>
    <w:basedOn w:val="23"/>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style>
  <w:style w:type="table" w:customStyle="1" w:styleId="34">
    <w:name w:val="无格式表格 11"/>
    <w:basedOn w:val="23"/>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35">
    <w:name w:val="无格式表格 21"/>
    <w:basedOn w:val="23"/>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36">
    <w:name w:val="无格式表格 31"/>
    <w:basedOn w:val="23"/>
    <w:qFormat/>
    <w:uiPriority w:val="99"/>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37">
    <w:name w:val="无格式表格 41"/>
    <w:basedOn w:val="23"/>
    <w:qFormat/>
    <w:uiPriority w:val="99"/>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38">
    <w:name w:val="无格式表格 51"/>
    <w:basedOn w:val="23"/>
    <w:qFormat/>
    <w:uiPriority w:val="99"/>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39">
    <w:name w:val="网格表 1 浅色1"/>
    <w:basedOn w:val="23"/>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40">
    <w:name w:val="Grid Table 1 Light - Accent 1"/>
    <w:basedOn w:val="23"/>
    <w:qFormat/>
    <w:uiPriority w:val="99"/>
    <w:tblPr>
      <w:tbl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insideH w:val="single" w:color="B3C6E7" w:themeColor="accent1" w:themeTint="67" w:sz="4" w:space="0"/>
        <w:insideV w:val="single" w:color="B3C6E7" w:themeColor="accent1" w:themeTint="67" w:sz="4" w:space="0"/>
      </w:tblBorders>
    </w:tblPr>
    <w:tblStylePr w:type="firstRow">
      <w:rPr>
        <w:b/>
        <w:color w:val="404040"/>
      </w:rPr>
      <w:tcPr>
        <w:tcBorders>
          <w:bottom w:val="single" w:color="91ACDC"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tcBorders>
      </w:tcPr>
    </w:tblStylePr>
  </w:style>
  <w:style w:type="table" w:customStyle="1" w:styleId="41">
    <w:name w:val="Grid Table 1 Light - Accent 2"/>
    <w:basedOn w:val="23"/>
    <w:qFormat/>
    <w:uiPriority w:val="99"/>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42">
    <w:name w:val="Grid Table 1 Light - Accent 3"/>
    <w:basedOn w:val="23"/>
    <w:qFormat/>
    <w:uiPriority w:val="99"/>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43">
    <w:name w:val="Grid Table 1 Light - Accent 4"/>
    <w:basedOn w:val="23"/>
    <w:qFormat/>
    <w:uiPriority w:val="99"/>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44">
    <w:name w:val="Grid Table 1 Light - Accent 5"/>
    <w:basedOn w:val="23"/>
    <w:qFormat/>
    <w:uiPriority w:val="99"/>
    <w:tblPr>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firstRow">
      <w:rPr>
        <w:b/>
        <w:color w:val="404040"/>
      </w:rPr>
      <w:tcPr>
        <w:tcBorders>
          <w:bottom w:val="single" w:color="9FC4E6"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style>
  <w:style w:type="table" w:customStyle="1" w:styleId="45">
    <w:name w:val="Grid Table 1 Light - Accent 6"/>
    <w:basedOn w:val="23"/>
    <w:qFormat/>
    <w:uiPriority w:val="99"/>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table" w:customStyle="1" w:styleId="46">
    <w:name w:val="网格表 21"/>
    <w:basedOn w:val="23"/>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47">
    <w:name w:val="Grid Table 2 - Accent 1"/>
    <w:basedOn w:val="23"/>
    <w:qFormat/>
    <w:uiPriority w:val="99"/>
    <w:tblPr>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firstRow">
      <w:rPr>
        <w:b/>
        <w:color w:val="404040"/>
      </w:rPr>
      <w:tcPr>
        <w:tcBorders>
          <w:top w:val="nil"/>
          <w:left w:val="nil"/>
          <w:bottom w:val="single" w:color="537DC8" w:themeColor="accent1" w:themeTint="EA" w:sz="12" w:space="0"/>
          <w:right w:val="nil"/>
        </w:tcBorders>
        <w:shd w:val="clear" w:color="FFFFFF" w:fill="auto"/>
      </w:tcPr>
    </w:tblStylePr>
    <w:tblStylePr w:type="lastRow">
      <w:rPr>
        <w:b/>
        <w:color w:val="404040"/>
      </w:rPr>
      <w:tcPr>
        <w:tcBorders>
          <w:top w:val="single" w:color="537DC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themeColor="accent1" w:themeTint="34" w:fill="D8E2F2" w:themeFill="accent1" w:themeFillTint="34"/>
      </w:tcPr>
    </w:tblStylePr>
    <w:tblStylePr w:type="band1Horz">
      <w:rPr>
        <w:rFonts w:ascii="Arial" w:hAnsi="Arial"/>
        <w:color w:val="404040"/>
        <w:sz w:val="22"/>
      </w:rPr>
      <w:tcPr>
        <w:shd w:val="clear" w:color="D8E2F2" w:themeColor="accent1" w:themeTint="34" w:fill="D8E2F2" w:themeFill="accent1" w:themeFillTint="34"/>
      </w:tcPr>
    </w:tblStylePr>
  </w:style>
  <w:style w:type="table" w:customStyle="1" w:styleId="48">
    <w:name w:val="Grid Table 2 - Accent 2"/>
    <w:basedOn w:val="23"/>
    <w:qFormat/>
    <w:uiPriority w:val="99"/>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49">
    <w:name w:val="Grid Table 2 - Accent 3"/>
    <w:basedOn w:val="23"/>
    <w:qFormat/>
    <w:uiPriority w:val="99"/>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50">
    <w:name w:val="Grid Table 2 - Accent 4"/>
    <w:basedOn w:val="23"/>
    <w:qFormat/>
    <w:uiPriority w:val="99"/>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51">
    <w:name w:val="Grid Table 2 - Accent 5"/>
    <w:basedOn w:val="23"/>
    <w:qFormat/>
    <w:uiPriority w:val="99"/>
    <w:tblPr>
      <w:tblBorders>
        <w:bottom w:val="single" w:color="5B9BD5" w:themeColor="accent5" w:sz="4" w:space="0"/>
        <w:insideH w:val="single" w:color="5B9BD5" w:themeColor="accent5" w:sz="4" w:space="0"/>
        <w:insideV w:val="single" w:color="5B9BD5" w:themeColor="accent5" w:sz="4" w:space="0"/>
      </w:tblBorders>
    </w:tblPr>
    <w:tblStylePr w:type="firstRow">
      <w:rPr>
        <w:b/>
        <w:color w:val="404040"/>
      </w:rPr>
      <w:tcPr>
        <w:tcBorders>
          <w:top w:val="nil"/>
          <w:left w:val="nil"/>
          <w:bottom w:val="single" w:color="5B9BD5" w:themeColor="accent5" w:sz="12" w:space="0"/>
          <w:right w:val="nil"/>
        </w:tcBorders>
        <w:shd w:val="clear" w:color="FFFFFF" w:fill="auto"/>
      </w:tcPr>
    </w:tblStylePr>
    <w:tblStylePr w:type="lastRow">
      <w:rPr>
        <w:b/>
        <w:color w:val="404040"/>
      </w:rPr>
      <w:tcPr>
        <w:tcBorders>
          <w:top w:val="single" w:color="5B9BD5"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cPr>
        <w:shd w:val="clear" w:color="DDEAF6" w:themeColor="accent5" w:themeTint="34" w:fill="DDEAF6" w:themeFill="accent5" w:themeFillTint="34"/>
      </w:tcPr>
    </w:tblStylePr>
  </w:style>
  <w:style w:type="table" w:customStyle="1" w:styleId="52">
    <w:name w:val="Grid Table 2 - Accent 6"/>
    <w:basedOn w:val="23"/>
    <w:qFormat/>
    <w:uiPriority w:val="99"/>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53">
    <w:name w:val="网格表 31"/>
    <w:basedOn w:val="23"/>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54">
    <w:name w:val="Grid Table 3 - Accent 1"/>
    <w:basedOn w:val="23"/>
    <w:qFormat/>
    <w:uiPriority w:val="99"/>
    <w:tblPr>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8E2F2" w:themeColor="accent1" w:themeTint="34" w:fill="D8E2F2" w:themeFill="accent1" w:themeFillTint="34"/>
      </w:tcPr>
    </w:tblStylePr>
    <w:tblStylePr w:type="band1Horz">
      <w:rPr>
        <w:rFonts w:ascii="Arial" w:hAnsi="Arial"/>
        <w:color w:val="404040"/>
        <w:sz w:val="22"/>
      </w:rPr>
      <w:tcPr>
        <w:shd w:val="clear" w:color="D8E2F2" w:themeColor="accent1" w:themeTint="34" w:fill="D8E2F2" w:themeFill="accent1" w:themeFillTint="34"/>
      </w:tcPr>
    </w:tblStylePr>
  </w:style>
  <w:style w:type="table" w:customStyle="1" w:styleId="55">
    <w:name w:val="Grid Table 3 - Accent 2"/>
    <w:basedOn w:val="23"/>
    <w:qFormat/>
    <w:uiPriority w:val="99"/>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56">
    <w:name w:val="Grid Table 3 - Accent 3"/>
    <w:basedOn w:val="23"/>
    <w:qFormat/>
    <w:uiPriority w:val="99"/>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57">
    <w:name w:val="Grid Table 3 - Accent 4"/>
    <w:basedOn w:val="23"/>
    <w:qFormat/>
    <w:uiPriority w:val="99"/>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58">
    <w:name w:val="Grid Table 3 - Accent 5"/>
    <w:basedOn w:val="23"/>
    <w:qFormat/>
    <w:uiPriority w:val="99"/>
    <w:tblPr>
      <w:tblBorders>
        <w:bottom w:val="single" w:color="5B9BD5" w:themeColor="accent5" w:sz="4" w:space="0"/>
        <w:insideH w:val="single" w:color="5B9BD5" w:themeColor="accent5" w:sz="4" w:space="0"/>
        <w:insideV w:val="single" w:color="5B9BD5"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cPr>
        <w:shd w:val="clear" w:color="DDEAF6" w:themeColor="accent5" w:themeTint="34" w:fill="DDEAF6" w:themeFill="accent5" w:themeFillTint="34"/>
      </w:tcPr>
    </w:tblStylePr>
  </w:style>
  <w:style w:type="table" w:customStyle="1" w:styleId="59">
    <w:name w:val="Grid Table 3 - Accent 6"/>
    <w:basedOn w:val="23"/>
    <w:qFormat/>
    <w:uiPriority w:val="99"/>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60">
    <w:name w:val="网格表 41"/>
    <w:basedOn w:val="23"/>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61">
    <w:name w:val="Grid Table 4 - Accent 1"/>
    <w:basedOn w:val="23"/>
    <w:qFormat/>
    <w:uiPriority w:val="59"/>
    <w:tblPr>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blStylePr w:type="firstRow">
      <w:rPr>
        <w:rFonts w:ascii="Arial" w:hAnsi="Arial"/>
        <w:b/>
        <w:color w:val="FFFFFF"/>
        <w:sz w:val="22"/>
      </w:rPr>
      <w:tcPr>
        <w:tcBorders>
          <w:top w:val="single" w:color="537DC8" w:themeColor="accent1" w:themeTint="EA" w:sz="4" w:space="0"/>
          <w:left w:val="single" w:color="537DC8" w:themeColor="accent1" w:themeTint="EA" w:sz="4" w:space="0"/>
          <w:bottom w:val="single" w:color="537DC8" w:themeColor="accent1" w:themeTint="EA" w:sz="4" w:space="0"/>
          <w:right w:val="single" w:color="537DC8" w:themeColor="accent1" w:themeTint="EA" w:sz="4" w:space="0"/>
        </w:tcBorders>
        <w:shd w:val="clear" w:color="537DC8" w:themeColor="accent1" w:themeTint="EA" w:fill="537DC8" w:themeFill="accent1" w:themeFillTint="EA"/>
      </w:tcPr>
    </w:tblStylePr>
    <w:tblStylePr w:type="lastRow">
      <w:rPr>
        <w:b/>
        <w:color w:val="404040"/>
      </w:rPr>
      <w:tcPr>
        <w:tcBorders>
          <w:top w:val="single" w:color="537DC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3F3" w:themeColor="accent1" w:themeTint="32" w:fill="DAE3F3" w:themeFill="accent1" w:themeFillTint="32"/>
      </w:tcPr>
    </w:tblStylePr>
    <w:tblStylePr w:type="band1Horz">
      <w:rPr>
        <w:rFonts w:ascii="Arial" w:hAnsi="Arial"/>
        <w:color w:val="404040"/>
        <w:sz w:val="22"/>
      </w:rPr>
      <w:tcPr>
        <w:shd w:val="clear" w:color="DAE3F3" w:themeColor="accent1" w:themeTint="32" w:fill="DAE3F3" w:themeFill="accent1" w:themeFillTint="32"/>
      </w:tcPr>
    </w:tblStylePr>
  </w:style>
  <w:style w:type="table" w:customStyle="1" w:styleId="62">
    <w:name w:val="Grid Table 4 - Accent 2"/>
    <w:basedOn w:val="23"/>
    <w:qFormat/>
    <w:uiPriority w:val="59"/>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4B285" w:themeColor="accent2" w:themeTint="97" w:fill="F4B285" w:themeFill="accent2" w:themeFillTint="97"/>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63">
    <w:name w:val="Grid Table 4 - Accent 3"/>
    <w:basedOn w:val="23"/>
    <w:qFormat/>
    <w:uiPriority w:val="59"/>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themeColor="accent3" w:themeTint="FE" w:fill="A5A5A5" w:themeFill="accent3" w:themeFillTint="FE"/>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64">
    <w:name w:val="Grid Table 4 - Accent 4"/>
    <w:basedOn w:val="23"/>
    <w:qFormat/>
    <w:uiPriority w:val="59"/>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D864" w:themeColor="accent4" w:themeTint="9A" w:fill="FFD864" w:themeFill="accent4" w:themeFillTint="9A"/>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65">
    <w:name w:val="Grid Table 4 - Accent 5"/>
    <w:basedOn w:val="23"/>
    <w:qFormat/>
    <w:uiPriority w:val="59"/>
    <w:tblPr>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firstRow">
      <w:rPr>
        <w:rFonts w:ascii="Arial" w:hAnsi="Arial"/>
        <w:b/>
        <w:color w:val="FFFFFF"/>
        <w:sz w:val="22"/>
      </w:rPr>
      <w:tcPr>
        <w:tcBorders>
          <w:top w:val="single" w:color="5B9BD5" w:themeColor="accent5" w:sz="4" w:space="0"/>
          <w:left w:val="single" w:color="5B9BD5" w:themeColor="accent5" w:sz="4" w:space="0"/>
          <w:bottom w:val="single" w:color="5B9BD5" w:themeColor="accent5" w:sz="4" w:space="0"/>
          <w:right w:val="single" w:color="5B9BD5" w:themeColor="accent5" w:sz="4" w:space="0"/>
        </w:tcBorders>
        <w:shd w:val="clear" w:color="5B9BD5" w:themeColor="accent5" w:fill="5B9BD5" w:themeFill="accent5"/>
      </w:tcPr>
    </w:tblStylePr>
    <w:tblStylePr w:type="lastRow">
      <w:rPr>
        <w:b/>
        <w:color w:val="404040"/>
      </w:rPr>
      <w:tcPr>
        <w:tcBorders>
          <w:top w:val="single" w:color="5B9BD5"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cPr>
        <w:shd w:val="clear" w:color="DDEAF6" w:themeColor="accent5" w:themeTint="34" w:fill="DDEAF6" w:themeFill="accent5" w:themeFillTint="34"/>
      </w:tcPr>
    </w:tblStylePr>
  </w:style>
  <w:style w:type="table" w:customStyle="1" w:styleId="66">
    <w:name w:val="Grid Table 4 - Accent 6"/>
    <w:basedOn w:val="23"/>
    <w:qFormat/>
    <w:uiPriority w:val="59"/>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themeColor="accent6" w:fill="70AD47" w:themeFill="accent6"/>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67">
    <w:name w:val="网格表 5 深色1"/>
    <w:basedOn w:val="2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68">
    <w:name w:val="Grid Table 5 Dark- Accent 1"/>
    <w:basedOn w:val="2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472C4" w:themeColor="accent1" w:fill="4472C4" w:themeFill="accent1"/>
      </w:tcPr>
    </w:tblStylePr>
    <w:tblStylePr w:type="lastRow">
      <w:rPr>
        <w:rFonts w:ascii="Arial" w:hAnsi="Arial"/>
        <w:b/>
        <w:color w:val="FFFFFF"/>
        <w:sz w:val="22"/>
      </w:rPr>
      <w:tcPr>
        <w:tcBorders>
          <w:top w:val="single" w:color="FFFFFF" w:themeColor="light1" w:sz="4" w:space="0"/>
        </w:tcBorders>
        <w:shd w:val="clear" w:color="4472C4" w:themeColor="accent1" w:fill="4472C4" w:themeFill="accent1"/>
      </w:tcPr>
    </w:tblStylePr>
    <w:tblStylePr w:type="firstCol">
      <w:rPr>
        <w:rFonts w:ascii="Arial" w:hAnsi="Arial"/>
        <w:b/>
        <w:color w:val="FFFFFF"/>
        <w:sz w:val="22"/>
      </w:rPr>
      <w:tcPr>
        <w:shd w:val="clear" w:color="4472C4" w:themeColor="accent1" w:fill="4472C4" w:themeFill="accent1"/>
      </w:tcPr>
    </w:tblStylePr>
    <w:tblStylePr w:type="lastCol">
      <w:rPr>
        <w:rFonts w:ascii="Arial" w:hAnsi="Arial"/>
        <w:b/>
        <w:color w:val="FFFFFF"/>
        <w:sz w:val="22"/>
      </w:rPr>
      <w:tcPr>
        <w:shd w:val="clear" w:color="4472C4" w:themeColor="accent1" w:fill="4472C4" w:themeFill="accent1"/>
      </w:tcPr>
    </w:tblStylePr>
    <w:tblStylePr w:type="band1Vert">
      <w:tcPr>
        <w:shd w:val="clear" w:color="A9BEE3" w:themeColor="accent1" w:themeTint="75" w:fill="A9BEE3" w:themeFill="accent1" w:themeFillTint="75"/>
      </w:tcPr>
    </w:tblStylePr>
    <w:tblStylePr w:type="band1Horz">
      <w:tcPr>
        <w:shd w:val="clear" w:color="A9BEE3" w:themeColor="accent1" w:themeTint="75" w:fill="A9BEE3" w:themeFill="accent1" w:themeFillTint="75"/>
      </w:tcPr>
    </w:tblStylePr>
  </w:style>
  <w:style w:type="table" w:customStyle="1" w:styleId="69">
    <w:name w:val="Grid Table 5 Dark - Accent 2"/>
    <w:basedOn w:val="2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D7D31" w:themeColor="accent2" w:fill="ED7D31" w:themeFill="accent2"/>
      </w:tcPr>
    </w:tblStylePr>
    <w:tblStylePr w:type="lastRow">
      <w:rPr>
        <w:rFonts w:ascii="Arial" w:hAnsi="Arial"/>
        <w:b/>
        <w:color w:val="FFFFFF"/>
        <w:sz w:val="22"/>
      </w:rPr>
      <w:tcPr>
        <w:tcBorders>
          <w:top w:val="single" w:color="FFFFFF" w:themeColor="light1" w:sz="4" w:space="0"/>
        </w:tcBorders>
        <w:shd w:val="clear" w:color="ED7D31" w:themeColor="accent2" w:fill="ED7D31" w:themeFill="accent2"/>
      </w:tcPr>
    </w:tblStylePr>
    <w:tblStylePr w:type="firstCol">
      <w:rPr>
        <w:rFonts w:ascii="Arial" w:hAnsi="Arial"/>
        <w:b/>
        <w:color w:val="FFFFFF"/>
        <w:sz w:val="22"/>
      </w:rPr>
      <w:tcPr>
        <w:shd w:val="clear" w:color="ED7D31" w:themeColor="accent2" w:fill="ED7D31" w:themeFill="accent2"/>
      </w:tcPr>
    </w:tblStylePr>
    <w:tblStylePr w:type="lastCol">
      <w:rPr>
        <w:rFonts w:ascii="Arial" w:hAnsi="Arial"/>
        <w:b/>
        <w:color w:val="FFFFFF"/>
        <w:sz w:val="22"/>
      </w:rPr>
      <w:tcPr>
        <w:shd w:val="clear" w:color="ED7D31" w:themeColor="accent2" w:fill="ED7D31" w:themeFill="accent2"/>
      </w:tcPr>
    </w:tblStylePr>
    <w:tblStylePr w:type="band1Vert">
      <w:tcPr>
        <w:shd w:val="clear" w:color="F6C3A0" w:themeColor="accent2" w:themeTint="75" w:fill="F6C3A0" w:themeFill="accent2" w:themeFillTint="75"/>
      </w:tcPr>
    </w:tblStylePr>
    <w:tblStylePr w:type="band1Horz">
      <w:tcPr>
        <w:shd w:val="clear" w:color="F6C3A0" w:themeColor="accent2" w:themeTint="75" w:fill="F6C3A0" w:themeFill="accent2" w:themeFillTint="75"/>
      </w:tcPr>
    </w:tblStylePr>
  </w:style>
  <w:style w:type="table" w:customStyle="1" w:styleId="70">
    <w:name w:val="Grid Table 5 Dark - Accent 3"/>
    <w:basedOn w:val="2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5A5A5" w:themeColor="accent3" w:fill="A5A5A5" w:themeFill="accent3"/>
      </w:tcPr>
    </w:tblStylePr>
    <w:tblStylePr w:type="lastRow">
      <w:rPr>
        <w:rFonts w:ascii="Arial" w:hAnsi="Arial"/>
        <w:b/>
        <w:color w:val="FFFFFF"/>
        <w:sz w:val="22"/>
      </w:rPr>
      <w:tcPr>
        <w:tcBorders>
          <w:top w:val="single" w:color="FFFFFF" w:themeColor="light1" w:sz="4" w:space="0"/>
        </w:tcBorders>
        <w:shd w:val="clear" w:color="A5A5A5" w:themeColor="accent3" w:fill="A5A5A5" w:themeFill="accent3"/>
      </w:tcPr>
    </w:tblStylePr>
    <w:tblStylePr w:type="firstCol">
      <w:rPr>
        <w:rFonts w:ascii="Arial" w:hAnsi="Arial"/>
        <w:b/>
        <w:color w:val="FFFFFF"/>
        <w:sz w:val="22"/>
      </w:rPr>
      <w:tcPr>
        <w:shd w:val="clear" w:color="A5A5A5" w:themeColor="accent3" w:fill="A5A5A5" w:themeFill="accent3"/>
      </w:tcPr>
    </w:tblStylePr>
    <w:tblStylePr w:type="lastCol">
      <w:rPr>
        <w:rFonts w:ascii="Arial" w:hAnsi="Arial"/>
        <w:b/>
        <w:color w:val="FFFFFF"/>
        <w:sz w:val="22"/>
      </w:rPr>
      <w:tcPr>
        <w:shd w:val="clear" w:color="A5A5A5" w:themeColor="accent3" w:fill="A5A5A5" w:themeFill="accent3"/>
      </w:tcPr>
    </w:tblStylePr>
    <w:tblStylePr w:type="band1Vert">
      <w:tcPr>
        <w:shd w:val="clear" w:color="D5D5D5" w:themeColor="accent3" w:themeTint="75" w:fill="D5D5D5" w:themeFill="accent3" w:themeFillTint="75"/>
      </w:tcPr>
    </w:tblStylePr>
    <w:tblStylePr w:type="band1Horz">
      <w:tcPr>
        <w:shd w:val="clear" w:color="D5D5D5" w:themeColor="accent3" w:themeTint="75" w:fill="D5D5D5" w:themeFill="accent3" w:themeFillTint="75"/>
      </w:tcPr>
    </w:tblStylePr>
  </w:style>
  <w:style w:type="table" w:customStyle="1" w:styleId="71">
    <w:name w:val="Grid Table 5 Dark- Accent 4"/>
    <w:basedOn w:val="2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C000" w:themeColor="accent4" w:fill="FFC000" w:themeFill="accent4"/>
      </w:tcPr>
    </w:tblStylePr>
    <w:tblStylePr w:type="lastRow">
      <w:rPr>
        <w:rFonts w:ascii="Arial" w:hAnsi="Arial"/>
        <w:b/>
        <w:color w:val="FFFFFF"/>
        <w:sz w:val="22"/>
      </w:rPr>
      <w:tcPr>
        <w:tcBorders>
          <w:top w:val="single" w:color="FFFFFF" w:themeColor="light1" w:sz="4" w:space="0"/>
        </w:tcBorders>
        <w:shd w:val="clear" w:color="FFC000" w:themeColor="accent4" w:fill="FFC000" w:themeFill="accent4"/>
      </w:tcPr>
    </w:tblStylePr>
    <w:tblStylePr w:type="firstCol">
      <w:rPr>
        <w:rFonts w:ascii="Arial" w:hAnsi="Arial"/>
        <w:b/>
        <w:color w:val="FFFFFF"/>
        <w:sz w:val="22"/>
      </w:rPr>
      <w:tcPr>
        <w:shd w:val="clear" w:color="FFC000" w:themeColor="accent4" w:fill="FFC000" w:themeFill="accent4"/>
      </w:tcPr>
    </w:tblStylePr>
    <w:tblStylePr w:type="lastCol">
      <w:rPr>
        <w:rFonts w:ascii="Arial" w:hAnsi="Arial"/>
        <w:b/>
        <w:color w:val="FFFFFF"/>
        <w:sz w:val="22"/>
      </w:rPr>
      <w:tcPr>
        <w:shd w:val="clear" w:color="FFC000" w:themeColor="accent4" w:fill="FFC000" w:themeFill="accent4"/>
      </w:tcPr>
    </w:tblStylePr>
    <w:tblStylePr w:type="band1Vert">
      <w:tcPr>
        <w:shd w:val="clear" w:color="FEE289" w:themeColor="accent4" w:themeTint="75" w:fill="FEE289" w:themeFill="accent4" w:themeFillTint="75"/>
      </w:tcPr>
    </w:tblStylePr>
    <w:tblStylePr w:type="band1Horz">
      <w:tcPr>
        <w:shd w:val="clear" w:color="FEE289" w:themeColor="accent4" w:themeTint="75" w:fill="FEE289" w:themeFill="accent4" w:themeFillTint="75"/>
      </w:tcPr>
    </w:tblStylePr>
  </w:style>
  <w:style w:type="table" w:customStyle="1" w:styleId="72">
    <w:name w:val="Grid Table 5 Dark - Accent 5"/>
    <w:basedOn w:val="2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5B9BD5" w:themeColor="accent5" w:fill="5B9BD5" w:themeFill="accent5"/>
      </w:tcPr>
    </w:tblStylePr>
    <w:tblStylePr w:type="lastRow">
      <w:rPr>
        <w:rFonts w:ascii="Arial" w:hAnsi="Arial"/>
        <w:b/>
        <w:color w:val="FFFFFF"/>
        <w:sz w:val="22"/>
      </w:rPr>
      <w:tcPr>
        <w:tcBorders>
          <w:top w:val="single" w:color="FFFFFF" w:themeColor="light1" w:sz="4" w:space="0"/>
        </w:tcBorders>
        <w:shd w:val="clear" w:color="5B9BD5" w:themeColor="accent5" w:fill="5B9BD5" w:themeFill="accent5"/>
      </w:tcPr>
    </w:tblStylePr>
    <w:tblStylePr w:type="firstCol">
      <w:rPr>
        <w:rFonts w:ascii="Arial" w:hAnsi="Arial"/>
        <w:b/>
        <w:color w:val="FFFFFF"/>
        <w:sz w:val="22"/>
      </w:rPr>
      <w:tcPr>
        <w:shd w:val="clear" w:color="5B9BD5" w:themeColor="accent5" w:fill="5B9BD5" w:themeFill="accent5"/>
      </w:tcPr>
    </w:tblStylePr>
    <w:tblStylePr w:type="lastCol">
      <w:rPr>
        <w:rFonts w:ascii="Arial" w:hAnsi="Arial"/>
        <w:b/>
        <w:color w:val="FFFFFF"/>
        <w:sz w:val="22"/>
      </w:rPr>
      <w:tcPr>
        <w:shd w:val="clear" w:color="5B9BD5" w:themeColor="accent5" w:fill="5B9BD5" w:themeFill="accent5"/>
      </w:tcPr>
    </w:tblStylePr>
    <w:tblStylePr w:type="band1Vert">
      <w:tcPr>
        <w:shd w:val="clear" w:color="B3D1EB" w:themeColor="accent5" w:themeTint="75" w:fill="B3D1EB" w:themeFill="accent5" w:themeFillTint="75"/>
      </w:tcPr>
    </w:tblStylePr>
    <w:tblStylePr w:type="band1Horz">
      <w:tcPr>
        <w:shd w:val="clear" w:color="B3D1EB" w:themeColor="accent5" w:themeTint="75" w:fill="B3D1EB" w:themeFill="accent5" w:themeFillTint="75"/>
      </w:tcPr>
    </w:tblStylePr>
  </w:style>
  <w:style w:type="table" w:customStyle="1" w:styleId="73">
    <w:name w:val="Grid Table 5 Dark - Accent 6"/>
    <w:basedOn w:val="2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70AD47" w:themeColor="accent6" w:fill="70AD47" w:themeFill="accent6"/>
      </w:tcPr>
    </w:tblStylePr>
    <w:tblStylePr w:type="lastRow">
      <w:rPr>
        <w:rFonts w:ascii="Arial" w:hAnsi="Arial"/>
        <w:b/>
        <w:color w:val="FFFFFF"/>
        <w:sz w:val="22"/>
      </w:rPr>
      <w:tcPr>
        <w:tcBorders>
          <w:top w:val="single" w:color="FFFFFF" w:themeColor="light1" w:sz="4" w:space="0"/>
        </w:tcBorders>
        <w:shd w:val="clear" w:color="70AD47" w:themeColor="accent6" w:fill="70AD47" w:themeFill="accent6"/>
      </w:tcPr>
    </w:tblStylePr>
    <w:tblStylePr w:type="firstCol">
      <w:rPr>
        <w:rFonts w:ascii="Arial" w:hAnsi="Arial"/>
        <w:b/>
        <w:color w:val="FFFFFF"/>
        <w:sz w:val="22"/>
      </w:rPr>
      <w:tcPr>
        <w:shd w:val="clear" w:color="70AD47" w:themeColor="accent6" w:fill="70AD47" w:themeFill="accent6"/>
      </w:tcPr>
    </w:tblStylePr>
    <w:tblStylePr w:type="lastCol">
      <w:rPr>
        <w:rFonts w:ascii="Arial" w:hAnsi="Arial"/>
        <w:b/>
        <w:color w:val="FFFFFF"/>
        <w:sz w:val="22"/>
      </w:rPr>
      <w:tcPr>
        <w:shd w:val="clear" w:color="70AD47" w:themeColor="accent6" w:fill="70AD47" w:themeFill="accent6"/>
      </w:tcPr>
    </w:tblStylePr>
    <w:tblStylePr w:type="band1Vert">
      <w:tcPr>
        <w:shd w:val="clear" w:color="BCDBA8" w:themeColor="accent6" w:themeTint="75" w:fill="BCDBA8" w:themeFill="accent6" w:themeFillTint="75"/>
      </w:tcPr>
    </w:tblStylePr>
    <w:tblStylePr w:type="band1Horz">
      <w:tcPr>
        <w:shd w:val="clear" w:color="BCDBA8" w:themeColor="accent6" w:themeTint="75" w:fill="BCDBA8" w:themeFill="accent6" w:themeFillTint="75"/>
      </w:tcPr>
    </w:tblStylePr>
  </w:style>
  <w:style w:type="table" w:customStyle="1" w:styleId="74">
    <w:name w:val="网格表 6 彩色1"/>
    <w:basedOn w:val="23"/>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75">
    <w:name w:val="Grid Table 6 Colorful - Accent 1"/>
    <w:basedOn w:val="23"/>
    <w:qFormat/>
    <w:uiPriority w:val="99"/>
    <w:tblPr>
      <w:tblBorders>
        <w:top w:val="single" w:color="A1B8E1" w:themeColor="accent1" w:themeTint="80" w:sz="4" w:space="0"/>
        <w:left w:val="single" w:color="A1B8E1" w:themeColor="accent1" w:themeTint="80" w:sz="4" w:space="0"/>
        <w:bottom w:val="single" w:color="A1B8E1" w:themeColor="accent1" w:themeTint="80" w:sz="4" w:space="0"/>
        <w:right w:val="single" w:color="A1B8E1" w:themeColor="accent1" w:themeTint="80" w:sz="4" w:space="0"/>
        <w:insideH w:val="single" w:color="A1B8E1" w:themeColor="accent1" w:themeTint="80" w:sz="4" w:space="0"/>
        <w:insideV w:val="single" w:color="A1B8E1" w:themeColor="accent1" w:themeTint="80" w:sz="4" w:space="0"/>
      </w:tblBorders>
    </w:tblPr>
    <w:tblStylePr w:type="firstRow">
      <w:rPr>
        <w:b/>
        <w:color w:val="A2B9E2" w:themeColor="accent1" w:themeTint="80"/>
        <w14:textFill>
          <w14:solidFill>
            <w14:schemeClr w14:val="accent1">
              <w14:lumMod w14:val="50000"/>
              <w14:lumOff w14:val="50000"/>
            </w14:schemeClr>
          </w14:solidFill>
        </w14:textFill>
      </w:rPr>
      <w:tcPr>
        <w:tcBorders>
          <w:bottom w:val="single" w:color="A1B8E1" w:themeColor="accent1" w:themeTint="80" w:sz="12" w:space="0"/>
        </w:tcBorders>
      </w:tcPr>
    </w:tblStylePr>
    <w:tblStylePr w:type="lastRow">
      <w:rPr>
        <w:b/>
        <w:color w:val="A2B9E2" w:themeColor="accent1" w:themeTint="80"/>
        <w14:textFill>
          <w14:solidFill>
            <w14:schemeClr w14:val="accent1">
              <w14:lumMod w14:val="50000"/>
              <w14:lumOff w14:val="50000"/>
            </w14:schemeClr>
          </w14:solidFill>
        </w14:textFill>
      </w:rPr>
    </w:tblStylePr>
    <w:tblStylePr w:type="firstCol">
      <w:rPr>
        <w:b/>
        <w:color w:val="A2B9E2" w:themeColor="accent1" w:themeTint="80"/>
        <w14:textFill>
          <w14:solidFill>
            <w14:schemeClr w14:val="accent1">
              <w14:lumMod w14:val="50000"/>
              <w14:lumOff w14:val="50000"/>
            </w14:schemeClr>
          </w14:solidFill>
        </w14:textFill>
      </w:rPr>
    </w:tblStylePr>
    <w:tblStylePr w:type="lastCol">
      <w:rPr>
        <w:b/>
        <w:color w:val="A2B9E2" w:themeColor="accent1" w:themeTint="80"/>
        <w14:textFill>
          <w14:solidFill>
            <w14:schemeClr w14:val="accent1">
              <w14:lumMod w14:val="50000"/>
              <w14:lumOff w14:val="50000"/>
            </w14:schemeClr>
          </w14:solidFill>
        </w14:textFill>
      </w:rPr>
    </w:tblStylePr>
    <w:tblStylePr w:type="band1Vert">
      <w:tcPr>
        <w:shd w:val="clear" w:color="D8E2F2" w:themeColor="accent1" w:themeTint="34" w:fill="D8E2F2" w:themeFill="accent1" w:themeFillTint="34"/>
      </w:tcPr>
    </w:tblStylePr>
    <w:tblStylePr w:type="band1Horz">
      <w:rPr>
        <w:rFonts w:ascii="Arial" w:hAnsi="Arial"/>
        <w:color w:val="A2B9E2" w:themeColor="accent1" w:themeTint="80"/>
        <w:sz w:val="22"/>
        <w14:textFill>
          <w14:solidFill>
            <w14:schemeClr w14:val="accent1">
              <w14:lumMod w14:val="50000"/>
              <w14:lumOff w14:val="50000"/>
            </w14:schemeClr>
          </w14:solidFill>
        </w14:textFill>
      </w:rPr>
      <w:tcPr>
        <w:shd w:val="clear" w:color="D8E2F2" w:themeColor="accent1" w:themeTint="34" w:fill="D8E2F2" w:themeFill="accent1" w:themeFillTint="34"/>
      </w:tcPr>
    </w:tblStylePr>
    <w:tblStylePr w:type="band2Horz">
      <w:rPr>
        <w:rFonts w:ascii="Arial" w:hAnsi="Arial"/>
        <w:color w:val="A2B9E2" w:themeColor="accent1" w:themeTint="80"/>
        <w:sz w:val="22"/>
        <w14:textFill>
          <w14:solidFill>
            <w14:schemeClr w14:val="accent1">
              <w14:lumMod w14:val="50000"/>
              <w14:lumOff w14:val="50000"/>
            </w14:schemeClr>
          </w14:solidFill>
        </w14:textFill>
      </w:rPr>
    </w:tblStylePr>
  </w:style>
  <w:style w:type="table" w:customStyle="1" w:styleId="76">
    <w:name w:val="Grid Table 6 Colorful - Accent 2"/>
    <w:basedOn w:val="23"/>
    <w:qFormat/>
    <w:uiPriority w:val="99"/>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BE5D6" w:themeColor="accent2" w:themeTint="32"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77">
    <w:name w:val="Grid Table 6 Colorful - Accent 3"/>
    <w:basedOn w:val="23"/>
    <w:qFormat/>
    <w:uiPriority w:val="99"/>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14:textFill>
          <w14:solidFill>
            <w14:schemeClr w14:val="accent3"/>
          </w14:solidFill>
        </w14:textFill>
      </w:rPr>
      <w:tcPr>
        <w:tcBorders>
          <w:bottom w:val="single" w:color="A5A5A5" w:themeColor="accent3" w:themeTint="FE" w:sz="12" w:space="0"/>
        </w:tcBorders>
      </w:tcPr>
    </w:tblStylePr>
    <w:tblStylePr w:type="lastRow">
      <w:rPr>
        <w:b/>
        <w:color w:val="A5A5A5" w:themeColor="accent3"/>
        <w14:textFill>
          <w14:solidFill>
            <w14:schemeClr w14:val="accent3"/>
          </w14:solidFill>
        </w14:textFill>
      </w:rPr>
    </w:tblStylePr>
    <w:tblStylePr w:type="firstCol">
      <w:rPr>
        <w:b/>
        <w:color w:val="A5A5A5" w:themeColor="accent3"/>
        <w14:textFill>
          <w14:solidFill>
            <w14:schemeClr w14:val="accent3"/>
          </w14:solidFill>
        </w14:textFill>
      </w:rPr>
    </w:tblStylePr>
    <w:tblStylePr w:type="lastCol">
      <w:rPr>
        <w:b/>
        <w:color w:val="A5A5A5" w:themeColor="accent3"/>
        <w14:textFill>
          <w14:solidFill>
            <w14:schemeClr w14:val="accent3"/>
          </w14:solidFill>
        </w14:textFill>
      </w:rPr>
    </w:tblStylePr>
    <w:tblStylePr w:type="band1Vert">
      <w:tcPr>
        <w:shd w:val="clear" w:color="ECECEC" w:themeColor="accent3" w:themeTint="34" w:fill="ECECEC" w:themeFill="accent3" w:themeFillTint="34"/>
      </w:tcPr>
    </w:tblStylePr>
    <w:tblStylePr w:type="band1Horz">
      <w:rPr>
        <w:rFonts w:ascii="Arial" w:hAnsi="Arial"/>
        <w:color w:val="A5A5A5" w:themeColor="accent3"/>
        <w:sz w:val="22"/>
        <w14:textFill>
          <w14:solidFill>
            <w14:schemeClr w14:val="accent3"/>
          </w14:solidFill>
        </w14:textFill>
      </w:rPr>
      <w:tcPr>
        <w:shd w:val="clear" w:color="ECECEC" w:themeColor="accent3" w:themeTint="34" w:fill="ECECEC" w:themeFill="accent3" w:themeFillTint="34"/>
      </w:tcPr>
    </w:tblStylePr>
    <w:tblStylePr w:type="band2Horz">
      <w:rPr>
        <w:rFonts w:ascii="Arial" w:hAnsi="Arial"/>
        <w:color w:val="A5A5A5" w:themeColor="accent3"/>
        <w:sz w:val="22"/>
        <w14:textFill>
          <w14:solidFill>
            <w14:schemeClr w14:val="accent3"/>
          </w14:solidFill>
        </w14:textFill>
      </w:rPr>
    </w:tblStylePr>
  </w:style>
  <w:style w:type="table" w:customStyle="1" w:styleId="78">
    <w:name w:val="Grid Table 6 Colorful - Accent 4"/>
    <w:basedOn w:val="23"/>
    <w:qFormat/>
    <w:uiPriority w:val="99"/>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EF2CA" w:themeColor="accent4" w:themeTint="34"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79">
    <w:name w:val="Grid Table 6 Colorful - Accent 5"/>
    <w:basedOn w:val="23"/>
    <w:qFormat/>
    <w:uiPriority w:val="99"/>
    <w:tblPr>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blStylePr w:type="firstRow">
      <w:rPr>
        <w:b/>
        <w:color w:val="245B8C" w:themeColor="accent5" w:themeShade="94"/>
      </w:rPr>
      <w:tcPr>
        <w:tcBorders>
          <w:bottom w:val="single" w:color="5B9BD5" w:themeColor="accent5" w:sz="12" w:space="0"/>
        </w:tcBorders>
      </w:tcPr>
    </w:tblStylePr>
    <w:tblStylePr w:type="lastRow">
      <w:rPr>
        <w:b/>
        <w:color w:val="245B8C" w:themeColor="accent5" w:themeShade="94"/>
      </w:rPr>
    </w:tblStylePr>
    <w:tblStylePr w:type="firstCol">
      <w:rPr>
        <w:b/>
        <w:color w:val="245B8C" w:themeColor="accent5" w:themeShade="94"/>
      </w:rPr>
    </w:tblStylePr>
    <w:tblStylePr w:type="lastCol">
      <w:rPr>
        <w:b/>
        <w:color w:val="245B8C" w:themeColor="accent5" w:themeShade="94"/>
      </w:rPr>
    </w:tblStylePr>
    <w:tblStylePr w:type="band1Vert">
      <w:tcPr>
        <w:shd w:val="clear" w:color="DDEAF6" w:themeColor="accent5" w:themeTint="34" w:fill="DDEAF6" w:themeFill="accent5" w:themeFillTint="34"/>
      </w:tcPr>
    </w:tblStylePr>
    <w:tblStylePr w:type="band1Horz">
      <w:rPr>
        <w:rFonts w:ascii="Arial" w:hAnsi="Arial"/>
        <w:color w:val="245B8C" w:themeColor="accent5" w:themeShade="94"/>
        <w:sz w:val="22"/>
      </w:rPr>
      <w:tcPr>
        <w:shd w:val="clear" w:color="DDEAF6" w:themeColor="accent5" w:themeTint="34" w:fill="DDEAF6" w:themeFill="accent5" w:themeFillTint="34"/>
      </w:tcPr>
    </w:tblStylePr>
    <w:tblStylePr w:type="band2Horz">
      <w:rPr>
        <w:rFonts w:ascii="Arial" w:hAnsi="Arial"/>
        <w:color w:val="245B8C" w:themeColor="accent5" w:themeShade="94"/>
        <w:sz w:val="22"/>
      </w:rPr>
    </w:tblStylePr>
  </w:style>
  <w:style w:type="table" w:customStyle="1" w:styleId="80">
    <w:name w:val="Grid Table 6 Colorful - Accent 6"/>
    <w:basedOn w:val="23"/>
    <w:qFormat/>
    <w:uiPriority w:val="99"/>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45B8C" w:themeColor="accent5" w:themeShade="94"/>
      </w:rPr>
      <w:tcPr>
        <w:tcBorders>
          <w:bottom w:val="single" w:color="70AD47" w:themeColor="accent6" w:sz="12" w:space="0"/>
        </w:tcBorders>
      </w:tcPr>
    </w:tblStylePr>
    <w:tblStylePr w:type="lastRow">
      <w:rPr>
        <w:b/>
        <w:color w:val="245B8C" w:themeColor="accent5" w:themeShade="94"/>
      </w:rPr>
    </w:tblStylePr>
    <w:tblStylePr w:type="firstCol">
      <w:rPr>
        <w:b/>
        <w:color w:val="245B8C" w:themeColor="accent5" w:themeShade="94"/>
      </w:rPr>
    </w:tblStylePr>
    <w:tblStylePr w:type="lastCol">
      <w:rPr>
        <w:b/>
        <w:color w:val="245B8C" w:themeColor="accent5" w:themeShade="94"/>
      </w:rPr>
    </w:tblStylePr>
    <w:tblStylePr w:type="band1Vert">
      <w:tcPr>
        <w:shd w:val="clear" w:color="E1EFD8" w:themeColor="accent6" w:themeTint="34" w:fill="E1EFD8" w:themeFill="accent6" w:themeFillTint="34"/>
      </w:tcPr>
    </w:tblStylePr>
    <w:tblStylePr w:type="band1Horz">
      <w:rPr>
        <w:rFonts w:ascii="Arial" w:hAnsi="Arial"/>
        <w:color w:val="245B8C" w:themeColor="accent5" w:themeShade="94"/>
        <w:sz w:val="22"/>
      </w:rPr>
      <w:tcPr>
        <w:shd w:val="clear" w:color="E1EFD8" w:themeColor="accent6" w:themeTint="34" w:fill="E1EFD8" w:themeFill="accent6" w:themeFillTint="34"/>
      </w:tcPr>
    </w:tblStylePr>
    <w:tblStylePr w:type="band2Horz">
      <w:rPr>
        <w:rFonts w:ascii="Arial" w:hAnsi="Arial"/>
        <w:color w:val="245B8C" w:themeColor="accent5" w:themeShade="94"/>
        <w:sz w:val="22"/>
      </w:rPr>
    </w:tblStylePr>
  </w:style>
  <w:style w:type="table" w:customStyle="1" w:styleId="81">
    <w:name w:val="网格表 7 彩色1"/>
    <w:basedOn w:val="23"/>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82">
    <w:name w:val="Grid Table 7 Colorful - Accent 1"/>
    <w:basedOn w:val="23"/>
    <w:qFormat/>
    <w:uiPriority w:val="99"/>
    <w:tblPr>
      <w:tblBorders>
        <w:bottom w:val="single" w:color="A1B8E1" w:themeColor="accent1" w:themeTint="80" w:sz="4" w:space="0"/>
        <w:right w:val="single" w:color="A1B8E1" w:themeColor="accent1" w:themeTint="80" w:sz="4" w:space="0"/>
        <w:insideH w:val="single" w:color="A1B8E1" w:themeColor="accent1" w:themeTint="80" w:sz="4" w:space="0"/>
        <w:insideV w:val="single" w:color="A1B8E1" w:themeColor="accent1" w:themeTint="80" w:sz="4" w:space="0"/>
      </w:tblBorders>
    </w:tblPr>
    <w:tblStylePr w:type="firstRow">
      <w:rPr>
        <w:rFonts w:ascii="Arial" w:hAnsi="Arial"/>
        <w:b/>
        <w:color w:val="A2B9E2" w:themeColor="accent1" w:themeTint="80"/>
        <w:sz w:val="22"/>
        <w14:textFill>
          <w14:solidFill>
            <w14:schemeClr w14:val="accent1">
              <w14:lumMod w14:val="50000"/>
              <w14:lumOff w14:val="50000"/>
            </w14:schemeClr>
          </w14:solidFill>
        </w14:textFill>
      </w:rPr>
      <w:tcPr>
        <w:tcBorders>
          <w:top w:val="nil"/>
          <w:left w:val="nil"/>
          <w:bottom w:val="single" w:color="A1B8E1" w:themeColor="accent1" w:themeTint="80" w:sz="4" w:space="0"/>
          <w:right w:val="nil"/>
        </w:tcBorders>
        <w:shd w:val="clear" w:color="FFFFFF" w:themeColor="light1" w:fill="FFFFFF" w:themeFill="light1"/>
      </w:tcPr>
    </w:tblStylePr>
    <w:tblStylePr w:type="lastRow">
      <w:rPr>
        <w:rFonts w:ascii="Arial" w:hAnsi="Arial"/>
        <w:b/>
        <w:color w:val="A2B9E2" w:themeColor="accent1" w:themeTint="80"/>
        <w:sz w:val="22"/>
        <w14:textFill>
          <w14:solidFill>
            <w14:schemeClr w14:val="accent1">
              <w14:lumMod w14:val="50000"/>
              <w14:lumOff w14:val="50000"/>
            </w14:schemeClr>
          </w14:solidFill>
        </w14:textFill>
      </w:rPr>
      <w:tcPr>
        <w:tcBorders>
          <w:top w:val="single" w:color="A1B8E1"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2B9E2" w:themeColor="accent1" w:themeTint="80"/>
        <w:sz w:val="22"/>
        <w14:textFill>
          <w14:solidFill>
            <w14:schemeClr w14:val="accent1">
              <w14:lumMod w14:val="50000"/>
              <w14:lumOff w14:val="50000"/>
            </w14:schemeClr>
          </w14:solidFill>
        </w14:textFill>
      </w:rPr>
      <w:tcPr>
        <w:tcBorders>
          <w:top w:val="nil"/>
          <w:left w:val="nil"/>
          <w:bottom w:val="nil"/>
          <w:right w:val="single" w:color="A1B8E1" w:themeColor="accent1" w:themeTint="80" w:sz="4" w:space="0"/>
        </w:tcBorders>
        <w:shd w:val="clear" w:color="FFFFFF" w:fill="auto"/>
      </w:tcPr>
    </w:tblStylePr>
    <w:tblStylePr w:type="lastCol">
      <w:rPr>
        <w:rFonts w:ascii="Arial" w:hAnsi="Arial"/>
        <w:i/>
        <w:color w:val="A2B9E2" w:themeColor="accent1" w:themeTint="80"/>
        <w:sz w:val="22"/>
        <w14:textFill>
          <w14:solidFill>
            <w14:schemeClr w14:val="accent1">
              <w14:lumMod w14:val="50000"/>
              <w14:lumOff w14:val="50000"/>
            </w14:schemeClr>
          </w14:solidFill>
        </w14:textFill>
      </w:rPr>
      <w:tcPr>
        <w:tcBorders>
          <w:top w:val="nil"/>
          <w:left w:val="single" w:color="A1B8E1" w:themeColor="accent1" w:themeTint="80" w:sz="4" w:space="0"/>
          <w:bottom w:val="nil"/>
          <w:right w:val="nil"/>
        </w:tcBorders>
        <w:shd w:val="clear" w:color="FFFFFF" w:fill="auto"/>
      </w:tcPr>
    </w:tblStylePr>
    <w:tblStylePr w:type="band1Vert">
      <w:tcPr>
        <w:shd w:val="clear" w:color="D8E2F2" w:themeColor="accent1" w:themeTint="34" w:fill="D8E2F2" w:themeFill="accent1" w:themeFillTint="34"/>
      </w:tcPr>
    </w:tblStylePr>
    <w:tblStylePr w:type="band1Horz">
      <w:rPr>
        <w:rFonts w:ascii="Arial" w:hAnsi="Arial"/>
        <w:color w:val="A2B9E2" w:themeColor="accent1" w:themeTint="80"/>
        <w:sz w:val="22"/>
        <w14:textFill>
          <w14:solidFill>
            <w14:schemeClr w14:val="accent1">
              <w14:lumMod w14:val="50000"/>
              <w14:lumOff w14:val="50000"/>
            </w14:schemeClr>
          </w14:solidFill>
        </w14:textFill>
      </w:rPr>
      <w:tcPr>
        <w:shd w:val="clear" w:color="D8E2F2" w:themeColor="accent1" w:themeTint="34" w:fill="D8E2F2" w:themeFill="accent1" w:themeFillTint="34"/>
      </w:tcPr>
    </w:tblStylePr>
    <w:tblStylePr w:type="band2Horz">
      <w:rPr>
        <w:rFonts w:ascii="Arial" w:hAnsi="Arial"/>
        <w:color w:val="A2B9E2" w:themeColor="accent1" w:themeTint="80"/>
        <w:sz w:val="22"/>
        <w14:textFill>
          <w14:solidFill>
            <w14:schemeClr w14:val="accent1">
              <w14:lumMod w14:val="50000"/>
              <w14:lumOff w14:val="50000"/>
            </w14:schemeClr>
          </w14:solidFill>
        </w14:textFill>
      </w:rPr>
    </w:tblStylePr>
  </w:style>
  <w:style w:type="table" w:customStyle="1" w:styleId="83">
    <w:name w:val="Grid Table 7 Colorful - Accent 2"/>
    <w:basedOn w:val="23"/>
    <w:qFormat/>
    <w:uiPriority w:val="99"/>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BE5D6" w:themeColor="accent2" w:themeTint="32"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84">
    <w:name w:val="Grid Table 7 Colorful - Accent 3"/>
    <w:basedOn w:val="23"/>
    <w:qFormat/>
    <w:uiPriority w:val="99"/>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sz w:val="22"/>
        <w14:textFill>
          <w14:solidFill>
            <w14:schemeClr w14:val="accent3"/>
          </w14:solidFill>
        </w14:textFill>
      </w:rPr>
      <w:tcPr>
        <w:tcBorders>
          <w:top w:val="nil"/>
          <w:left w:val="nil"/>
          <w:bottom w:val="single" w:color="A5A5A5" w:themeColor="accent3" w:themeTint="FE" w:sz="4" w:space="0"/>
          <w:right w:val="nil"/>
        </w:tcBorders>
        <w:shd w:val="clear" w:color="FFFFFF" w:themeColor="light1" w:fill="FFFFFF" w:themeFill="light1"/>
      </w:tcPr>
    </w:tblStylePr>
    <w:tblStylePr w:type="lastRow">
      <w:rPr>
        <w:rFonts w:ascii="Arial" w:hAnsi="Arial"/>
        <w:b/>
        <w:color w:val="A5A5A5" w:themeColor="accent3"/>
        <w:sz w:val="22"/>
        <w14:textFill>
          <w14:solidFill>
            <w14:schemeClr w14:val="accent3"/>
          </w14:solidFill>
        </w14:textFill>
      </w:rPr>
      <w:tcPr>
        <w:tcBorders>
          <w:top w:val="single" w:color="A5A5A5"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A5A5A5" w:themeColor="accent3"/>
        <w:sz w:val="22"/>
        <w14:textFill>
          <w14:solidFill>
            <w14:schemeClr w14:val="accent3"/>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sz w:val="22"/>
        <w14:textFill>
          <w14:solidFill>
            <w14:schemeClr w14:val="accent3"/>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ECECEC" w:themeColor="accent3" w:themeTint="34" w:fill="ECECEC" w:themeFill="accent3" w:themeFillTint="34"/>
      </w:tcPr>
    </w:tblStylePr>
    <w:tblStylePr w:type="band1Horz">
      <w:rPr>
        <w:rFonts w:ascii="Arial" w:hAnsi="Arial"/>
        <w:color w:val="A5A5A5" w:themeColor="accent3"/>
        <w:sz w:val="22"/>
        <w14:textFill>
          <w14:solidFill>
            <w14:schemeClr w14:val="accent3"/>
          </w14:solidFill>
        </w14:textFill>
      </w:rPr>
      <w:tcPr>
        <w:shd w:val="clear" w:color="ECECEC" w:themeColor="accent3" w:themeTint="34" w:fill="ECECEC" w:themeFill="accent3" w:themeFillTint="34"/>
      </w:tcPr>
    </w:tblStylePr>
    <w:tblStylePr w:type="band2Horz">
      <w:rPr>
        <w:rFonts w:ascii="Arial" w:hAnsi="Arial"/>
        <w:color w:val="A5A5A5" w:themeColor="accent3"/>
        <w:sz w:val="22"/>
        <w14:textFill>
          <w14:solidFill>
            <w14:schemeClr w14:val="accent3"/>
          </w14:solidFill>
        </w14:textFill>
      </w:rPr>
    </w:tblStylePr>
  </w:style>
  <w:style w:type="table" w:customStyle="1" w:styleId="85">
    <w:name w:val="Grid Table 7 Colorful - Accent 4"/>
    <w:basedOn w:val="23"/>
    <w:qFormat/>
    <w:uiPriority w:val="99"/>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EF2CA" w:themeColor="accent4" w:themeTint="34"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86">
    <w:name w:val="Grid Table 7 Colorful - Accent 5"/>
    <w:basedOn w:val="23"/>
    <w:qFormat/>
    <w:uiPriority w:val="99"/>
    <w:tblPr>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firstRow">
      <w:rPr>
        <w:rFonts w:ascii="Arial" w:hAnsi="Arial"/>
        <w:b/>
        <w:color w:val="245B8C" w:themeColor="accent5" w:themeShade="94"/>
        <w:sz w:val="22"/>
      </w:rPr>
      <w:tcPr>
        <w:tcBorders>
          <w:top w:val="nil"/>
          <w:left w:val="nil"/>
          <w:bottom w:val="single" w:color="A2C6E7" w:themeColor="accent5" w:themeTint="90" w:sz="4" w:space="0"/>
          <w:right w:val="nil"/>
        </w:tcBorders>
        <w:shd w:val="clear" w:color="FFFFFF" w:themeColor="light1" w:fill="FFFFFF" w:themeFill="light1"/>
      </w:tcPr>
    </w:tblStylePr>
    <w:tblStylePr w:type="lastRow">
      <w:rPr>
        <w:rFonts w:ascii="Arial" w:hAnsi="Arial"/>
        <w:b/>
        <w:color w:val="245B8C" w:themeColor="accent5" w:themeShade="94"/>
        <w:sz w:val="22"/>
      </w:rPr>
      <w:tcPr>
        <w:tcBorders>
          <w:top w:val="single" w:color="A2C6E7"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45B8C" w:themeColor="accent5" w:themeShade="94"/>
        <w:sz w:val="22"/>
      </w:rPr>
      <w:tcPr>
        <w:tcBorders>
          <w:top w:val="nil"/>
          <w:left w:val="nil"/>
          <w:bottom w:val="nil"/>
          <w:right w:val="single" w:color="A2C6E7" w:themeColor="accent5" w:themeTint="90" w:sz="4" w:space="0"/>
        </w:tcBorders>
        <w:shd w:val="clear" w:color="FFFFFF" w:fill="auto"/>
      </w:tcPr>
    </w:tblStylePr>
    <w:tblStylePr w:type="lastCol">
      <w:rPr>
        <w:rFonts w:ascii="Arial" w:hAnsi="Arial"/>
        <w:i/>
        <w:color w:val="245B8C" w:themeColor="accent5" w:themeShade="94"/>
        <w:sz w:val="22"/>
      </w:rPr>
      <w:tcPr>
        <w:tcBorders>
          <w:top w:val="nil"/>
          <w:left w:val="single" w:color="A2C6E7" w:themeColor="accent5" w:themeTint="90" w:sz="4" w:space="0"/>
          <w:bottom w:val="nil"/>
          <w:right w:val="nil"/>
        </w:tcBorders>
        <w:shd w:val="clear" w:color="FFFFFF" w:fill="auto"/>
      </w:tcPr>
    </w:tblStylePr>
    <w:tblStylePr w:type="band1Vert">
      <w:tcPr>
        <w:shd w:val="clear" w:color="DDEAF6" w:themeColor="accent5" w:themeTint="34" w:fill="DDEAF6" w:themeFill="accent5" w:themeFillTint="34"/>
      </w:tcPr>
    </w:tblStylePr>
    <w:tblStylePr w:type="band1Horz">
      <w:rPr>
        <w:rFonts w:ascii="Arial" w:hAnsi="Arial"/>
        <w:color w:val="245B8C" w:themeColor="accent5" w:themeShade="94"/>
        <w:sz w:val="22"/>
      </w:rPr>
      <w:tcPr>
        <w:shd w:val="clear" w:color="DDEAF6" w:themeColor="accent5" w:themeTint="34" w:fill="DDEAF6" w:themeFill="accent5" w:themeFillTint="34"/>
      </w:tcPr>
    </w:tblStylePr>
    <w:tblStylePr w:type="band2Horz">
      <w:rPr>
        <w:rFonts w:ascii="Arial" w:hAnsi="Arial"/>
        <w:color w:val="245B8C" w:themeColor="accent5" w:themeShade="94"/>
        <w:sz w:val="22"/>
      </w:rPr>
    </w:tblStylePr>
  </w:style>
  <w:style w:type="table" w:customStyle="1" w:styleId="87">
    <w:name w:val="Grid Table 7 Colorful - Accent 6"/>
    <w:basedOn w:val="23"/>
    <w:qFormat/>
    <w:uiPriority w:val="99"/>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themeColor="light1" w:fill="FFFFFF" w:themeFill="light1"/>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E1EFD8" w:themeColor="accent6" w:themeTint="34" w:fill="E1EFD8" w:themeFill="accent6" w:themeFillTint="34"/>
      </w:tcPr>
    </w:tblStylePr>
    <w:tblStylePr w:type="band1Horz">
      <w:rPr>
        <w:rFonts w:ascii="Arial" w:hAnsi="Arial"/>
        <w:color w:val="416429" w:themeColor="accent6" w:themeShade="94"/>
        <w:sz w:val="22"/>
      </w:rPr>
      <w:tcPr>
        <w:shd w:val="clear" w:color="E1EFD8" w:themeColor="accent6" w:themeTint="34" w:fill="E1EFD8" w:themeFill="accent6" w:themeFillTint="34"/>
      </w:tcPr>
    </w:tblStylePr>
    <w:tblStylePr w:type="band2Horz">
      <w:rPr>
        <w:rFonts w:ascii="Arial" w:hAnsi="Arial"/>
        <w:color w:val="416429" w:themeColor="accent6" w:themeShade="94"/>
        <w:sz w:val="22"/>
      </w:rPr>
    </w:tblStylePr>
  </w:style>
  <w:style w:type="table" w:customStyle="1" w:styleId="88">
    <w:name w:val="清单表 1 浅色1"/>
    <w:basedOn w:val="23"/>
    <w:qFormat/>
    <w:uiPriority w:val="99"/>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89">
    <w:name w:val="List Table 1 Light - Accent 1"/>
    <w:basedOn w:val="23"/>
    <w:qFormat/>
    <w:uiPriority w:val="99"/>
    <w:tblStylePr w:type="firstRow">
      <w:rPr>
        <w:b/>
        <w:color w:val="404040"/>
      </w:rPr>
      <w:tcPr>
        <w:tcBorders>
          <w:top w:val="nil"/>
          <w:left w:val="nil"/>
          <w:bottom w:val="single" w:color="4472C4" w:themeColor="accent1" w:sz="4" w:space="0"/>
          <w:right w:val="nil"/>
        </w:tcBorders>
      </w:tcPr>
    </w:tblStylePr>
    <w:tblStylePr w:type="lastRow">
      <w:rPr>
        <w:b/>
        <w:color w:val="404040"/>
      </w:rPr>
      <w:tcPr>
        <w:tcBorders>
          <w:top w:val="single" w:color="4472C4"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0DBF0" w:themeColor="accent1" w:themeTint="40" w:fill="D0DBF0" w:themeFill="accent1" w:themeFillTint="40"/>
      </w:tcPr>
    </w:tblStylePr>
    <w:tblStylePr w:type="band1Horz">
      <w:tcPr>
        <w:shd w:val="clear" w:color="D0DBF0" w:themeColor="accent1" w:themeTint="40" w:fill="D0DBF0" w:themeFill="accent1" w:themeFillTint="40"/>
      </w:tcPr>
    </w:tblStylePr>
  </w:style>
  <w:style w:type="table" w:customStyle="1" w:styleId="90">
    <w:name w:val="List Table 1 Light - Accent 2"/>
    <w:basedOn w:val="23"/>
    <w:qFormat/>
    <w:uiPriority w:val="99"/>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ECB" w:themeColor="accent2" w:themeTint="40" w:fill="FADECB" w:themeFill="accent2" w:themeFillTint="40"/>
      </w:tcPr>
    </w:tblStylePr>
    <w:tblStylePr w:type="band1Horz">
      <w:tcPr>
        <w:shd w:val="clear" w:color="FADECB" w:themeColor="accent2" w:themeTint="40" w:fill="FADECB" w:themeFill="accent2" w:themeFillTint="40"/>
      </w:tcPr>
    </w:tblStylePr>
  </w:style>
  <w:style w:type="table" w:customStyle="1" w:styleId="91">
    <w:name w:val="List Table 1 Light - Accent 3"/>
    <w:basedOn w:val="23"/>
    <w:qFormat/>
    <w:uiPriority w:val="99"/>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8E8E8" w:themeColor="accent3" w:themeTint="40" w:fill="E8E8E8" w:themeFill="accent3" w:themeFillTint="40"/>
      </w:tcPr>
    </w:tblStylePr>
    <w:tblStylePr w:type="band1Horz">
      <w:tcPr>
        <w:shd w:val="clear" w:color="E8E8E8" w:themeColor="accent3" w:themeTint="40" w:fill="E8E8E8" w:themeFill="accent3" w:themeFillTint="40"/>
      </w:tcPr>
    </w:tblStylePr>
  </w:style>
  <w:style w:type="table" w:customStyle="1" w:styleId="92">
    <w:name w:val="List Table 1 Light - Accent 4"/>
    <w:basedOn w:val="23"/>
    <w:qFormat/>
    <w:uiPriority w:val="99"/>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EFBE" w:themeColor="accent4" w:themeTint="40" w:fill="FFEFBE" w:themeFill="accent4" w:themeFillTint="40"/>
      </w:tcPr>
    </w:tblStylePr>
    <w:tblStylePr w:type="band1Horz">
      <w:tcPr>
        <w:shd w:val="clear" w:color="FFEFBE" w:themeColor="accent4" w:themeTint="40" w:fill="FFEFBE" w:themeFill="accent4" w:themeFillTint="40"/>
      </w:tcPr>
    </w:tblStylePr>
  </w:style>
  <w:style w:type="table" w:customStyle="1" w:styleId="93">
    <w:name w:val="List Table 1 Light - Accent 5"/>
    <w:basedOn w:val="23"/>
    <w:qFormat/>
    <w:uiPriority w:val="99"/>
    <w:tblStylePr w:type="firstRow">
      <w:rPr>
        <w:b/>
        <w:color w:val="404040"/>
      </w:rPr>
      <w:tcPr>
        <w:tcBorders>
          <w:top w:val="nil"/>
          <w:left w:val="nil"/>
          <w:bottom w:val="single" w:color="5B9BD5" w:themeColor="accent5" w:sz="4" w:space="0"/>
          <w:right w:val="nil"/>
        </w:tcBorders>
      </w:tcPr>
    </w:tblStylePr>
    <w:tblStylePr w:type="lastRow">
      <w:rPr>
        <w:b/>
        <w:color w:val="404040"/>
      </w:rPr>
      <w:tcPr>
        <w:tcBorders>
          <w:top w:val="single" w:color="5B9BD5"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5E5F4" w:themeColor="accent5" w:themeTint="40" w:fill="D5E5F4" w:themeFill="accent5" w:themeFillTint="40"/>
      </w:tcPr>
    </w:tblStylePr>
    <w:tblStylePr w:type="band1Horz">
      <w:tcPr>
        <w:shd w:val="clear" w:color="D5E5F4" w:themeColor="accent5" w:themeTint="40" w:fill="D5E5F4" w:themeFill="accent5" w:themeFillTint="40"/>
      </w:tcPr>
    </w:tblStylePr>
  </w:style>
  <w:style w:type="table" w:customStyle="1" w:styleId="94">
    <w:name w:val="List Table 1 Light - Accent 6"/>
    <w:basedOn w:val="23"/>
    <w:qFormat/>
    <w:uiPriority w:val="99"/>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AEBCF" w:themeColor="accent6" w:themeTint="40" w:fill="DAEBCF" w:themeFill="accent6" w:themeFillTint="40"/>
      </w:tcPr>
    </w:tblStylePr>
    <w:tblStylePr w:type="band1Horz">
      <w:tcPr>
        <w:shd w:val="clear" w:color="DAEBCF" w:themeColor="accent6" w:themeTint="40" w:fill="DAEBCF" w:themeFill="accent6" w:themeFillTint="40"/>
      </w:tcPr>
    </w:tblStylePr>
  </w:style>
  <w:style w:type="table" w:customStyle="1" w:styleId="95">
    <w:name w:val="清单表 21"/>
    <w:basedOn w:val="23"/>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96">
    <w:name w:val="List Table 2 - Accent 1"/>
    <w:basedOn w:val="23"/>
    <w:qFormat/>
    <w:uiPriority w:val="99"/>
    <w:tblPr>
      <w:tblBorders>
        <w:top w:val="single" w:color="95AFDD" w:themeColor="accent1" w:themeTint="90" w:sz="4" w:space="0"/>
        <w:bottom w:val="single" w:color="95AFDD" w:themeColor="accent1" w:themeTint="90" w:sz="4" w:space="0"/>
        <w:insideH w:val="single" w:color="95AFDD" w:themeColor="accent1" w:themeTint="90" w:sz="4" w:space="0"/>
      </w:tblBorders>
    </w:tblPr>
    <w:tblStylePr w:type="firstRow">
      <w:rPr>
        <w:rFonts w:ascii="Arial" w:hAnsi="Arial"/>
        <w:b/>
        <w:color w:val="404040"/>
        <w:sz w:val="22"/>
      </w:rPr>
      <w:tcPr>
        <w:tcBorders>
          <w:top w:val="single" w:color="95AFDD" w:themeColor="accent1" w:themeTint="90" w:sz="4" w:space="0"/>
          <w:left w:val="nil"/>
          <w:bottom w:val="single" w:color="95AFDD" w:themeColor="accent1" w:themeTint="90" w:sz="4" w:space="0"/>
          <w:right w:val="nil"/>
        </w:tcBorders>
      </w:tcPr>
    </w:tblStylePr>
    <w:tblStylePr w:type="lastRow">
      <w:rPr>
        <w:rFonts w:ascii="Arial" w:hAnsi="Arial"/>
        <w:b/>
        <w:color w:val="404040"/>
        <w:sz w:val="22"/>
      </w:rPr>
      <w:tcPr>
        <w:tcBorders>
          <w:top w:val="single" w:color="95AFDD" w:themeColor="accent1" w:themeTint="90" w:sz="4" w:space="0"/>
          <w:left w:val="nil"/>
          <w:bottom w:val="single" w:color="95AFDD"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0DBF0" w:themeColor="accent1" w:themeTint="40" w:fill="D0DBF0" w:themeFill="accent1" w:themeFillTint="40"/>
      </w:tcPr>
    </w:tblStylePr>
    <w:tblStylePr w:type="band1Horz">
      <w:rPr>
        <w:rFonts w:ascii="Arial" w:hAnsi="Arial"/>
        <w:color w:val="404040"/>
        <w:sz w:val="22"/>
      </w:rPr>
      <w:tcPr>
        <w:shd w:val="clear" w:color="D0DBF0" w:themeColor="accent1" w:themeTint="40" w:fill="D0DBF0" w:themeFill="accent1" w:themeFillTint="40"/>
      </w:tcPr>
    </w:tblStylePr>
  </w:style>
  <w:style w:type="table" w:customStyle="1" w:styleId="97">
    <w:name w:val="List Table 2 - Accent 2"/>
    <w:basedOn w:val="23"/>
    <w:qFormat/>
    <w:uiPriority w:val="99"/>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customStyle="1" w:styleId="98">
    <w:name w:val="List Table 2 - Accent 3"/>
    <w:basedOn w:val="23"/>
    <w:qFormat/>
    <w:uiPriority w:val="99"/>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customStyle="1" w:styleId="99">
    <w:name w:val="List Table 2 - Accent 4"/>
    <w:basedOn w:val="23"/>
    <w:qFormat/>
    <w:uiPriority w:val="99"/>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EFBE" w:themeColor="accent4" w:themeTint="40" w:fill="FFEFBE" w:themeFill="accent4" w:themeFillTint="40"/>
      </w:tcPr>
    </w:tblStylePr>
    <w:tblStylePr w:type="band1Horz">
      <w:rPr>
        <w:rFonts w:ascii="Arial" w:hAnsi="Arial"/>
        <w:color w:val="404040"/>
        <w:sz w:val="22"/>
      </w:rPr>
      <w:tcPr>
        <w:shd w:val="clear" w:color="FFEFBE" w:themeColor="accent4" w:themeTint="40" w:fill="FFEFBE" w:themeFill="accent4" w:themeFillTint="40"/>
      </w:tcPr>
    </w:tblStylePr>
  </w:style>
  <w:style w:type="table" w:customStyle="1" w:styleId="100">
    <w:name w:val="List Table 2 - Accent 5"/>
    <w:basedOn w:val="23"/>
    <w:qFormat/>
    <w:uiPriority w:val="99"/>
    <w:tblPr>
      <w:tblBorders>
        <w:top w:val="single" w:color="A2C6E7" w:themeColor="accent5" w:themeTint="90" w:sz="4" w:space="0"/>
        <w:bottom w:val="single" w:color="A2C6E7" w:themeColor="accent5" w:themeTint="90" w:sz="4" w:space="0"/>
        <w:insideH w:val="single" w:color="A2C6E7" w:themeColor="accent5" w:themeTint="90" w:sz="4" w:space="0"/>
      </w:tblBorders>
    </w:tblPr>
    <w:tblStylePr w:type="firstRow">
      <w:rPr>
        <w:rFonts w:ascii="Arial" w:hAnsi="Arial"/>
        <w:b/>
        <w:color w:val="404040"/>
        <w:sz w:val="22"/>
      </w:rPr>
      <w:tcPr>
        <w:tcBorders>
          <w:top w:val="single" w:color="A2C6E7" w:themeColor="accent5" w:themeTint="90" w:sz="4" w:space="0"/>
          <w:left w:val="nil"/>
          <w:bottom w:val="single" w:color="A2C6E7" w:themeColor="accent5" w:themeTint="90" w:sz="4" w:space="0"/>
          <w:right w:val="nil"/>
        </w:tcBorders>
      </w:tcPr>
    </w:tblStylePr>
    <w:tblStylePr w:type="lastRow">
      <w:rPr>
        <w:rFonts w:ascii="Arial" w:hAnsi="Arial"/>
        <w:b/>
        <w:color w:val="404040"/>
        <w:sz w:val="22"/>
      </w:rPr>
      <w:tcPr>
        <w:tcBorders>
          <w:top w:val="single" w:color="A2C6E7" w:themeColor="accent5" w:themeTint="90" w:sz="4" w:space="0"/>
          <w:left w:val="nil"/>
          <w:bottom w:val="single" w:color="A2C6E7"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5E5F4" w:themeColor="accent5" w:themeTint="40" w:fill="D5E5F4" w:themeFill="accent5" w:themeFillTint="40"/>
      </w:tcPr>
    </w:tblStylePr>
    <w:tblStylePr w:type="band1Horz">
      <w:rPr>
        <w:rFonts w:ascii="Arial" w:hAnsi="Arial"/>
        <w:color w:val="404040"/>
        <w:sz w:val="22"/>
      </w:rPr>
      <w:tcPr>
        <w:shd w:val="clear" w:color="D5E5F4" w:themeColor="accent5" w:themeTint="40" w:fill="D5E5F4" w:themeFill="accent5" w:themeFillTint="40"/>
      </w:tcPr>
    </w:tblStylePr>
  </w:style>
  <w:style w:type="table" w:customStyle="1" w:styleId="101">
    <w:name w:val="List Table 2 - Accent 6"/>
    <w:basedOn w:val="23"/>
    <w:qFormat/>
    <w:uiPriority w:val="99"/>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customStyle="1" w:styleId="102">
    <w:name w:val="清单表 31"/>
    <w:basedOn w:val="23"/>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03">
    <w:name w:val="List Table 3 - Accent 1"/>
    <w:basedOn w:val="23"/>
    <w:qFormat/>
    <w:uiPriority w:val="99"/>
    <w:tblPr>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blStylePr w:type="firstRow">
      <w:rPr>
        <w:rFonts w:ascii="Arial" w:hAnsi="Arial"/>
        <w:b/>
        <w:color w:val="FFFFFF"/>
        <w:sz w:val="22"/>
      </w:r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472C4" w:themeColor="accent1" w:sz="4" w:space="0"/>
          <w:right w:val="single" w:color="4472C4" w:themeColor="accent1" w:sz="4" w:space="0"/>
        </w:tcBorders>
      </w:tcPr>
    </w:tblStylePr>
    <w:tblStylePr w:type="band1Horz">
      <w:rPr>
        <w:rFonts w:ascii="Arial" w:hAnsi="Arial"/>
        <w:color w:val="404040"/>
        <w:sz w:val="22"/>
      </w:rPr>
      <w:tcPr>
        <w:tcBorders>
          <w:top w:val="single" w:color="4472C4" w:themeColor="accent1" w:sz="4" w:space="0"/>
          <w:bottom w:val="single" w:color="4472C4" w:themeColor="accent1" w:sz="4" w:space="0"/>
        </w:tcBorders>
      </w:tcPr>
    </w:tblStylePr>
  </w:style>
  <w:style w:type="table" w:customStyle="1" w:styleId="104">
    <w:name w:val="List Table 3 - Accent 2"/>
    <w:basedOn w:val="23"/>
    <w:qFormat/>
    <w:uiPriority w:val="99"/>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4B285" w:themeColor="accent2" w:themeTint="97" w:fill="F4B2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style>
  <w:style w:type="table" w:customStyle="1" w:styleId="105">
    <w:name w:val="List Table 3 - Accent 3"/>
    <w:basedOn w:val="23"/>
    <w:qFormat/>
    <w:uiPriority w:val="99"/>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style>
  <w:style w:type="table" w:customStyle="1" w:styleId="106">
    <w:name w:val="List Table 3 - Accent 4"/>
    <w:basedOn w:val="23"/>
    <w:qFormat/>
    <w:uiPriority w:val="99"/>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D864" w:themeColor="accent4" w:themeTint="9A" w:fill="FFD864"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style>
  <w:style w:type="table" w:customStyle="1" w:styleId="107">
    <w:name w:val="List Table 3 - Accent 5"/>
    <w:basedOn w:val="23"/>
    <w:qFormat/>
    <w:uiPriority w:val="99"/>
    <w:tblPr>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blStylePr w:type="firstRow">
      <w:rPr>
        <w:rFonts w:ascii="Arial" w:hAnsi="Arial"/>
        <w:b/>
        <w:color w:val="FFFFFF"/>
        <w:sz w:val="22"/>
      </w:r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BC2E5" w:themeColor="accent5" w:themeTint="9A" w:sz="4" w:space="0"/>
          <w:right w:val="single" w:color="9BC2E5" w:themeColor="accent5" w:themeTint="9A" w:sz="4" w:space="0"/>
        </w:tcBorders>
      </w:tcPr>
    </w:tblStylePr>
    <w:tblStylePr w:type="band1Horz">
      <w:rPr>
        <w:rFonts w:ascii="Arial" w:hAnsi="Arial"/>
        <w:color w:val="404040"/>
        <w:sz w:val="22"/>
      </w:rPr>
      <w:tcPr>
        <w:tcBorders>
          <w:top w:val="single" w:color="9BC2E5" w:themeColor="accent5" w:themeTint="9A" w:sz="4" w:space="0"/>
          <w:bottom w:val="single" w:color="9BC2E5" w:themeColor="accent5" w:themeTint="9A" w:sz="4" w:space="0"/>
        </w:tcBorders>
      </w:tcPr>
    </w:tblStylePr>
  </w:style>
  <w:style w:type="table" w:customStyle="1" w:styleId="108">
    <w:name w:val="List Table 3 - Accent 6"/>
    <w:basedOn w:val="23"/>
    <w:qFormat/>
    <w:uiPriority w:val="99"/>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style>
  <w:style w:type="table" w:customStyle="1" w:styleId="109">
    <w:name w:val="清单表 41"/>
    <w:basedOn w:val="23"/>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10">
    <w:name w:val="List Table 4 - Accent 1"/>
    <w:basedOn w:val="23"/>
    <w:qFormat/>
    <w:uiPriority w:val="99"/>
    <w:tblPr>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blStylePr w:type="firstRow">
      <w:rPr>
        <w:rFonts w:ascii="Arial" w:hAnsi="Arial"/>
        <w:b/>
        <w:color w:val="FFFFFF"/>
        <w:sz w:val="22"/>
      </w:r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0DBF0" w:themeColor="accent1" w:themeTint="40" w:fill="D0DBF0" w:themeFill="accent1" w:themeFillTint="40"/>
      </w:tcPr>
    </w:tblStylePr>
    <w:tblStylePr w:type="band1Horz">
      <w:rPr>
        <w:rFonts w:ascii="Arial" w:hAnsi="Arial"/>
        <w:color w:val="404040"/>
        <w:sz w:val="22"/>
      </w:rPr>
      <w:tcPr>
        <w:shd w:val="clear" w:color="D0DBF0" w:themeColor="accent1" w:themeTint="40" w:fill="D0DBF0" w:themeFill="accent1" w:themeFillTint="40"/>
      </w:tcPr>
    </w:tblStylePr>
  </w:style>
  <w:style w:type="table" w:customStyle="1" w:styleId="111">
    <w:name w:val="List Table 4 - Accent 2"/>
    <w:basedOn w:val="23"/>
    <w:qFormat/>
    <w:uiPriority w:val="99"/>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customStyle="1" w:styleId="112">
    <w:name w:val="List Table 4 - Accent 3"/>
    <w:basedOn w:val="23"/>
    <w:qFormat/>
    <w:uiPriority w:val="99"/>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customStyle="1" w:styleId="113">
    <w:name w:val="List Table 4 - Accent 4"/>
    <w:basedOn w:val="23"/>
    <w:qFormat/>
    <w:uiPriority w:val="99"/>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EFBE" w:themeColor="accent4" w:themeTint="40" w:fill="FFEFBE" w:themeFill="accent4" w:themeFillTint="40"/>
      </w:tcPr>
    </w:tblStylePr>
    <w:tblStylePr w:type="band1Horz">
      <w:rPr>
        <w:rFonts w:ascii="Arial" w:hAnsi="Arial"/>
        <w:color w:val="404040"/>
        <w:sz w:val="22"/>
      </w:rPr>
      <w:tcPr>
        <w:shd w:val="clear" w:color="FFEFBE" w:themeColor="accent4" w:themeTint="40" w:fill="FFEFBE" w:themeFill="accent4" w:themeFillTint="40"/>
      </w:tcPr>
    </w:tblStylePr>
  </w:style>
  <w:style w:type="table" w:customStyle="1" w:styleId="114">
    <w:name w:val="List Table 4 - Accent 5"/>
    <w:basedOn w:val="23"/>
    <w:qFormat/>
    <w:uiPriority w:val="99"/>
    <w:tblPr>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blStylePr w:type="firstRow">
      <w:rPr>
        <w:rFonts w:ascii="Arial" w:hAnsi="Arial"/>
        <w:b/>
        <w:color w:val="FFFFFF"/>
        <w:sz w:val="22"/>
      </w:r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5E5F4" w:themeColor="accent5" w:themeTint="40" w:fill="D5E5F4" w:themeFill="accent5" w:themeFillTint="40"/>
      </w:tcPr>
    </w:tblStylePr>
    <w:tblStylePr w:type="band1Horz">
      <w:rPr>
        <w:rFonts w:ascii="Arial" w:hAnsi="Arial"/>
        <w:color w:val="404040"/>
        <w:sz w:val="22"/>
      </w:rPr>
      <w:tcPr>
        <w:shd w:val="clear" w:color="D5E5F4" w:themeColor="accent5" w:themeTint="40" w:fill="D5E5F4" w:themeFill="accent5" w:themeFillTint="40"/>
      </w:tcPr>
    </w:tblStylePr>
  </w:style>
  <w:style w:type="table" w:customStyle="1" w:styleId="115">
    <w:name w:val="List Table 4 - Accent 6"/>
    <w:basedOn w:val="23"/>
    <w:qFormat/>
    <w:uiPriority w:val="99"/>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customStyle="1" w:styleId="116">
    <w:name w:val="清单表 5 深色1"/>
    <w:basedOn w:val="23"/>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17">
    <w:name w:val="List Table 5 Dark - Accent 1"/>
    <w:basedOn w:val="23"/>
    <w:qFormat/>
    <w:uiPriority w:val="99"/>
    <w:tblPr>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472C4" w:themeColor="accent1" w:sz="32" w:space="0"/>
          <w:bottom w:val="single" w:color="FFFFFF" w:themeColor="light1" w:sz="12" w:space="0"/>
        </w:tcBorders>
        <w:shd w:val="clear" w:color="4472C4" w:themeColor="accent1" w:fill="4472C4"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472C4" w:themeColor="accent1" w:sz="32" w:space="0"/>
          <w:right w:val="single" w:color="FFFFFF" w:themeColor="light1" w:sz="4" w:space="0"/>
        </w:tcBorders>
      </w:tcPr>
    </w:tblStylePr>
    <w:tblStylePr w:type="lastCol">
      <w:tcPr>
        <w:tcBorders>
          <w:left w:val="single" w:color="FFFFFF" w:themeColor="light1" w:sz="4" w:space="0"/>
          <w:right w:val="single" w:color="4472C4" w:themeColor="accent1" w:sz="32" w:space="0"/>
        </w:tcBorders>
      </w:tcPr>
    </w:tblStylePr>
    <w:tblStylePr w:type="band1Vert">
      <w:tcPr>
        <w:tcBorders>
          <w:left w:val="single" w:color="FFFFFF" w:themeColor="light1" w:sz="4" w:space="0"/>
          <w:right w:val="single" w:color="FFFFFF" w:themeColor="light1" w:sz="4" w:space="0"/>
        </w:tcBorders>
        <w:shd w:val="clear" w:color="4472C4" w:themeColor="accent1" w:fill="4472C4"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472C4" w:themeColor="accent1" w:fill="4472C4" w:themeFill="accent1"/>
      </w:tcPr>
    </w:tblStylePr>
    <w:tblStylePr w:type="band2Horz">
      <w:tcPr>
        <w:tcBorders>
          <w:top w:val="single" w:color="FFFFFF" w:themeColor="light1" w:sz="4" w:space="0"/>
          <w:bottom w:val="single" w:color="FFFFFF" w:themeColor="light1" w:sz="4" w:space="0"/>
        </w:tcBorders>
        <w:shd w:val="clear" w:color="4472C4" w:themeColor="accent1" w:fill="4472C4" w:themeFill="accent1"/>
      </w:tcPr>
    </w:tblStylePr>
  </w:style>
  <w:style w:type="table" w:customStyle="1" w:styleId="118">
    <w:name w:val="List Table 5 Dark - Accent 2"/>
    <w:basedOn w:val="23"/>
    <w:qFormat/>
    <w:uiPriority w:val="99"/>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4B285" w:themeColor="accent2" w:themeTint="97" w:fill="F4B28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4B285" w:themeColor="accent2" w:themeTint="97" w:fill="F4B28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285" w:themeColor="accent2" w:themeTint="97" w:fill="F4B285" w:themeFill="accent2" w:themeFillTint="97"/>
      </w:tcPr>
    </w:tblStylePr>
    <w:tblStylePr w:type="band2Horz">
      <w:tcPr>
        <w:tcBorders>
          <w:top w:val="single" w:color="FFFFFF" w:themeColor="light1" w:sz="4" w:space="0"/>
          <w:bottom w:val="single" w:color="FFFFFF" w:themeColor="light1" w:sz="4" w:space="0"/>
        </w:tcBorders>
        <w:shd w:val="clear" w:color="F4B285" w:themeColor="accent2" w:themeTint="97" w:fill="F4B285" w:themeFill="accent2" w:themeFillTint="97"/>
      </w:tcPr>
    </w:tblStylePr>
  </w:style>
  <w:style w:type="table" w:customStyle="1" w:styleId="119">
    <w:name w:val="List Table 5 Dark - Accent 3"/>
    <w:basedOn w:val="23"/>
    <w:qFormat/>
    <w:uiPriority w:val="99"/>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C9C9C9" w:themeColor="accent3" w:themeTint="98" w:fill="C9C9C9"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C9C9C9" w:themeColor="accent3" w:themeTint="98" w:fill="C9C9C9"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tblStylePr w:type="band2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style>
  <w:style w:type="table" w:customStyle="1" w:styleId="120">
    <w:name w:val="List Table 5 Dark - Accent 4"/>
    <w:basedOn w:val="23"/>
    <w:qFormat/>
    <w:uiPriority w:val="99"/>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D864" w:themeColor="accent4" w:themeTint="9A" w:fill="FFD864"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D864" w:themeColor="accent4" w:themeTint="9A" w:fill="FFD864"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D864" w:themeColor="accent4" w:themeTint="9A" w:fill="FFD864" w:themeFill="accent4" w:themeFillTint="9A"/>
      </w:tcPr>
    </w:tblStylePr>
    <w:tblStylePr w:type="band2Horz">
      <w:tcPr>
        <w:tcBorders>
          <w:top w:val="single" w:color="FFFFFF" w:themeColor="light1" w:sz="4" w:space="0"/>
          <w:bottom w:val="single" w:color="FFFFFF" w:themeColor="light1" w:sz="4" w:space="0"/>
        </w:tcBorders>
        <w:shd w:val="clear" w:color="FFD864" w:themeColor="accent4" w:themeTint="9A" w:fill="FFD864" w:themeFill="accent4" w:themeFillTint="9A"/>
      </w:tcPr>
    </w:tblStylePr>
  </w:style>
  <w:style w:type="table" w:customStyle="1" w:styleId="121">
    <w:name w:val="List Table 5 Dark - Accent 5"/>
    <w:basedOn w:val="23"/>
    <w:qFormat/>
    <w:uiPriority w:val="99"/>
    <w:tblPr>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BC2E5" w:themeColor="accent5" w:themeTint="9A" w:sz="32" w:space="0"/>
          <w:bottom w:val="single" w:color="FFFFFF" w:themeColor="light1" w:sz="12" w:space="0"/>
        </w:tcBorders>
        <w:shd w:val="clear" w:color="9BC2E5" w:themeColor="accent5" w:themeTint="9A" w:fill="9BC2E5"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BC2E5" w:themeColor="accent5" w:themeTint="9A" w:sz="32" w:space="0"/>
          <w:right w:val="single" w:color="FFFFFF" w:themeColor="light1" w:sz="4" w:space="0"/>
        </w:tcBorders>
      </w:tcPr>
    </w:tblStylePr>
    <w:tblStylePr w:type="lastCol">
      <w:tcPr>
        <w:tcBorders>
          <w:left w:val="single" w:color="FFFFFF" w:themeColor="light1" w:sz="4" w:space="0"/>
          <w:right w:val="single" w:color="9BC2E5" w:themeColor="accent5" w:themeTint="9A" w:sz="32" w:space="0"/>
        </w:tcBorders>
      </w:tcPr>
    </w:tblStylePr>
    <w:tblStylePr w:type="band1Vert">
      <w:tcPr>
        <w:tcBorders>
          <w:left w:val="single" w:color="FFFFFF" w:themeColor="light1" w:sz="4" w:space="0"/>
          <w:right w:val="single" w:color="FFFFFF" w:themeColor="light1" w:sz="4" w:space="0"/>
        </w:tcBorders>
        <w:shd w:val="clear" w:color="9BC2E5" w:themeColor="accent5" w:themeTint="9A" w:fill="9BC2E5"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BC2E5" w:themeColor="accent5" w:themeTint="9A" w:fill="9BC2E5" w:themeFill="accent5" w:themeFillTint="9A"/>
      </w:tcPr>
    </w:tblStylePr>
    <w:tblStylePr w:type="band2Horz">
      <w:tcPr>
        <w:tcBorders>
          <w:top w:val="single" w:color="FFFFFF" w:themeColor="light1" w:sz="4" w:space="0"/>
          <w:bottom w:val="single" w:color="FFFFFF" w:themeColor="light1" w:sz="4" w:space="0"/>
        </w:tcBorders>
        <w:shd w:val="clear" w:color="9BC2E5" w:themeColor="accent5" w:themeTint="9A" w:fill="9BC2E5" w:themeFill="accent5" w:themeFillTint="9A"/>
      </w:tcPr>
    </w:tblStylePr>
  </w:style>
  <w:style w:type="table" w:customStyle="1" w:styleId="122">
    <w:name w:val="List Table 5 Dark - Accent 6"/>
    <w:basedOn w:val="23"/>
    <w:qFormat/>
    <w:uiPriority w:val="99"/>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A9D08E" w:themeColor="accent6" w:themeTint="98" w:fill="A9D08E"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A9D08E" w:themeColor="accent6" w:themeTint="98" w:fill="A9D08E"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tblStylePr w:type="band2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style>
  <w:style w:type="table" w:customStyle="1" w:styleId="123">
    <w:name w:val="清单表 6 彩色1"/>
    <w:basedOn w:val="23"/>
    <w:qFormat/>
    <w:uiPriority w:val="99"/>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24">
    <w:name w:val="List Table 6 Colorful - Accent 1"/>
    <w:basedOn w:val="23"/>
    <w:qFormat/>
    <w:uiPriority w:val="99"/>
    <w:tblPr>
      <w:tblBorders>
        <w:top w:val="single" w:color="4472C4" w:themeColor="accent1" w:sz="4" w:space="0"/>
        <w:bottom w:val="single" w:color="4472C4" w:themeColor="accent1" w:sz="4" w:space="0"/>
      </w:tblBorders>
    </w:tblPr>
    <w:tblStylePr w:type="firstRow">
      <w:rPr>
        <w:b/>
        <w:color w:val="254174" w:themeColor="accent1" w:themeShade="94"/>
      </w:rPr>
      <w:tcPr>
        <w:tcBorders>
          <w:bottom w:val="single" w:color="4472C4" w:themeColor="accent1" w:sz="4" w:space="0"/>
        </w:tcBorders>
      </w:tcPr>
    </w:tblStylePr>
    <w:tblStylePr w:type="lastRow">
      <w:rPr>
        <w:b/>
        <w:color w:val="254174" w:themeColor="accent1" w:themeShade="94"/>
      </w:rPr>
      <w:tcPr>
        <w:tcBorders>
          <w:top w:val="single" w:color="4472C4" w:themeColor="accent1" w:sz="4" w:space="0"/>
        </w:tcBorders>
      </w:tcPr>
    </w:tblStylePr>
    <w:tblStylePr w:type="firstCol">
      <w:rPr>
        <w:b/>
        <w:color w:val="254174" w:themeColor="accent1" w:themeShade="94"/>
      </w:rPr>
    </w:tblStylePr>
    <w:tblStylePr w:type="lastCol">
      <w:rPr>
        <w:b/>
        <w:color w:val="254174" w:themeColor="accent1" w:themeShade="94"/>
      </w:rPr>
    </w:tblStylePr>
    <w:tblStylePr w:type="band1Vert">
      <w:tcPr>
        <w:shd w:val="clear" w:color="D0DBF0" w:themeColor="accent1" w:themeTint="40" w:fill="D0DBF0" w:themeFill="accent1" w:themeFillTint="40"/>
      </w:tcPr>
    </w:tblStylePr>
    <w:tblStylePr w:type="band1Horz">
      <w:rPr>
        <w:rFonts w:ascii="Arial" w:hAnsi="Arial"/>
        <w:color w:val="254174" w:themeColor="accent1" w:themeShade="94"/>
        <w:sz w:val="22"/>
      </w:rPr>
      <w:tcPr>
        <w:shd w:val="clear" w:color="D0DBF0" w:themeColor="accent1" w:themeTint="40" w:fill="D0DBF0" w:themeFill="accent1" w:themeFillTint="40"/>
      </w:tcPr>
    </w:tblStylePr>
    <w:tblStylePr w:type="band2Horz">
      <w:rPr>
        <w:rFonts w:ascii="Arial" w:hAnsi="Arial"/>
        <w:color w:val="254174" w:themeColor="accent1" w:themeShade="94"/>
        <w:sz w:val="22"/>
      </w:rPr>
    </w:tblStylePr>
  </w:style>
  <w:style w:type="table" w:customStyle="1" w:styleId="125">
    <w:name w:val="List Table 6 Colorful - Accent 2"/>
    <w:basedOn w:val="23"/>
    <w:qFormat/>
    <w:uiPriority w:val="99"/>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ADECB" w:themeColor="accent2" w:themeTint="40"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26">
    <w:name w:val="List Table 6 Colorful - Accent 3"/>
    <w:basedOn w:val="23"/>
    <w:qFormat/>
    <w:uiPriority w:val="99"/>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27">
    <w:name w:val="List Table 6 Colorful - Accent 4"/>
    <w:basedOn w:val="23"/>
    <w:qFormat/>
    <w:uiPriority w:val="99"/>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EFBE" w:themeColor="accent4" w:themeTint="40"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28">
    <w:name w:val="List Table 6 Colorful - Accent 5"/>
    <w:basedOn w:val="23"/>
    <w:qFormat/>
    <w:uiPriority w:val="99"/>
    <w:tblPr>
      <w:tblBorders>
        <w:top w:val="single" w:color="9BC2E5" w:themeColor="accent5" w:themeTint="9A" w:sz="4" w:space="0"/>
        <w:bottom w:val="single" w:color="9BC2E5" w:themeColor="accent5" w:themeTint="9A" w:sz="4" w:space="0"/>
      </w:tblBorders>
    </w:tblPr>
    <w:tblStylePr w:type="firstRow">
      <w:rPr>
        <w:b/>
        <w:color w:val="9DC3E6" w:themeColor="accent5" w:themeTint="99"/>
        <w14:textFill>
          <w14:solidFill>
            <w14:schemeClr w14:val="accent5">
              <w14:lumMod w14:val="60000"/>
              <w14:lumOff w14:val="40000"/>
            </w14:schemeClr>
          </w14:solidFill>
        </w14:textFill>
      </w:rPr>
      <w:tcPr>
        <w:tcBorders>
          <w:bottom w:val="single" w:color="9BC2E5" w:themeColor="accent5" w:themeTint="9A" w:sz="4" w:space="0"/>
        </w:tcBorders>
      </w:tc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themeColor="accent5" w:themeTint="9A" w:sz="4" w:space="0"/>
        </w:tcBorders>
      </w:tcPr>
    </w:tblStylePr>
    <w:tblStylePr w:type="firstCol">
      <w:rPr>
        <w:b/>
        <w:color w:val="9DC3E6" w:themeColor="accent5" w:themeTint="99"/>
        <w14:textFill>
          <w14:solidFill>
            <w14:schemeClr w14:val="accent5">
              <w14:lumMod w14:val="60000"/>
              <w14:lumOff w14:val="40000"/>
            </w14:schemeClr>
          </w14:solidFill>
        </w14:textFill>
      </w:rPr>
    </w:tblStylePr>
    <w:tblStylePr w:type="lastCol">
      <w:rPr>
        <w:b/>
        <w:color w:val="9DC3E6" w:themeColor="accent5" w:themeTint="99"/>
        <w14:textFill>
          <w14:solidFill>
            <w14:schemeClr w14:val="accent5">
              <w14:lumMod w14:val="60000"/>
              <w14:lumOff w14:val="40000"/>
            </w14:schemeClr>
          </w14:solidFill>
        </w14:textFill>
      </w:rPr>
    </w:tblStylePr>
    <w:tblStylePr w:type="band1Vert">
      <w:tcPr>
        <w:shd w:val="clear" w:color="D5E5F4" w:themeColor="accent5" w:themeTint="40" w:fill="D5E5F4" w:themeFill="accent5" w:themeFillTint="40"/>
      </w:tcPr>
    </w:tblStyle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themeColor="accent5" w:themeTint="40" w:fill="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style>
  <w:style w:type="table" w:customStyle="1" w:styleId="129">
    <w:name w:val="List Table 6 Colorful - Accent 6"/>
    <w:basedOn w:val="23"/>
    <w:qFormat/>
    <w:uiPriority w:val="99"/>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DAEBCF" w:themeColor="accent6" w:themeTint="40"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30">
    <w:name w:val="清单表 7 彩色1"/>
    <w:basedOn w:val="23"/>
    <w:qFormat/>
    <w:uiPriority w:val="99"/>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31">
    <w:name w:val="List Table 7 Colorful - Accent 1"/>
    <w:basedOn w:val="23"/>
    <w:qFormat/>
    <w:uiPriority w:val="99"/>
    <w:tblPr>
      <w:tblBorders>
        <w:right w:val="single" w:color="4472C4" w:themeColor="accent1" w:sz="4" w:space="0"/>
      </w:tblBorders>
    </w:tblPr>
    <w:tblStylePr w:type="firstRow">
      <w:rPr>
        <w:rFonts w:ascii="Arial" w:hAnsi="Arial"/>
        <w:i/>
        <w:color w:val="254174" w:themeColor="accent1" w:themeShade="94"/>
        <w:sz w:val="22"/>
      </w:rPr>
      <w:tcPr>
        <w:tcBorders>
          <w:top w:val="nil"/>
          <w:left w:val="nil"/>
          <w:bottom w:val="single" w:color="4472C4" w:themeColor="accent1" w:sz="4" w:space="0"/>
          <w:right w:val="nil"/>
        </w:tcBorders>
        <w:shd w:val="clear" w:color="FFFFFF" w:themeColor="light1" w:fill="FFFFFF" w:themeFill="light1"/>
      </w:tcPr>
    </w:tblStylePr>
    <w:tblStylePr w:type="lastRow">
      <w:rPr>
        <w:rFonts w:ascii="Arial" w:hAnsi="Arial"/>
        <w:i/>
        <w:color w:val="254174" w:themeColor="accent1" w:themeShade="94"/>
        <w:sz w:val="22"/>
      </w:rPr>
      <w:tcPr>
        <w:tcBorders>
          <w:top w:val="single" w:color="4472C4"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54174" w:themeColor="accent1" w:themeShade="94"/>
        <w:sz w:val="22"/>
      </w:rPr>
      <w:tcPr>
        <w:tcBorders>
          <w:top w:val="nil"/>
          <w:left w:val="nil"/>
          <w:bottom w:val="nil"/>
          <w:right w:val="single" w:color="4472C4" w:themeColor="accent1" w:sz="4" w:space="0"/>
        </w:tcBorders>
        <w:shd w:val="clear" w:color="FFFFFF" w:fill="auto"/>
      </w:tcPr>
    </w:tblStylePr>
    <w:tblStylePr w:type="lastCol">
      <w:rPr>
        <w:rFonts w:ascii="Arial" w:hAnsi="Arial"/>
        <w:i/>
        <w:color w:val="254174" w:themeColor="accent1" w:themeShade="94"/>
        <w:sz w:val="22"/>
      </w:rPr>
      <w:tcPr>
        <w:tcBorders>
          <w:top w:val="nil"/>
          <w:left w:val="single" w:color="4472C4" w:themeColor="accent1" w:sz="4" w:space="0"/>
          <w:bottom w:val="nil"/>
          <w:right w:val="nil"/>
        </w:tcBorders>
        <w:shd w:val="clear" w:color="FFFFFF" w:fill="auto"/>
      </w:tcPr>
    </w:tblStylePr>
    <w:tblStylePr w:type="band1Vert">
      <w:tcPr>
        <w:shd w:val="clear" w:color="D0DBF0" w:themeColor="accent1" w:themeTint="40" w:fill="D0DBF0" w:themeFill="accent1" w:themeFillTint="40"/>
      </w:tcPr>
    </w:tblStylePr>
    <w:tblStylePr w:type="band1Horz">
      <w:rPr>
        <w:rFonts w:ascii="Arial" w:hAnsi="Arial"/>
        <w:color w:val="254174" w:themeColor="accent1" w:themeShade="94"/>
        <w:sz w:val="22"/>
      </w:rPr>
      <w:tcPr>
        <w:shd w:val="clear" w:color="D0DBF0" w:themeColor="accent1" w:themeTint="40" w:fill="D0DBF0" w:themeFill="accent1" w:themeFillTint="40"/>
      </w:tcPr>
    </w:tblStylePr>
    <w:tblStylePr w:type="band2Horz">
      <w:rPr>
        <w:rFonts w:ascii="Arial" w:hAnsi="Arial"/>
        <w:color w:val="254174" w:themeColor="accent1" w:themeShade="94"/>
        <w:sz w:val="22"/>
      </w:rPr>
    </w:tblStylePr>
  </w:style>
  <w:style w:type="table" w:customStyle="1" w:styleId="132">
    <w:name w:val="List Table 7 Colorful - Accent 2"/>
    <w:basedOn w:val="23"/>
    <w:qFormat/>
    <w:uiPriority w:val="99"/>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ADECB" w:themeColor="accent2" w:themeTint="40"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33">
    <w:name w:val="List Table 7 Colorful - Accent 3"/>
    <w:basedOn w:val="23"/>
    <w:qFormat/>
    <w:uiPriority w:val="99"/>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themeColor="light1" w:fill="FFFFFF" w:themeFill="light1"/>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34">
    <w:name w:val="List Table 7 Colorful - Accent 4"/>
    <w:basedOn w:val="23"/>
    <w:qFormat/>
    <w:uiPriority w:val="99"/>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EFBE" w:themeColor="accent4" w:themeTint="40"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35">
    <w:name w:val="List Table 7 Colorful - Accent 5"/>
    <w:basedOn w:val="23"/>
    <w:qFormat/>
    <w:uiPriority w:val="99"/>
    <w:tblPr>
      <w:tblBorders>
        <w:right w:val="single" w:color="9BC2E5" w:themeColor="accent5" w:themeTint="9A" w:sz="4" w:space="0"/>
      </w:tblBorders>
    </w:tblPr>
    <w:tblStylePr w:type="firstRow">
      <w:rPr>
        <w:rFonts w:ascii="Arial" w:hAnsi="Arial"/>
        <w:i/>
        <w:color w:val="9DC3E6" w:themeColor="accent5" w:themeTint="99"/>
        <w:sz w:val="22"/>
        <w14:textFill>
          <w14:solidFill>
            <w14:schemeClr w14:val="accent5">
              <w14:lumMod w14:val="60000"/>
              <w14:lumOff w14:val="40000"/>
            </w14:schemeClr>
          </w14:solidFill>
        </w14:textFill>
      </w:rPr>
      <w:tcPr>
        <w:tcBorders>
          <w:top w:val="nil"/>
          <w:left w:val="nil"/>
          <w:bottom w:val="single" w:color="9BC2E5" w:themeColor="accent5" w:themeTint="9A" w:sz="4" w:space="0"/>
          <w:right w:val="nil"/>
        </w:tcBorders>
        <w:shd w:val="clear" w:color="FFFFFF" w:themeColor="light1" w:fill="FFFFFF" w:themeFill="light1"/>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tcBorders>
          <w:top w:val="single" w:color="9BC2E5"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DC3E6" w:themeColor="accent5" w:themeTint="99"/>
        <w:sz w:val="22"/>
        <w14:textFill>
          <w14:solidFill>
            <w14:schemeClr w14:val="accent5">
              <w14:lumMod w14:val="60000"/>
              <w14:lumOff w14:val="40000"/>
            </w14:schemeClr>
          </w14:solidFill>
        </w14:textFill>
      </w:rPr>
      <w:tcPr>
        <w:tcBorders>
          <w:top w:val="nil"/>
          <w:left w:val="nil"/>
          <w:bottom w:val="nil"/>
          <w:right w:val="single" w:color="9BC2E5" w:themeColor="accent5" w:themeTint="9A" w:sz="4" w:space="0"/>
        </w:tcBorders>
        <w:shd w:val="clear" w:color="FFFFFF" w:fill="auto"/>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tcBorders>
          <w:top w:val="nil"/>
          <w:left w:val="single" w:color="9BC2E5" w:themeColor="accent5" w:themeTint="9A" w:sz="4" w:space="0"/>
          <w:bottom w:val="nil"/>
          <w:right w:val="nil"/>
        </w:tcBorders>
        <w:shd w:val="clear" w:color="FFFFFF" w:fill="auto"/>
      </w:tcPr>
    </w:tblStylePr>
    <w:tblStylePr w:type="band1Vert">
      <w:tcPr>
        <w:shd w:val="clear" w:color="D5E5F4" w:themeColor="accent5" w:themeTint="40" w:fill="D5E5F4" w:themeFill="accent5" w:themeFillTint="40"/>
      </w:tcPr>
    </w:tblStyle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themeColor="accent5" w:themeTint="40" w:fill="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style>
  <w:style w:type="table" w:customStyle="1" w:styleId="136">
    <w:name w:val="List Table 7 Colorful - Accent 6"/>
    <w:basedOn w:val="23"/>
    <w:qFormat/>
    <w:uiPriority w:val="99"/>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themeColor="light1" w:fill="FFFFFF" w:themeFill="light1"/>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DAEBCF" w:themeColor="accent6" w:themeTint="40"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37">
    <w:name w:val="Lined - Accent"/>
    <w:basedOn w:val="23"/>
    <w:qFormat/>
    <w:uiPriority w:val="99"/>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38">
    <w:name w:val="Lined - Accent 1"/>
    <w:basedOn w:val="23"/>
    <w:qFormat/>
    <w:uiPriority w:val="99"/>
    <w:rPr>
      <w:color w:val="404040"/>
    </w:rPr>
    <w:tblStylePr w:type="firstRow">
      <w:rPr>
        <w:rFonts w:ascii="Arial" w:hAnsi="Arial"/>
        <w:color w:val="F2F2F2"/>
        <w:sz w:val="22"/>
      </w:rPr>
      <w:tcPr>
        <w:shd w:val="clear" w:color="537DC8" w:themeColor="accent1" w:themeTint="EA" w:fill="537DC8" w:themeFill="accent1" w:themeFillTint="EA"/>
      </w:tcPr>
    </w:tblStylePr>
    <w:tblStylePr w:type="lastRow">
      <w:rPr>
        <w:rFonts w:ascii="Arial" w:hAnsi="Arial"/>
        <w:color w:val="F2F2F2"/>
        <w:sz w:val="22"/>
      </w:rPr>
      <w:tcPr>
        <w:shd w:val="clear" w:color="537DC8" w:themeColor="accent1" w:themeTint="EA" w:fill="537DC8" w:themeFill="accent1" w:themeFillTint="EA"/>
      </w:tcPr>
    </w:tblStylePr>
    <w:tblStylePr w:type="firstCol">
      <w:rPr>
        <w:rFonts w:ascii="Arial" w:hAnsi="Arial"/>
        <w:color w:val="F2F2F2"/>
        <w:sz w:val="22"/>
      </w:rPr>
      <w:tcPr>
        <w:shd w:val="clear" w:color="537DC8" w:themeColor="accent1" w:themeTint="EA" w:fill="537DC8" w:themeFill="accent1" w:themeFillTint="EA"/>
      </w:tcPr>
    </w:tblStylePr>
    <w:tblStylePr w:type="lastCol">
      <w:rPr>
        <w:rFonts w:ascii="Arial" w:hAnsi="Arial"/>
        <w:color w:val="F2F2F2"/>
        <w:sz w:val="22"/>
      </w:r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4D2EC" w:themeColor="accent1" w:themeTint="50" w:fill="C4D2EC" w:themeFill="accent1" w:themeFillTint="50"/>
      </w:tcPr>
    </w:tblStylePr>
  </w:style>
  <w:style w:type="table" w:customStyle="1" w:styleId="139">
    <w:name w:val="Lined - Accent 2"/>
    <w:basedOn w:val="23"/>
    <w:qFormat/>
    <w:uiPriority w:val="99"/>
    <w:rPr>
      <w:color w:val="404040"/>
    </w:rPr>
    <w:tblStylePr w:type="firstRow">
      <w:rPr>
        <w:rFonts w:ascii="Arial" w:hAnsi="Arial"/>
        <w:color w:val="F2F2F2"/>
        <w:sz w:val="22"/>
      </w:rPr>
      <w:tcPr>
        <w:shd w:val="clear" w:color="F4B285" w:themeColor="accent2" w:themeTint="97" w:fill="F4B285" w:themeFill="accent2" w:themeFillTint="97"/>
      </w:tcPr>
    </w:tblStylePr>
    <w:tblStylePr w:type="lastRow">
      <w:rPr>
        <w:rFonts w:ascii="Arial" w:hAnsi="Arial"/>
        <w:color w:val="F2F2F2"/>
        <w:sz w:val="22"/>
      </w:rPr>
      <w:tcPr>
        <w:shd w:val="clear" w:color="F4B285" w:themeColor="accent2" w:themeTint="97" w:fill="F4B285" w:themeFill="accent2" w:themeFillTint="97"/>
      </w:tcPr>
    </w:tblStylePr>
    <w:tblStylePr w:type="firstCol">
      <w:rPr>
        <w:rFonts w:ascii="Arial" w:hAnsi="Arial"/>
        <w:color w:val="F2F2F2"/>
        <w:sz w:val="22"/>
      </w:rPr>
      <w:tcPr>
        <w:shd w:val="clear" w:color="F4B285" w:themeColor="accent2" w:themeTint="97" w:fill="F4B285" w:themeFill="accent2" w:themeFillTint="97"/>
      </w:tcPr>
    </w:tblStylePr>
    <w:tblStylePr w:type="lastCol">
      <w:rPr>
        <w:rFonts w:ascii="Arial" w:hAnsi="Arial"/>
        <w:color w:val="F2F2F2"/>
        <w:sz w:val="22"/>
      </w:rPr>
      <w:tcPr>
        <w:shd w:val="clear" w:color="F4B285" w:themeColor="accent2" w:themeTint="97"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customStyle="1" w:styleId="140">
    <w:name w:val="Lined - Accent 3"/>
    <w:basedOn w:val="23"/>
    <w:qFormat/>
    <w:uiPriority w:val="99"/>
    <w:rPr>
      <w:color w:val="404040"/>
    </w:r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customStyle="1" w:styleId="141">
    <w:name w:val="Lined - Accent 4"/>
    <w:basedOn w:val="23"/>
    <w:qFormat/>
    <w:uiPriority w:val="99"/>
    <w:rPr>
      <w:color w:val="404040"/>
    </w:rPr>
    <w:tblStylePr w:type="firstRow">
      <w:rPr>
        <w:rFonts w:ascii="Arial" w:hAnsi="Arial"/>
        <w:color w:val="F2F2F2"/>
        <w:sz w:val="22"/>
      </w:rPr>
      <w:tcPr>
        <w:shd w:val="clear" w:color="FFD864" w:themeColor="accent4" w:themeTint="9A" w:fill="FFD864" w:themeFill="accent4" w:themeFillTint="9A"/>
      </w:tcPr>
    </w:tblStylePr>
    <w:tblStylePr w:type="lastRow">
      <w:rPr>
        <w:rFonts w:ascii="Arial" w:hAnsi="Arial"/>
        <w:color w:val="F2F2F2"/>
        <w:sz w:val="22"/>
      </w:rPr>
      <w:tcPr>
        <w:shd w:val="clear" w:color="FFD864" w:themeColor="accent4" w:themeTint="9A" w:fill="FFD864" w:themeFill="accent4" w:themeFillTint="9A"/>
      </w:tcPr>
    </w:tblStylePr>
    <w:tblStylePr w:type="firstCol">
      <w:rPr>
        <w:rFonts w:ascii="Arial" w:hAnsi="Arial"/>
        <w:color w:val="F2F2F2"/>
        <w:sz w:val="22"/>
      </w:rPr>
      <w:tcPr>
        <w:shd w:val="clear" w:color="FFD864" w:themeColor="accent4" w:themeTint="9A" w:fill="FFD864" w:themeFill="accent4" w:themeFillTint="9A"/>
      </w:tcPr>
    </w:tblStylePr>
    <w:tblStylePr w:type="lastCol">
      <w:rPr>
        <w:rFonts w:ascii="Arial" w:hAnsi="Arial"/>
        <w:color w:val="F2F2F2"/>
        <w:sz w:val="22"/>
      </w:rPr>
      <w:tcPr>
        <w:shd w:val="clear" w:color="FFD864" w:themeColor="accent4" w:themeTint="9A"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themeColor="accent4" w:themeTint="34" w:fill="FEF2CA" w:themeFill="accent4" w:themeFillTint="34"/>
      </w:tcPr>
    </w:tblStylePr>
  </w:style>
  <w:style w:type="table" w:customStyle="1" w:styleId="142">
    <w:name w:val="Lined - Accent 5"/>
    <w:basedOn w:val="23"/>
    <w:qFormat/>
    <w:uiPriority w:val="99"/>
    <w:rPr>
      <w:color w:val="404040"/>
    </w:rPr>
    <w:tblStylePr w:type="firstRow">
      <w:rPr>
        <w:rFonts w:ascii="Arial" w:hAnsi="Arial"/>
        <w:color w:val="F2F2F2"/>
        <w:sz w:val="22"/>
      </w:rPr>
      <w:tcPr>
        <w:shd w:val="clear" w:color="5B9BD5" w:themeColor="accent5" w:fill="5B9BD5" w:themeFill="accent5"/>
      </w:tcPr>
    </w:tblStylePr>
    <w:tblStylePr w:type="lastRow">
      <w:rPr>
        <w:rFonts w:ascii="Arial" w:hAnsi="Arial"/>
        <w:color w:val="F2F2F2"/>
        <w:sz w:val="22"/>
      </w:rPr>
      <w:tcPr>
        <w:shd w:val="clear" w:color="5B9BD5" w:themeColor="accent5" w:fill="5B9BD5" w:themeFill="accent5"/>
      </w:tcPr>
    </w:tblStylePr>
    <w:tblStylePr w:type="firstCol">
      <w:rPr>
        <w:rFonts w:ascii="Arial" w:hAnsi="Arial"/>
        <w:color w:val="F2F2F2"/>
        <w:sz w:val="22"/>
      </w:rPr>
      <w:tcPr>
        <w:shd w:val="clear" w:color="5B9BD5" w:themeColor="accent5" w:fill="5B9BD5" w:themeFill="accent5"/>
      </w:tcPr>
    </w:tblStylePr>
    <w:tblStylePr w:type="lastCol">
      <w:rPr>
        <w:rFonts w:ascii="Arial" w:hAnsi="Arial"/>
        <w:color w:val="F2F2F2"/>
        <w:sz w:val="22"/>
      </w:r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DEAF6" w:themeColor="accent5" w:themeTint="34" w:fill="DDEAF6" w:themeFill="accent5" w:themeFillTint="34"/>
      </w:tcPr>
    </w:tblStylePr>
  </w:style>
  <w:style w:type="table" w:customStyle="1" w:styleId="143">
    <w:name w:val="Lined - Accent 6"/>
    <w:basedOn w:val="23"/>
    <w:qFormat/>
    <w:uiPriority w:val="99"/>
    <w:rPr>
      <w:color w:val="404040"/>
    </w:r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customStyle="1" w:styleId="144">
    <w:name w:val="Bordered &amp; Lined - Accent"/>
    <w:basedOn w:val="23"/>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45">
    <w:name w:val="Bordered &amp; Lined - Accent 1"/>
    <w:basedOn w:val="23"/>
    <w:qFormat/>
    <w:uiPriority w:val="99"/>
    <w:rPr>
      <w:color w:val="404040"/>
    </w:rPr>
    <w:tblPr>
      <w:tblBorders>
        <w:top w:val="single" w:color="244175" w:themeColor="accent1" w:themeShade="95" w:sz="4" w:space="0"/>
        <w:left w:val="single" w:color="244175" w:themeColor="accent1" w:themeShade="95" w:sz="4" w:space="0"/>
        <w:bottom w:val="single" w:color="244175" w:themeColor="accent1" w:themeShade="95" w:sz="4" w:space="0"/>
        <w:right w:val="single" w:color="244175" w:themeColor="accent1" w:themeShade="95" w:sz="4" w:space="0"/>
        <w:insideH w:val="single" w:color="244175" w:themeColor="accent1" w:themeShade="95" w:sz="4" w:space="0"/>
        <w:insideV w:val="single" w:color="244175" w:themeColor="accent1" w:themeShade="95" w:sz="4" w:space="0"/>
      </w:tblBorders>
    </w:tblPr>
    <w:tblStylePr w:type="firstRow">
      <w:rPr>
        <w:rFonts w:ascii="Arial" w:hAnsi="Arial"/>
        <w:color w:val="F2F2F2"/>
        <w:sz w:val="22"/>
      </w:rPr>
      <w:tcPr>
        <w:shd w:val="clear" w:color="537DC8" w:themeColor="accent1" w:themeTint="EA" w:fill="537DC8" w:themeFill="accent1" w:themeFillTint="EA"/>
      </w:tcPr>
    </w:tblStylePr>
    <w:tblStylePr w:type="lastRow">
      <w:rPr>
        <w:rFonts w:ascii="Arial" w:hAnsi="Arial"/>
        <w:color w:val="F2F2F2"/>
        <w:sz w:val="22"/>
      </w:rPr>
      <w:tcPr>
        <w:shd w:val="clear" w:color="537DC8" w:themeColor="accent1" w:themeTint="EA" w:fill="537DC8" w:themeFill="accent1" w:themeFillTint="EA"/>
      </w:tcPr>
    </w:tblStylePr>
    <w:tblStylePr w:type="firstCol">
      <w:rPr>
        <w:rFonts w:ascii="Arial" w:hAnsi="Arial"/>
        <w:color w:val="F2F2F2"/>
        <w:sz w:val="22"/>
      </w:rPr>
      <w:tcPr>
        <w:shd w:val="clear" w:color="537DC8" w:themeColor="accent1" w:themeTint="EA" w:fill="537DC8" w:themeFill="accent1" w:themeFillTint="EA"/>
      </w:tcPr>
    </w:tblStylePr>
    <w:tblStylePr w:type="lastCol">
      <w:rPr>
        <w:rFonts w:ascii="Arial" w:hAnsi="Arial"/>
        <w:color w:val="F2F2F2"/>
        <w:sz w:val="22"/>
      </w:r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4D2EC" w:themeColor="accent1" w:themeTint="50" w:fill="C4D2EC" w:themeFill="accent1" w:themeFillTint="50"/>
      </w:tcPr>
    </w:tblStylePr>
  </w:style>
  <w:style w:type="table" w:customStyle="1" w:styleId="146">
    <w:name w:val="Bordered &amp; Lined - Accent 2"/>
    <w:basedOn w:val="23"/>
    <w:qFormat/>
    <w:uiPriority w:val="99"/>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4B285" w:themeColor="accent2" w:themeTint="97" w:fill="F4B285" w:themeFill="accent2" w:themeFillTint="97"/>
      </w:tcPr>
    </w:tblStylePr>
    <w:tblStylePr w:type="lastRow">
      <w:rPr>
        <w:rFonts w:ascii="Arial" w:hAnsi="Arial"/>
        <w:color w:val="F2F2F2"/>
        <w:sz w:val="22"/>
      </w:rPr>
      <w:tcPr>
        <w:shd w:val="clear" w:color="F4B285" w:themeColor="accent2" w:themeTint="97" w:fill="F4B285" w:themeFill="accent2" w:themeFillTint="97"/>
      </w:tcPr>
    </w:tblStylePr>
    <w:tblStylePr w:type="firstCol">
      <w:rPr>
        <w:rFonts w:ascii="Arial" w:hAnsi="Arial"/>
        <w:color w:val="F2F2F2"/>
        <w:sz w:val="22"/>
      </w:rPr>
      <w:tcPr>
        <w:shd w:val="clear" w:color="F4B285" w:themeColor="accent2" w:themeTint="97" w:fill="F4B285" w:themeFill="accent2" w:themeFillTint="97"/>
      </w:tcPr>
    </w:tblStylePr>
    <w:tblStylePr w:type="lastCol">
      <w:rPr>
        <w:rFonts w:ascii="Arial" w:hAnsi="Arial"/>
        <w:color w:val="F2F2F2"/>
        <w:sz w:val="22"/>
      </w:rPr>
      <w:tcPr>
        <w:shd w:val="clear" w:color="F4B285" w:themeColor="accent2" w:themeTint="97"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customStyle="1" w:styleId="147">
    <w:name w:val="Bordered &amp; Lined - Accent 3"/>
    <w:basedOn w:val="23"/>
    <w:qFormat/>
    <w:uiPriority w:val="99"/>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customStyle="1" w:styleId="148">
    <w:name w:val="Bordered &amp; Lined - Accent 4"/>
    <w:basedOn w:val="23"/>
    <w:qFormat/>
    <w:uiPriority w:val="99"/>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D864" w:themeColor="accent4" w:themeTint="9A" w:fill="FFD864" w:themeFill="accent4" w:themeFillTint="9A"/>
      </w:tcPr>
    </w:tblStylePr>
    <w:tblStylePr w:type="lastRow">
      <w:rPr>
        <w:rFonts w:ascii="Arial" w:hAnsi="Arial"/>
        <w:color w:val="F2F2F2"/>
        <w:sz w:val="22"/>
      </w:rPr>
      <w:tcPr>
        <w:shd w:val="clear" w:color="FFD864" w:themeColor="accent4" w:themeTint="9A" w:fill="FFD864" w:themeFill="accent4" w:themeFillTint="9A"/>
      </w:tcPr>
    </w:tblStylePr>
    <w:tblStylePr w:type="firstCol">
      <w:rPr>
        <w:rFonts w:ascii="Arial" w:hAnsi="Arial"/>
        <w:color w:val="F2F2F2"/>
        <w:sz w:val="22"/>
      </w:rPr>
      <w:tcPr>
        <w:shd w:val="clear" w:color="FFD864" w:themeColor="accent4" w:themeTint="9A" w:fill="FFD864" w:themeFill="accent4" w:themeFillTint="9A"/>
      </w:tcPr>
    </w:tblStylePr>
    <w:tblStylePr w:type="lastCol">
      <w:rPr>
        <w:rFonts w:ascii="Arial" w:hAnsi="Arial"/>
        <w:color w:val="F2F2F2"/>
        <w:sz w:val="22"/>
      </w:rPr>
      <w:tcPr>
        <w:shd w:val="clear" w:color="FFD864" w:themeColor="accent4" w:themeTint="9A"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themeColor="accent4" w:themeTint="34" w:fill="FEF2CA" w:themeFill="accent4" w:themeFillTint="34"/>
      </w:tcPr>
    </w:tblStylePr>
  </w:style>
  <w:style w:type="table" w:customStyle="1" w:styleId="149">
    <w:name w:val="Bordered &amp; Lined - Accent 5"/>
    <w:basedOn w:val="23"/>
    <w:qFormat/>
    <w:uiPriority w:val="99"/>
    <w:rPr>
      <w:color w:val="404040"/>
    </w:rPr>
    <w:tblPr>
      <w:tblBorders>
        <w:top w:val="single" w:color="245B8D" w:themeColor="accent5" w:themeShade="95" w:sz="4" w:space="0"/>
        <w:left w:val="single" w:color="245B8D" w:themeColor="accent5" w:themeShade="95" w:sz="4" w:space="0"/>
        <w:bottom w:val="single" w:color="245B8D" w:themeColor="accent5" w:themeShade="95" w:sz="4" w:space="0"/>
        <w:right w:val="single" w:color="245B8D" w:themeColor="accent5" w:themeShade="95" w:sz="4" w:space="0"/>
        <w:insideH w:val="single" w:color="245B8D" w:themeColor="accent5" w:themeShade="95" w:sz="4" w:space="0"/>
        <w:insideV w:val="single" w:color="245B8D" w:themeColor="accent5" w:themeShade="95" w:sz="4" w:space="0"/>
      </w:tblBorders>
    </w:tblPr>
    <w:tblStylePr w:type="firstRow">
      <w:rPr>
        <w:rFonts w:ascii="Arial" w:hAnsi="Arial"/>
        <w:color w:val="F2F2F2"/>
        <w:sz w:val="22"/>
      </w:rPr>
      <w:tcPr>
        <w:shd w:val="clear" w:color="5B9BD5" w:themeColor="accent5" w:fill="5B9BD5" w:themeFill="accent5"/>
      </w:tcPr>
    </w:tblStylePr>
    <w:tblStylePr w:type="lastRow">
      <w:rPr>
        <w:rFonts w:ascii="Arial" w:hAnsi="Arial"/>
        <w:color w:val="F2F2F2"/>
        <w:sz w:val="22"/>
      </w:rPr>
      <w:tcPr>
        <w:shd w:val="clear" w:color="5B9BD5" w:themeColor="accent5" w:fill="5B9BD5" w:themeFill="accent5"/>
      </w:tcPr>
    </w:tblStylePr>
    <w:tblStylePr w:type="firstCol">
      <w:rPr>
        <w:rFonts w:ascii="Arial" w:hAnsi="Arial"/>
        <w:color w:val="F2F2F2"/>
        <w:sz w:val="22"/>
      </w:rPr>
      <w:tcPr>
        <w:shd w:val="clear" w:color="5B9BD5" w:themeColor="accent5" w:fill="5B9BD5" w:themeFill="accent5"/>
      </w:tcPr>
    </w:tblStylePr>
    <w:tblStylePr w:type="lastCol">
      <w:rPr>
        <w:rFonts w:ascii="Arial" w:hAnsi="Arial"/>
        <w:color w:val="F2F2F2"/>
        <w:sz w:val="22"/>
      </w:r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DEAF6" w:themeColor="accent5" w:themeTint="34" w:fill="DDEAF6" w:themeFill="accent5" w:themeFillTint="34"/>
      </w:tcPr>
    </w:tblStylePr>
  </w:style>
  <w:style w:type="table" w:customStyle="1" w:styleId="150">
    <w:name w:val="Bordered &amp; Lined - Accent 6"/>
    <w:basedOn w:val="23"/>
    <w:qFormat/>
    <w:uiPriority w:val="99"/>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customStyle="1" w:styleId="151">
    <w:name w:val="Bordered"/>
    <w:basedOn w:val="23"/>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52">
    <w:name w:val="Bordered - Accent 1"/>
    <w:basedOn w:val="23"/>
    <w:qFormat/>
    <w:uiPriority w:val="99"/>
    <w:tblPr>
      <w:tbl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insideH w:val="single" w:color="B3C6E7" w:themeColor="accent1" w:themeTint="67" w:sz="4" w:space="0"/>
        <w:insideV w:val="single" w:color="B3C6E7" w:themeColor="accent1" w:themeTint="67" w:sz="4" w:space="0"/>
      </w:tblBorders>
    </w:tblPr>
    <w:tblStylePr w:type="firstRow">
      <w:rPr>
        <w:rFonts w:ascii="Arial" w:hAnsi="Arial"/>
        <w:color w:val="404040"/>
        <w:sz w:val="22"/>
      </w:rPr>
      <w:tcPr>
        <w:tcBorders>
          <w:bottom w:val="single" w:color="4472C4" w:themeColor="accent1" w:sz="12" w:space="0"/>
        </w:tcBorders>
      </w:tcPr>
    </w:tblStylePr>
    <w:tblStylePr w:type="lastRow">
      <w:rPr>
        <w:rFonts w:ascii="Arial" w:hAnsi="Arial"/>
        <w:color w:val="404040"/>
        <w:sz w:val="22"/>
      </w:rPr>
      <w:tcPr>
        <w:tcBorders>
          <w:top w:val="single" w:color="4472C4"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472C4" w:themeColor="accent1" w:sz="12" w:space="0"/>
        </w:tcBorders>
      </w:tcPr>
    </w:tblStylePr>
    <w:tblStylePr w:type="band1Horz">
      <w:rPr>
        <w:rFonts w:ascii="Arial" w:hAnsi="Arial"/>
        <w:color w:val="404040"/>
        <w:sz w:val="22"/>
      </w:rPr>
      <w:tcPr>
        <w:tc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tcBorders>
      </w:tcPr>
    </w:tblStylePr>
  </w:style>
  <w:style w:type="table" w:customStyle="1" w:styleId="153">
    <w:name w:val="Bordered - Accent 2"/>
    <w:basedOn w:val="23"/>
    <w:qFormat/>
    <w:uiPriority w:val="99"/>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154">
    <w:name w:val="Bordered - Accent 3"/>
    <w:basedOn w:val="23"/>
    <w:qFormat/>
    <w:uiPriority w:val="99"/>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155">
    <w:name w:val="Bordered - Accent 4"/>
    <w:basedOn w:val="23"/>
    <w:qFormat/>
    <w:uiPriority w:val="99"/>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156">
    <w:name w:val="Bordered - Accent 5"/>
    <w:basedOn w:val="23"/>
    <w:qFormat/>
    <w:uiPriority w:val="99"/>
    <w:tblPr>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firstRow">
      <w:rPr>
        <w:rFonts w:ascii="Arial" w:hAnsi="Arial"/>
        <w:color w:val="404040"/>
        <w:sz w:val="22"/>
      </w:rPr>
      <w:tcPr>
        <w:tcBorders>
          <w:bottom w:val="single" w:color="9BC2E5" w:themeColor="accent5" w:themeTint="9A" w:sz="12" w:space="0"/>
        </w:tcBorders>
      </w:tcPr>
    </w:tblStylePr>
    <w:tblStylePr w:type="lastRow">
      <w:rPr>
        <w:rFonts w:ascii="Arial" w:hAnsi="Arial"/>
        <w:color w:val="404040"/>
        <w:sz w:val="22"/>
      </w:rPr>
      <w:tcPr>
        <w:tcBorders>
          <w:top w:val="single" w:color="9BC2E5"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BC2E5" w:themeColor="accent5" w:themeTint="9A" w:sz="12" w:space="0"/>
        </w:tcBorders>
      </w:tcPr>
    </w:tblStylePr>
    <w:tblStylePr w:type="band1Horz">
      <w:rPr>
        <w:rFonts w:ascii="Arial" w:hAnsi="Arial"/>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style>
  <w:style w:type="table" w:customStyle="1" w:styleId="157">
    <w:name w:val="Bordered - Accent 6"/>
    <w:basedOn w:val="23"/>
    <w:qFormat/>
    <w:uiPriority w:val="99"/>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character" w:customStyle="1" w:styleId="158">
    <w:name w:val="Heading 1 Char"/>
    <w:basedOn w:val="25"/>
    <w:qFormat/>
    <w:uiPriority w:val="9"/>
    <w:rPr>
      <w:rFonts w:ascii="Arial" w:hAnsi="Arial" w:eastAsia="Arial" w:cs="Arial"/>
      <w:color w:val="2F5597" w:themeColor="accent1" w:themeShade="BF"/>
      <w:sz w:val="40"/>
      <w:szCs w:val="40"/>
    </w:rPr>
  </w:style>
  <w:style w:type="character" w:customStyle="1" w:styleId="159">
    <w:name w:val="标题 2 字符"/>
    <w:basedOn w:val="25"/>
    <w:link w:val="3"/>
    <w:qFormat/>
    <w:uiPriority w:val="9"/>
    <w:rPr>
      <w:rFonts w:ascii="Arial" w:hAnsi="Arial" w:eastAsia="Arial" w:cs="Arial"/>
      <w:color w:val="2F5597" w:themeColor="accent1" w:themeShade="BF"/>
      <w:sz w:val="32"/>
      <w:szCs w:val="32"/>
    </w:rPr>
  </w:style>
  <w:style w:type="character" w:customStyle="1" w:styleId="160">
    <w:name w:val="标题 3 字符"/>
    <w:basedOn w:val="25"/>
    <w:link w:val="4"/>
    <w:qFormat/>
    <w:uiPriority w:val="9"/>
    <w:rPr>
      <w:rFonts w:ascii="Arial" w:hAnsi="Arial" w:eastAsia="Arial" w:cs="Arial"/>
      <w:color w:val="2F5597" w:themeColor="accent1" w:themeShade="BF"/>
      <w:sz w:val="28"/>
      <w:szCs w:val="28"/>
    </w:rPr>
  </w:style>
  <w:style w:type="character" w:customStyle="1" w:styleId="161">
    <w:name w:val="标题 4 字符"/>
    <w:basedOn w:val="25"/>
    <w:link w:val="5"/>
    <w:qFormat/>
    <w:uiPriority w:val="9"/>
    <w:rPr>
      <w:rFonts w:ascii="Arial" w:hAnsi="Arial" w:eastAsia="Arial" w:cs="Arial"/>
      <w:i/>
      <w:iCs/>
      <w:color w:val="2F5597" w:themeColor="accent1" w:themeShade="BF"/>
    </w:rPr>
  </w:style>
  <w:style w:type="character" w:customStyle="1" w:styleId="162">
    <w:name w:val="标题 5 字符"/>
    <w:basedOn w:val="25"/>
    <w:link w:val="6"/>
    <w:qFormat/>
    <w:uiPriority w:val="9"/>
    <w:rPr>
      <w:rFonts w:ascii="Arial" w:hAnsi="Arial" w:eastAsia="Arial" w:cs="Arial"/>
      <w:color w:val="2F5597" w:themeColor="accent1" w:themeShade="BF"/>
    </w:rPr>
  </w:style>
  <w:style w:type="character" w:customStyle="1" w:styleId="163">
    <w:name w:val="标题 6 字符"/>
    <w:basedOn w:val="25"/>
    <w:link w:val="7"/>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64">
    <w:name w:val="标题 7 字符"/>
    <w:basedOn w:val="25"/>
    <w:link w:val="8"/>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65">
    <w:name w:val="标题 8 字符"/>
    <w:basedOn w:val="25"/>
    <w:link w:val="9"/>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66">
    <w:name w:val="标题 9 字符"/>
    <w:basedOn w:val="25"/>
    <w:link w:val="10"/>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67">
    <w:name w:val="标题 字符"/>
    <w:basedOn w:val="25"/>
    <w:link w:val="21"/>
    <w:qFormat/>
    <w:uiPriority w:val="10"/>
    <w:rPr>
      <w:rFonts w:ascii="Arial" w:hAnsi="Arial" w:eastAsia="Arial" w:cs="Arial"/>
      <w:spacing w:val="-10"/>
      <w:sz w:val="56"/>
      <w:szCs w:val="56"/>
    </w:rPr>
  </w:style>
  <w:style w:type="character" w:customStyle="1" w:styleId="168">
    <w:name w:val="副标题 字符"/>
    <w:basedOn w:val="25"/>
    <w:link w:val="17"/>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69">
    <w:name w:val="Quote"/>
    <w:basedOn w:val="1"/>
    <w:next w:val="1"/>
    <w:link w:val="17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70">
    <w:name w:val="引用 字符"/>
    <w:basedOn w:val="25"/>
    <w:link w:val="169"/>
    <w:qFormat/>
    <w:uiPriority w:val="29"/>
    <w:rPr>
      <w:i/>
      <w:iCs/>
      <w:color w:val="404040" w:themeColor="text1" w:themeTint="BF"/>
      <w14:textFill>
        <w14:solidFill>
          <w14:schemeClr w14:val="tx1">
            <w14:lumMod w14:val="75000"/>
            <w14:lumOff w14:val="25000"/>
          </w14:schemeClr>
        </w14:solidFill>
      </w14:textFill>
    </w:rPr>
  </w:style>
  <w:style w:type="character" w:customStyle="1" w:styleId="171">
    <w:name w:val="明显强调1"/>
    <w:basedOn w:val="25"/>
    <w:qFormat/>
    <w:uiPriority w:val="21"/>
    <w:rPr>
      <w:i/>
      <w:iCs/>
      <w:color w:val="2F5597" w:themeColor="accent1" w:themeShade="BF"/>
    </w:rPr>
  </w:style>
  <w:style w:type="paragraph" w:styleId="172">
    <w:name w:val="Intense Quote"/>
    <w:basedOn w:val="1"/>
    <w:next w:val="1"/>
    <w:link w:val="173"/>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173">
    <w:name w:val="明显引用 字符"/>
    <w:basedOn w:val="25"/>
    <w:link w:val="172"/>
    <w:qFormat/>
    <w:uiPriority w:val="30"/>
    <w:rPr>
      <w:i/>
      <w:iCs/>
      <w:color w:val="2F5597" w:themeColor="accent1" w:themeShade="BF"/>
    </w:rPr>
  </w:style>
  <w:style w:type="character" w:customStyle="1" w:styleId="174">
    <w:name w:val="明显参考1"/>
    <w:basedOn w:val="25"/>
    <w:qFormat/>
    <w:uiPriority w:val="32"/>
    <w:rPr>
      <w:b/>
      <w:bCs/>
      <w:smallCaps/>
      <w:color w:val="2F5597" w:themeColor="accent1" w:themeShade="BF"/>
      <w:spacing w:val="5"/>
    </w:rPr>
  </w:style>
  <w:style w:type="paragraph" w:styleId="175">
    <w:name w:val="No Spacing"/>
    <w:basedOn w:val="1"/>
    <w:qFormat/>
    <w:uiPriority w:val="1"/>
  </w:style>
  <w:style w:type="character" w:customStyle="1" w:styleId="176">
    <w:name w:val="不明显强调1"/>
    <w:basedOn w:val="25"/>
    <w:qFormat/>
    <w:uiPriority w:val="19"/>
    <w:rPr>
      <w:i/>
      <w:iCs/>
      <w:color w:val="404040" w:themeColor="text1" w:themeTint="BF"/>
      <w14:textFill>
        <w14:solidFill>
          <w14:schemeClr w14:val="tx1">
            <w14:lumMod w14:val="75000"/>
            <w14:lumOff w14:val="25000"/>
          </w14:schemeClr>
        </w14:solidFill>
      </w14:textFill>
    </w:rPr>
  </w:style>
  <w:style w:type="character" w:customStyle="1" w:styleId="177">
    <w:name w:val="不明显参考1"/>
    <w:basedOn w:val="25"/>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78">
    <w:name w:val="书籍标题1"/>
    <w:basedOn w:val="25"/>
    <w:qFormat/>
    <w:uiPriority w:val="33"/>
    <w:rPr>
      <w:b/>
      <w:bCs/>
      <w:i/>
      <w:iCs/>
      <w:spacing w:val="5"/>
    </w:rPr>
  </w:style>
  <w:style w:type="character" w:customStyle="1" w:styleId="179">
    <w:name w:val="Header Char"/>
    <w:basedOn w:val="25"/>
    <w:qFormat/>
    <w:uiPriority w:val="99"/>
  </w:style>
  <w:style w:type="character" w:customStyle="1" w:styleId="180">
    <w:name w:val="Footer Char"/>
    <w:basedOn w:val="25"/>
    <w:qFormat/>
    <w:uiPriority w:val="99"/>
  </w:style>
  <w:style w:type="character" w:customStyle="1" w:styleId="181">
    <w:name w:val="脚注文本 字符"/>
    <w:basedOn w:val="25"/>
    <w:link w:val="18"/>
    <w:semiHidden/>
    <w:qFormat/>
    <w:uiPriority w:val="99"/>
    <w:rPr>
      <w:sz w:val="20"/>
      <w:szCs w:val="20"/>
    </w:rPr>
  </w:style>
  <w:style w:type="character" w:customStyle="1" w:styleId="182">
    <w:name w:val="尾注文本 字符"/>
    <w:basedOn w:val="25"/>
    <w:link w:val="13"/>
    <w:semiHidden/>
    <w:qFormat/>
    <w:uiPriority w:val="99"/>
    <w:rPr>
      <w:sz w:val="20"/>
      <w:szCs w:val="20"/>
    </w:rPr>
  </w:style>
  <w:style w:type="paragraph" w:customStyle="1" w:styleId="183">
    <w:name w:val="TOC 标题1"/>
    <w:unhideWhenUsed/>
    <w:qFormat/>
    <w:uiPriority w:val="39"/>
    <w:rPr>
      <w:rFonts w:ascii="Times New Roman" w:hAnsi="Times New Roman" w:eastAsia="宋体" w:cs="Times New Roman"/>
      <w:lang w:val="en-US" w:eastAsia="zh-CN" w:bidi="ar-SA"/>
    </w:rPr>
  </w:style>
  <w:style w:type="character" w:customStyle="1" w:styleId="184">
    <w:name w:val="页眉 字符"/>
    <w:basedOn w:val="25"/>
    <w:link w:val="16"/>
    <w:qFormat/>
    <w:uiPriority w:val="99"/>
    <w:rPr>
      <w:sz w:val="18"/>
      <w:szCs w:val="18"/>
    </w:rPr>
  </w:style>
  <w:style w:type="character" w:customStyle="1" w:styleId="185">
    <w:name w:val="页脚 字符"/>
    <w:basedOn w:val="25"/>
    <w:link w:val="15"/>
    <w:qFormat/>
    <w:uiPriority w:val="99"/>
    <w:rPr>
      <w:sz w:val="18"/>
      <w:szCs w:val="18"/>
    </w:rPr>
  </w:style>
  <w:style w:type="character" w:customStyle="1" w:styleId="186">
    <w:name w:val="标题 1 字符"/>
    <w:basedOn w:val="25"/>
    <w:link w:val="2"/>
    <w:qFormat/>
    <w:uiPriority w:val="9"/>
    <w:rPr>
      <w:b/>
      <w:bCs/>
      <w:sz w:val="44"/>
      <w:szCs w:val="44"/>
    </w:rPr>
  </w:style>
  <w:style w:type="paragraph" w:styleId="187">
    <w:name w:val="List Paragraph"/>
    <w:basedOn w:val="1"/>
    <w:qFormat/>
    <w:uiPriority w:val="34"/>
    <w:pPr>
      <w:ind w:firstLine="420"/>
    </w:pPr>
  </w:style>
  <w:style w:type="paragraph" w:customStyle="1" w:styleId="188">
    <w:name w:val="说明书正文粗"/>
    <w:basedOn w:val="189"/>
    <w:next w:val="1"/>
    <w:link w:val="190"/>
    <w:qFormat/>
    <w:uiPriority w:val="0"/>
    <w:rPr>
      <w:b/>
    </w:rPr>
  </w:style>
  <w:style w:type="paragraph" w:customStyle="1" w:styleId="189">
    <w:name w:val="说明书正文细"/>
    <w:basedOn w:val="1"/>
    <w:link w:val="192"/>
    <w:qFormat/>
    <w:uiPriority w:val="0"/>
    <w:rPr>
      <w:rFonts w:ascii="黑体" w:hAnsi="黑体" w:cs="宋体"/>
      <w:szCs w:val="21"/>
    </w:rPr>
  </w:style>
  <w:style w:type="character" w:customStyle="1" w:styleId="190">
    <w:name w:val="说明书正文粗 字符"/>
    <w:basedOn w:val="25"/>
    <w:link w:val="188"/>
    <w:qFormat/>
    <w:uiPriority w:val="0"/>
    <w:rPr>
      <w:rFonts w:ascii="黑体" w:hAnsi="黑体" w:eastAsia="黑体" w:cs="宋体"/>
      <w:b/>
      <w:szCs w:val="21"/>
    </w:rPr>
  </w:style>
  <w:style w:type="paragraph" w:customStyle="1" w:styleId="191">
    <w:name w:val="说明书标题"/>
    <w:basedOn w:val="1"/>
    <w:link w:val="193"/>
    <w:qFormat/>
    <w:uiPriority w:val="0"/>
    <w:pPr>
      <w:ind w:firstLine="420"/>
      <w:jc w:val="center"/>
    </w:pPr>
    <w:rPr>
      <w:rFonts w:ascii="黑体" w:hAnsi="黑体" w:cs="宋体"/>
      <w:sz w:val="44"/>
      <w:szCs w:val="44"/>
    </w:rPr>
  </w:style>
  <w:style w:type="character" w:customStyle="1" w:styleId="192">
    <w:name w:val="说明书正文细 字符"/>
    <w:basedOn w:val="25"/>
    <w:link w:val="189"/>
    <w:qFormat/>
    <w:uiPriority w:val="0"/>
    <w:rPr>
      <w:rFonts w:ascii="黑体" w:hAnsi="黑体" w:eastAsia="黑体" w:cs="宋体"/>
      <w:szCs w:val="21"/>
    </w:rPr>
  </w:style>
  <w:style w:type="character" w:customStyle="1" w:styleId="193">
    <w:name w:val="说明书标题 字符"/>
    <w:basedOn w:val="25"/>
    <w:link w:val="191"/>
    <w:qFormat/>
    <w:uiPriority w:val="0"/>
    <w:rPr>
      <w:rFonts w:ascii="黑体" w:hAnsi="黑体" w:eastAsia="黑体" w:cs="宋体"/>
      <w:sz w:val="44"/>
      <w:szCs w:val="44"/>
    </w:rPr>
  </w:style>
  <w:style w:type="table" w:customStyle="1" w:styleId="194">
    <w:name w:val="说明书表格"/>
    <w:basedOn w:val="23"/>
    <w:qFormat/>
    <w:uiPriority w:val="99"/>
    <w:rPr>
      <w:rFonts w:eastAsia="黑体"/>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95">
    <w:name w:val="说明书表格字体"/>
    <w:basedOn w:val="1"/>
    <w:link w:val="197"/>
    <w:qFormat/>
    <w:uiPriority w:val="0"/>
    <w:pPr>
      <w:jc w:val="left"/>
    </w:pPr>
    <w:rPr>
      <w:rFonts w:ascii="黑体" w:hAnsi="黑体" w:cs="黑体"/>
      <w:szCs w:val="21"/>
    </w:rPr>
  </w:style>
  <w:style w:type="paragraph" w:customStyle="1" w:styleId="196">
    <w:name w:val="说明书正文"/>
    <w:basedOn w:val="1"/>
    <w:link w:val="198"/>
    <w:qFormat/>
    <w:uiPriority w:val="0"/>
    <w:pPr>
      <w:ind w:firstLine="420"/>
    </w:pPr>
    <w:rPr>
      <w:rFonts w:ascii="黑体" w:hAnsi="黑体" w:cs="黑体"/>
      <w:szCs w:val="21"/>
    </w:rPr>
  </w:style>
  <w:style w:type="character" w:customStyle="1" w:styleId="197">
    <w:name w:val="说明书表格字体 字符"/>
    <w:basedOn w:val="25"/>
    <w:link w:val="195"/>
    <w:qFormat/>
    <w:uiPriority w:val="0"/>
    <w:rPr>
      <w:rFonts w:ascii="黑体" w:hAnsi="黑体" w:eastAsia="黑体" w:cs="黑体"/>
      <w:szCs w:val="21"/>
    </w:rPr>
  </w:style>
  <w:style w:type="character" w:customStyle="1" w:styleId="198">
    <w:name w:val="说明书正文 字符"/>
    <w:basedOn w:val="25"/>
    <w:link w:val="196"/>
    <w:qFormat/>
    <w:uiPriority w:val="0"/>
    <w:rPr>
      <w:rFonts w:ascii="黑体" w:hAnsi="黑体" w:eastAsia="黑体" w:cs="黑体"/>
      <w:szCs w:val="21"/>
    </w:rPr>
  </w:style>
  <w:style w:type="character" w:customStyle="1" w:styleId="199">
    <w:name w:val="批注框文本 字符"/>
    <w:basedOn w:val="25"/>
    <w:link w:val="14"/>
    <w:semiHidden/>
    <w:qFormat/>
    <w:uiPriority w:val="99"/>
    <w:rPr>
      <w:rFonts w:eastAsia="黑体"/>
      <w:sz w:val="18"/>
      <w:szCs w:val="18"/>
    </w:rPr>
  </w:style>
  <w:style w:type="paragraph" w:customStyle="1" w:styleId="200">
    <w:name w:val="修订1"/>
    <w:hidden/>
    <w:semiHidden/>
    <w:qFormat/>
    <w:uiPriority w:val="99"/>
    <w:rPr>
      <w:rFonts w:eastAsia="黑体" w:asciiTheme="minorHAnsi" w:hAnsiTheme="minorHAnsi" w:cstheme="minorBidi"/>
      <w:sz w:val="21"/>
      <w:szCs w:val="22"/>
      <w:lang w:val="en-US" w:eastAsia="zh-CN" w:bidi="ar-SA"/>
    </w:rPr>
  </w:style>
  <w:style w:type="character" w:customStyle="1" w:styleId="201">
    <w:name w:val="批注文字 字符"/>
    <w:basedOn w:val="25"/>
    <w:link w:val="12"/>
    <w:semiHidden/>
    <w:qFormat/>
    <w:uiPriority w:val="99"/>
    <w:rPr>
      <w:rFonts w:eastAsia="黑体" w:asciiTheme="minorHAnsi" w:hAnsiTheme="minorHAnsi" w:cstheme="minorBidi"/>
      <w:sz w:val="21"/>
      <w:szCs w:val="22"/>
    </w:rPr>
  </w:style>
  <w:style w:type="character" w:customStyle="1" w:styleId="202">
    <w:name w:val="批注主题 字符"/>
    <w:basedOn w:val="201"/>
    <w:link w:val="22"/>
    <w:semiHidden/>
    <w:qFormat/>
    <w:uiPriority w:val="99"/>
    <w:rPr>
      <w:rFonts w:eastAsia="黑体" w:asciiTheme="minorHAnsi" w:hAnsiTheme="minorHAnsi" w:cstheme="minorBidi"/>
      <w:b/>
      <w:bCs/>
      <w:sz w:val="21"/>
      <w:szCs w:val="22"/>
    </w:rPr>
  </w:style>
  <w:style w:type="paragraph" w:customStyle="1" w:styleId="203">
    <w:name w:val="Revision"/>
    <w:hidden/>
    <w:semiHidden/>
    <w:uiPriority w:val="99"/>
    <w:rPr>
      <w:rFonts w:eastAsia="黑体" w:asciiTheme="minorHAnsi" w:hAnsiTheme="minorHAnsi" w:cstheme="minorBidi"/>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黑体"/>
        <a:cs typeface="Arial"/>
      </a:majorFont>
      <a:minorFont>
        <a:latin typeface="等线"/>
        <a:ea typeface="宋体"/>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Pages>
  <Words>7573</Words>
  <Characters>8634</Characters>
  <Lines>345</Lines>
  <Paragraphs>337</Paragraphs>
  <TotalTime>49</TotalTime>
  <ScaleCrop>false</ScaleCrop>
  <LinksUpToDate>false</LinksUpToDate>
  <CharactersWithSpaces>15870</CharactersWithSpaces>
  <Application>WPS Office WWO_wpscloud_20250326182429-11448cd808</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2023-01-18T01:09:00Z</dcterms:created>
  <dc:creator>Lenovo</dc:creator>
  <cp:lastModifiedBy>卓鑫 楼</cp:lastModifiedBy>
  <dcterms:modified xsi:type="dcterms:W3CDTF">2026-09-04T13:40:44Z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FF79AD8BF3FCD1B5DC599A6A0FD75BD9_43</vt:lpwstr>
  </property>
  <property fmtid="{D5CDD505-2E9C-101B-9397-08002B2CF9AE}" pid="4" name="KSOTemplateDocerSaveRecord">
    <vt:lpwstr>eyJoZGlkIjoiOTBiN2EyNmE4OWNhOTEwMTdlNTFlMWMxNWJjNjY0ZWUiLCJ1c2VySWQiOiI4MjY4NzA1MjkifQ==</vt:lpwstr>
  </property>
</Properties>
</file>