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1E920" w14:textId="77777777" w:rsidR="0049198E" w:rsidRDefault="001168A3">
      <w:pPr>
        <w:pStyle w:val="afa"/>
        <w:rPr>
          <w:rFonts w:hAnsi="黑体" w:hint="eastAsia"/>
          <w:sz w:val="40"/>
        </w:rPr>
      </w:pPr>
      <w:r>
        <w:rPr>
          <w:rFonts w:hAnsi="黑体" w:hint="eastAsia"/>
          <w:sz w:val="40"/>
        </w:rPr>
        <w:t>宁银理财有限责任公司</w:t>
      </w:r>
      <w:r>
        <w:rPr>
          <w:rFonts w:hAnsi="黑体"/>
          <w:sz w:val="40"/>
        </w:rPr>
        <w:t>产品投资者权益须知</w:t>
      </w:r>
    </w:p>
    <w:p w14:paraId="1D192B12" w14:textId="5ABA9971" w:rsidR="0049198E" w:rsidRDefault="001168A3">
      <w:pPr>
        <w:spacing w:line="400" w:lineRule="exact"/>
        <w:jc w:val="center"/>
        <w:rPr>
          <w:rFonts w:ascii="黑体" w:hAnsi="黑体" w:cs="Times New Roman" w:hint="eastAsia"/>
          <w:color w:val="000000"/>
          <w:sz w:val="28"/>
          <w:szCs w:val="28"/>
        </w:rPr>
      </w:pPr>
      <w:r>
        <w:rPr>
          <w:rFonts w:ascii="黑体" w:hAnsi="黑体" w:cs="Times New Roman" w:hint="eastAsia"/>
          <w:b/>
          <w:sz w:val="24"/>
          <w:szCs w:val="24"/>
        </w:rPr>
        <w:t>（</w:t>
      </w:r>
      <w:r>
        <w:rPr>
          <w:rFonts w:ascii="黑体" w:hAnsi="黑体" w:cs="Times New Roman"/>
          <w:b/>
          <w:sz w:val="24"/>
          <w:szCs w:val="24"/>
        </w:rPr>
        <w:t>202</w:t>
      </w:r>
      <w:r>
        <w:rPr>
          <w:rFonts w:ascii="黑体" w:hAnsi="黑体" w:cs="Times New Roman" w:hint="eastAsia"/>
          <w:b/>
          <w:sz w:val="24"/>
          <w:szCs w:val="24"/>
          <w:lang w:eastAsia="zh"/>
        </w:rPr>
        <w:t>6</w:t>
      </w:r>
      <w:r>
        <w:rPr>
          <w:rFonts w:ascii="黑体" w:hAnsi="黑体" w:cs="Times New Roman"/>
          <w:b/>
          <w:sz w:val="24"/>
          <w:szCs w:val="24"/>
        </w:rPr>
        <w:t>0</w:t>
      </w:r>
      <w:r>
        <w:rPr>
          <w:rFonts w:ascii="黑体" w:hAnsi="黑体" w:cs="Times New Roman" w:hint="eastAsia"/>
          <w:b/>
          <w:sz w:val="24"/>
          <w:szCs w:val="24"/>
        </w:rPr>
        <w:t>2版）</w:t>
      </w:r>
    </w:p>
    <w:p w14:paraId="69961F16" w14:textId="77777777" w:rsidR="0049198E" w:rsidRDefault="0049198E">
      <w:pPr>
        <w:spacing w:line="312" w:lineRule="auto"/>
        <w:rPr>
          <w:rFonts w:ascii="黑体" w:hAnsi="黑体" w:cs="Times New Roman" w:hint="eastAsia"/>
          <w:color w:val="000000"/>
          <w:sz w:val="24"/>
          <w:szCs w:val="24"/>
        </w:rPr>
      </w:pPr>
    </w:p>
    <w:p w14:paraId="3F338F1F" w14:textId="77777777" w:rsidR="0049198E" w:rsidRDefault="001168A3">
      <w:pPr>
        <w:spacing w:line="312" w:lineRule="auto"/>
        <w:rPr>
          <w:rFonts w:ascii="黑体" w:hAnsi="黑体" w:cs="Times New Roman" w:hint="eastAsia"/>
          <w:color w:val="000000"/>
          <w:sz w:val="24"/>
          <w:szCs w:val="24"/>
        </w:rPr>
      </w:pPr>
      <w:r>
        <w:rPr>
          <w:rFonts w:ascii="黑体" w:hAnsi="黑体" w:cs="Times New Roman" w:hint="eastAsia"/>
          <w:color w:val="000000"/>
          <w:sz w:val="24"/>
          <w:szCs w:val="24"/>
        </w:rPr>
        <w:t>尊敬的投资者：</w:t>
      </w:r>
    </w:p>
    <w:p w14:paraId="380662F7"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购买宁银理财有限</w:t>
      </w:r>
      <w:r>
        <w:rPr>
          <w:rFonts w:ascii="黑体" w:hAnsi="黑体" w:cs="Times New Roman"/>
          <w:color w:val="000000"/>
          <w:sz w:val="24"/>
          <w:szCs w:val="24"/>
        </w:rPr>
        <w:t>责任公司（</w:t>
      </w:r>
      <w:r>
        <w:rPr>
          <w:rFonts w:ascii="黑体" w:hAnsi="黑体" w:cs="Times New Roman" w:hint="eastAsia"/>
          <w:color w:val="000000"/>
          <w:sz w:val="24"/>
          <w:szCs w:val="24"/>
        </w:rPr>
        <w:t>下称“宁银理财”或“本公司”</w:t>
      </w:r>
      <w:r>
        <w:rPr>
          <w:rFonts w:ascii="黑体" w:hAnsi="黑体" w:cs="Times New Roman"/>
          <w:color w:val="000000"/>
          <w:sz w:val="24"/>
          <w:szCs w:val="24"/>
        </w:rPr>
        <w:t>）</w:t>
      </w:r>
      <w:r>
        <w:rPr>
          <w:rFonts w:ascii="黑体" w:hAnsi="黑体" w:cs="Times New Roman" w:hint="eastAsia"/>
          <w:color w:val="000000"/>
          <w:sz w:val="24"/>
          <w:szCs w:val="24"/>
        </w:rPr>
        <w:t>发行的</w:t>
      </w:r>
      <w:r>
        <w:rPr>
          <w:rFonts w:ascii="黑体" w:hAnsi="黑体" w:cs="Times New Roman"/>
          <w:color w:val="000000"/>
          <w:sz w:val="24"/>
          <w:szCs w:val="24"/>
        </w:rPr>
        <w:t>理财</w:t>
      </w:r>
      <w:r>
        <w:rPr>
          <w:rFonts w:ascii="黑体" w:hAnsi="黑体" w:cs="Times New Roman" w:hint="eastAsia"/>
          <w:color w:val="000000"/>
          <w:sz w:val="24"/>
          <w:szCs w:val="24"/>
        </w:rPr>
        <w:t>产品，有机会获取投资收益，同时也存在一定投资风险，为了保护您的合法权益，请在购买之前认真阅读以下内容：</w:t>
      </w:r>
    </w:p>
    <w:p w14:paraId="680F7B3D" w14:textId="77777777" w:rsidR="0049198E" w:rsidRDefault="001168A3">
      <w:pPr>
        <w:spacing w:line="312" w:lineRule="auto"/>
        <w:ind w:firstLineChars="200" w:firstLine="482"/>
        <w:rPr>
          <w:rFonts w:ascii="黑体" w:hAnsi="黑体" w:cs="Times New Roman" w:hint="eastAsia"/>
          <w:b/>
          <w:bCs/>
          <w:color w:val="000000"/>
          <w:sz w:val="24"/>
          <w:szCs w:val="24"/>
        </w:rPr>
      </w:pPr>
      <w:r>
        <w:rPr>
          <w:rFonts w:ascii="黑体" w:hAnsi="黑体" w:cs="Times New Roman" w:hint="eastAsia"/>
          <w:b/>
          <w:bCs/>
          <w:color w:val="000000"/>
          <w:sz w:val="24"/>
          <w:szCs w:val="24"/>
        </w:rPr>
        <w:t>一、理财产品办理流程</w:t>
      </w:r>
    </w:p>
    <w:p w14:paraId="34F7C760"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投资者可通过宁银理财或代理销售机构的营业网点</w:t>
      </w:r>
      <w:r>
        <w:rPr>
          <w:rFonts w:ascii="黑体" w:hAnsi="黑体" w:cs="Times New Roman"/>
          <w:color w:val="000000"/>
          <w:sz w:val="24"/>
          <w:szCs w:val="24"/>
        </w:rPr>
        <w:t>、</w:t>
      </w:r>
      <w:r>
        <w:rPr>
          <w:rFonts w:ascii="黑体" w:hAnsi="黑体" w:cs="Times New Roman" w:hint="eastAsia"/>
          <w:color w:val="000000"/>
          <w:sz w:val="24"/>
          <w:szCs w:val="24"/>
        </w:rPr>
        <w:t>客服</w:t>
      </w:r>
      <w:r>
        <w:rPr>
          <w:rFonts w:ascii="黑体" w:hAnsi="黑体" w:cs="Times New Roman"/>
          <w:color w:val="000000"/>
          <w:sz w:val="24"/>
          <w:szCs w:val="24"/>
        </w:rPr>
        <w:t>电话</w:t>
      </w:r>
      <w:r>
        <w:rPr>
          <w:rFonts w:ascii="黑体" w:hAnsi="黑体" w:cs="Times New Roman" w:hint="eastAsia"/>
          <w:color w:val="000000"/>
          <w:sz w:val="24"/>
          <w:szCs w:val="24"/>
        </w:rPr>
        <w:t>、电子渠道</w:t>
      </w:r>
      <w:r>
        <w:rPr>
          <w:rFonts w:ascii="黑体" w:hAnsi="黑体" w:cs="Times New Roman"/>
          <w:color w:val="000000"/>
          <w:sz w:val="24"/>
          <w:szCs w:val="24"/>
        </w:rPr>
        <w:t>等</w:t>
      </w:r>
      <w:r>
        <w:rPr>
          <w:rFonts w:ascii="黑体" w:hAnsi="黑体" w:cs="Times New Roman" w:hint="eastAsia"/>
          <w:color w:val="000000"/>
          <w:sz w:val="24"/>
          <w:szCs w:val="24"/>
        </w:rPr>
        <w:t>途径</w:t>
      </w:r>
      <w:r>
        <w:rPr>
          <w:rFonts w:ascii="黑体" w:hAnsi="黑体" w:cs="Times New Roman"/>
          <w:color w:val="000000"/>
          <w:sz w:val="24"/>
          <w:szCs w:val="24"/>
        </w:rPr>
        <w:t>了解</w:t>
      </w:r>
      <w:r>
        <w:rPr>
          <w:rFonts w:ascii="黑体" w:hAnsi="黑体" w:cs="Times New Roman" w:hint="eastAsia"/>
          <w:color w:val="000000"/>
          <w:sz w:val="24"/>
          <w:szCs w:val="24"/>
        </w:rPr>
        <w:t>本公司理财产品购买方式、收费标准及方式等，通过《理财产品说明书》</w:t>
      </w:r>
      <w:r>
        <w:rPr>
          <w:rFonts w:ascii="黑体" w:hAnsi="黑体" w:cs="Times New Roman"/>
          <w:color w:val="000000"/>
          <w:sz w:val="24"/>
          <w:szCs w:val="24"/>
        </w:rPr>
        <w:t>了解产品要素</w:t>
      </w:r>
      <w:r>
        <w:rPr>
          <w:rFonts w:ascii="黑体" w:hAnsi="黑体" w:cs="Times New Roman" w:hint="eastAsia"/>
          <w:color w:val="000000"/>
          <w:sz w:val="24"/>
          <w:szCs w:val="24"/>
        </w:rPr>
        <w:t>。</w:t>
      </w:r>
    </w:p>
    <w:p w14:paraId="20A87D27"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lang w:eastAsia="zh"/>
        </w:rPr>
        <w:t>普通投资者</w:t>
      </w:r>
      <w:r>
        <w:rPr>
          <w:rFonts w:ascii="黑体" w:hAnsi="黑体" w:cs="Times New Roman" w:hint="eastAsia"/>
          <w:color w:val="000000"/>
          <w:sz w:val="24"/>
          <w:szCs w:val="24"/>
        </w:rPr>
        <w:t>在宁银理财直销渠道购买理财产品时，需填写《宁银理财投资者风险承受能力评估书》，了解自身风险承受能力评估情况。</w:t>
      </w:r>
      <w:r>
        <w:rPr>
          <w:rFonts w:ascii="黑体" w:hAnsi="黑体" w:cs="Times New Roman" w:hint="eastAsia"/>
          <w:color w:val="000000"/>
          <w:sz w:val="24"/>
          <w:szCs w:val="24"/>
          <w:lang w:eastAsia="zh"/>
        </w:rPr>
        <w:t>普通投资者</w:t>
      </w:r>
      <w:r>
        <w:rPr>
          <w:rFonts w:ascii="黑体" w:hAnsi="黑体" w:cs="Times New Roman" w:hint="eastAsia"/>
          <w:color w:val="000000"/>
          <w:sz w:val="24"/>
          <w:szCs w:val="24"/>
        </w:rPr>
        <w:t>在代理销售机构购买理财产品时，风险承受能力评估由代理销售机构负责，应按照代理销售机构的要求进行投资者风险承受能力评估。</w:t>
      </w:r>
    </w:p>
    <w:p w14:paraId="7AD5FB62"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在</w:t>
      </w:r>
      <w:r>
        <w:rPr>
          <w:rFonts w:ascii="黑体" w:hAnsi="黑体" w:cs="Times New Roman"/>
          <w:color w:val="000000"/>
          <w:sz w:val="24"/>
          <w:szCs w:val="24"/>
        </w:rPr>
        <w:t>决定购买前，</w:t>
      </w:r>
      <w:r>
        <w:rPr>
          <w:rFonts w:ascii="黑体" w:hAnsi="黑体" w:cs="Times New Roman" w:hint="eastAsia"/>
          <w:color w:val="000000"/>
          <w:sz w:val="24"/>
          <w:szCs w:val="24"/>
        </w:rPr>
        <w:t>投资者</w:t>
      </w:r>
      <w:r>
        <w:rPr>
          <w:rFonts w:ascii="黑体" w:hAnsi="黑体" w:cs="Times New Roman"/>
          <w:color w:val="000000"/>
          <w:sz w:val="24"/>
          <w:szCs w:val="24"/>
        </w:rPr>
        <w:t>还需</w:t>
      </w:r>
      <w:r>
        <w:rPr>
          <w:rFonts w:ascii="黑体" w:hAnsi="黑体" w:cs="Times New Roman" w:hint="eastAsia"/>
          <w:color w:val="000000"/>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14:paraId="7E19E3F8" w14:textId="77777777" w:rsidR="0049198E" w:rsidRDefault="001168A3">
      <w:pPr>
        <w:spacing w:line="312" w:lineRule="auto"/>
        <w:ind w:firstLineChars="200" w:firstLine="482"/>
        <w:rPr>
          <w:rFonts w:ascii="黑体" w:hAnsi="黑体" w:cs="Times New Roman" w:hint="eastAsia"/>
          <w:b/>
          <w:bCs/>
          <w:color w:val="000000"/>
          <w:sz w:val="24"/>
          <w:szCs w:val="24"/>
        </w:rPr>
      </w:pPr>
      <w:r>
        <w:rPr>
          <w:rFonts w:ascii="黑体" w:hAnsi="黑体" w:cs="Times New Roman" w:hint="eastAsia"/>
          <w:b/>
          <w:bCs/>
          <w:color w:val="000000"/>
          <w:sz w:val="24"/>
          <w:szCs w:val="24"/>
        </w:rPr>
        <w:t>二、</w:t>
      </w:r>
      <w:r>
        <w:rPr>
          <w:rFonts w:ascii="黑体" w:hAnsi="黑体" w:cs="Times New Roman" w:hint="eastAsia"/>
          <w:b/>
          <w:bCs/>
          <w:color w:val="000000"/>
          <w:sz w:val="24"/>
          <w:szCs w:val="24"/>
          <w:lang w:eastAsia="zh"/>
        </w:rPr>
        <w:t>普通投资者</w:t>
      </w:r>
      <w:r>
        <w:rPr>
          <w:rFonts w:ascii="黑体" w:hAnsi="黑体" w:cs="Times New Roman" w:hint="eastAsia"/>
          <w:b/>
          <w:bCs/>
          <w:color w:val="000000"/>
          <w:sz w:val="24"/>
          <w:szCs w:val="24"/>
        </w:rPr>
        <w:t>风险承受能力评估</w:t>
      </w:r>
    </w:p>
    <w:p w14:paraId="424BAD96"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lang w:eastAsia="zh"/>
        </w:rPr>
        <w:t>普通投资者</w:t>
      </w:r>
      <w:r>
        <w:rPr>
          <w:rFonts w:ascii="黑体" w:hAnsi="黑体" w:cs="Times New Roman" w:hint="eastAsia"/>
          <w:color w:val="000000"/>
          <w:sz w:val="24"/>
          <w:szCs w:val="24"/>
        </w:rPr>
        <w:t>在宁银理财或代理销售机构首次购买理财产品前，需进行风险承受能力评估。超过</w:t>
      </w:r>
      <w:r>
        <w:rPr>
          <w:rFonts w:ascii="黑体" w:hAnsi="黑体" w:cs="Times New Roman"/>
          <w:color w:val="000000"/>
          <w:sz w:val="24"/>
          <w:szCs w:val="24"/>
        </w:rPr>
        <w:t>一年未进行风险承受能力</w:t>
      </w:r>
      <w:r>
        <w:rPr>
          <w:rFonts w:ascii="黑体" w:hAnsi="黑体" w:cs="Times New Roman" w:hint="eastAsia"/>
          <w:color w:val="000000"/>
          <w:sz w:val="24"/>
          <w:szCs w:val="24"/>
        </w:rPr>
        <w:t>评估或</w:t>
      </w:r>
      <w:r>
        <w:rPr>
          <w:rFonts w:ascii="黑体" w:hAnsi="黑体" w:cs="Times New Roman"/>
          <w:color w:val="000000"/>
          <w:sz w:val="24"/>
          <w:szCs w:val="24"/>
        </w:rPr>
        <w:t>发生可能影响自身风险承受能力情况的投资者，再次购买理财产品前，应当</w:t>
      </w:r>
      <w:r>
        <w:rPr>
          <w:rFonts w:ascii="黑体" w:hAnsi="黑体" w:cs="Times New Roman" w:hint="eastAsia"/>
          <w:color w:val="000000"/>
          <w:sz w:val="24"/>
          <w:szCs w:val="24"/>
        </w:rPr>
        <w:t>在宁银理财或代理销售机构重新完成</w:t>
      </w:r>
      <w:r>
        <w:rPr>
          <w:rFonts w:ascii="黑体" w:hAnsi="黑体" w:cs="Times New Roman"/>
          <w:color w:val="000000"/>
          <w:sz w:val="24"/>
          <w:szCs w:val="24"/>
        </w:rPr>
        <w:t>风险承受能力评估。</w:t>
      </w:r>
    </w:p>
    <w:p w14:paraId="6C4F1D25"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对于</w:t>
      </w:r>
      <w:r>
        <w:rPr>
          <w:rFonts w:ascii="黑体" w:hAnsi="黑体" w:cs="Times New Roman"/>
          <w:color w:val="000000"/>
          <w:sz w:val="24"/>
          <w:szCs w:val="24"/>
        </w:rPr>
        <w:t>通过</w:t>
      </w:r>
      <w:r>
        <w:rPr>
          <w:rFonts w:ascii="黑体" w:hAnsi="黑体" w:cs="Times New Roman" w:hint="eastAsia"/>
          <w:color w:val="000000"/>
          <w:sz w:val="24"/>
          <w:szCs w:val="24"/>
        </w:rPr>
        <w:t>《宁银理财投资者风险承受能力评估书》进行</w:t>
      </w:r>
      <w:r>
        <w:rPr>
          <w:rFonts w:ascii="黑体" w:hAnsi="黑体" w:cs="Times New Roman"/>
          <w:color w:val="000000"/>
          <w:sz w:val="24"/>
          <w:szCs w:val="24"/>
        </w:rPr>
        <w:t>风险</w:t>
      </w:r>
      <w:r>
        <w:rPr>
          <w:rFonts w:ascii="黑体" w:hAnsi="黑体" w:cs="Times New Roman" w:hint="eastAsia"/>
          <w:color w:val="000000"/>
          <w:sz w:val="24"/>
          <w:szCs w:val="24"/>
        </w:rPr>
        <w:t>承受</w:t>
      </w:r>
      <w:r>
        <w:rPr>
          <w:rFonts w:ascii="黑体" w:hAnsi="黑体" w:cs="Times New Roman"/>
          <w:color w:val="000000"/>
          <w:sz w:val="24"/>
          <w:szCs w:val="24"/>
        </w:rPr>
        <w:t>能力评估的投资者，</w:t>
      </w:r>
      <w:r>
        <w:rPr>
          <w:rFonts w:ascii="黑体" w:hAnsi="黑体" w:cs="Times New Roman" w:hint="eastAsia"/>
          <w:color w:val="000000"/>
          <w:sz w:val="24"/>
          <w:szCs w:val="24"/>
        </w:rPr>
        <w:t>风险承受能力可分为5级，由低至高分别为保守型（可以承担低风险而作风谨慎类型的投资者</w:t>
      </w:r>
      <w:r>
        <w:rPr>
          <w:rFonts w:ascii="黑体" w:hAnsi="黑体" w:cs="Times New Roman"/>
          <w:color w:val="000000"/>
          <w:sz w:val="24"/>
          <w:szCs w:val="24"/>
        </w:rPr>
        <w:t>）</w:t>
      </w:r>
      <w:r>
        <w:rPr>
          <w:rFonts w:ascii="黑体" w:hAnsi="黑体" w:cs="Times New Roman" w:hint="eastAsia"/>
          <w:color w:val="000000"/>
          <w:sz w:val="24"/>
          <w:szCs w:val="24"/>
        </w:rPr>
        <w:t>、稳健型（可以承担低至中低风险类型的投资者</w:t>
      </w:r>
      <w:r>
        <w:rPr>
          <w:rFonts w:ascii="黑体" w:hAnsi="黑体" w:cs="Times New Roman"/>
          <w:color w:val="000000"/>
          <w:sz w:val="24"/>
          <w:szCs w:val="24"/>
        </w:rPr>
        <w:t>）</w:t>
      </w:r>
      <w:r>
        <w:rPr>
          <w:rFonts w:ascii="黑体" w:hAnsi="黑体" w:cs="Times New Roman" w:hint="eastAsia"/>
          <w:color w:val="000000"/>
          <w:sz w:val="24"/>
          <w:szCs w:val="24"/>
        </w:rPr>
        <w:t>、平衡型（可以承担中等风险类型的投资者</w:t>
      </w:r>
      <w:r>
        <w:rPr>
          <w:rFonts w:ascii="黑体" w:hAnsi="黑体" w:cs="Times New Roman"/>
          <w:color w:val="000000"/>
          <w:sz w:val="24"/>
          <w:szCs w:val="24"/>
        </w:rPr>
        <w:t>）</w:t>
      </w:r>
      <w:r>
        <w:rPr>
          <w:rFonts w:ascii="黑体" w:hAnsi="黑体" w:cs="Times New Roman" w:hint="eastAsia"/>
          <w:color w:val="000000"/>
          <w:sz w:val="24"/>
          <w:szCs w:val="24"/>
        </w:rPr>
        <w:t>、成长型（可以承担中等至中高风险类型的投资者</w:t>
      </w:r>
      <w:r>
        <w:rPr>
          <w:rFonts w:ascii="黑体" w:hAnsi="黑体" w:cs="Times New Roman"/>
          <w:color w:val="000000"/>
          <w:sz w:val="24"/>
          <w:szCs w:val="24"/>
        </w:rPr>
        <w:t>）</w:t>
      </w:r>
      <w:r>
        <w:rPr>
          <w:rFonts w:ascii="黑体" w:hAnsi="黑体" w:cs="Times New Roman" w:hint="eastAsia"/>
          <w:color w:val="000000"/>
          <w:sz w:val="24"/>
          <w:szCs w:val="24"/>
        </w:rPr>
        <w:t>、进取型（可以承受高风险类型的投资者</w:t>
      </w:r>
      <w:r>
        <w:rPr>
          <w:rFonts w:ascii="黑体" w:hAnsi="黑体" w:cs="Times New Roman"/>
          <w:color w:val="000000"/>
          <w:sz w:val="24"/>
          <w:szCs w:val="24"/>
        </w:rPr>
        <w:t>）</w:t>
      </w:r>
      <w:r>
        <w:rPr>
          <w:rFonts w:ascii="黑体" w:hAnsi="黑体" w:cs="Times New Roman" w:hint="eastAsia"/>
          <w:color w:val="000000"/>
          <w:sz w:val="24"/>
          <w:szCs w:val="24"/>
        </w:rPr>
        <w:t>。投资者应购买与风险级别相匹配的理财产品，匹配</w:t>
      </w:r>
      <w:r>
        <w:rPr>
          <w:rFonts w:ascii="黑体" w:hAnsi="黑体" w:cs="Times New Roman"/>
          <w:color w:val="000000"/>
          <w:sz w:val="24"/>
          <w:szCs w:val="24"/>
        </w:rPr>
        <w:t>情况见下表：</w:t>
      </w:r>
    </w:p>
    <w:tbl>
      <w:tblPr>
        <w:tblStyle w:val="15"/>
        <w:tblW w:w="5000" w:type="pct"/>
        <w:tblLook w:val="04A0" w:firstRow="1" w:lastRow="0" w:firstColumn="1" w:lastColumn="0" w:noHBand="0" w:noVBand="1"/>
      </w:tblPr>
      <w:tblGrid>
        <w:gridCol w:w="1634"/>
        <w:gridCol w:w="3770"/>
        <w:gridCol w:w="2892"/>
      </w:tblGrid>
      <w:tr w:rsidR="0049198E" w14:paraId="7A2CA02B" w14:textId="77777777">
        <w:tc>
          <w:tcPr>
            <w:tcW w:w="985" w:type="pct"/>
          </w:tcPr>
          <w:p w14:paraId="321E037C"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产品风险等级</w:t>
            </w:r>
          </w:p>
        </w:tc>
        <w:tc>
          <w:tcPr>
            <w:tcW w:w="2272" w:type="pct"/>
          </w:tcPr>
          <w:p w14:paraId="44788D61"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产品风险评级说明</w:t>
            </w:r>
          </w:p>
        </w:tc>
        <w:tc>
          <w:tcPr>
            <w:tcW w:w="1743" w:type="pct"/>
          </w:tcPr>
          <w:p w14:paraId="5FD49A34"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目标投资者</w:t>
            </w:r>
          </w:p>
        </w:tc>
      </w:tr>
      <w:tr w:rsidR="0049198E" w14:paraId="47C3C256" w14:textId="77777777">
        <w:tc>
          <w:tcPr>
            <w:tcW w:w="985" w:type="pct"/>
          </w:tcPr>
          <w:p w14:paraId="6D207012" w14:textId="77777777" w:rsidR="0049198E" w:rsidRDefault="001168A3">
            <w:pPr>
              <w:spacing w:line="312" w:lineRule="auto"/>
              <w:rPr>
                <w:rFonts w:ascii="黑体" w:hAnsi="黑体" w:hint="eastAsia"/>
                <w:color w:val="000000"/>
                <w:szCs w:val="21"/>
              </w:rPr>
            </w:pPr>
            <w:r>
              <w:rPr>
                <w:rFonts w:ascii="黑体" w:hAnsi="黑体" w:hint="eastAsia"/>
                <w:color w:val="000000"/>
                <w:szCs w:val="21"/>
              </w:rPr>
              <w:t>低风险产品</w:t>
            </w:r>
          </w:p>
          <w:p w14:paraId="114C12ED"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w:t>
            </w:r>
            <w:r>
              <w:rPr>
                <w:rFonts w:ascii="黑体" w:hAnsi="黑体" w:hint="eastAsia"/>
                <w:color w:val="000000"/>
                <w:szCs w:val="21"/>
              </w:rPr>
              <w:t>PR1</w:t>
            </w:r>
            <w:r>
              <w:rPr>
                <w:rFonts w:ascii="黑体" w:hAnsi="黑体" w:hint="eastAsia"/>
                <w:color w:val="000000"/>
                <w:szCs w:val="21"/>
              </w:rPr>
              <w:t>）</w:t>
            </w:r>
          </w:p>
        </w:tc>
        <w:tc>
          <w:tcPr>
            <w:tcW w:w="2272" w:type="pct"/>
          </w:tcPr>
          <w:p w14:paraId="2E7EBECD"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理财产品的总体风险程度很低，宁银理财不承诺本金的完全保障，净值波动很</w:t>
            </w:r>
            <w:r>
              <w:rPr>
                <w:rFonts w:ascii="黑体" w:hAnsi="黑体" w:hint="eastAsia"/>
                <w:color w:val="000000"/>
                <w:szCs w:val="21"/>
              </w:rPr>
              <w:lastRenderedPageBreak/>
              <w:t>小。宁银理财对于产品本金的正常兑付有较为充分的把握。</w:t>
            </w:r>
          </w:p>
        </w:tc>
        <w:tc>
          <w:tcPr>
            <w:tcW w:w="1743" w:type="pct"/>
          </w:tcPr>
          <w:p w14:paraId="4F6A9ADC" w14:textId="77777777" w:rsidR="0049198E" w:rsidRDefault="001168A3">
            <w:pPr>
              <w:spacing w:line="312" w:lineRule="auto"/>
              <w:rPr>
                <w:rFonts w:ascii="黑体" w:hAnsi="黑体" w:cs="仿宋_GB2312" w:hint="eastAsia"/>
                <w:color w:val="000000"/>
                <w:kern w:val="0"/>
                <w:szCs w:val="21"/>
              </w:rPr>
            </w:pPr>
            <w:r>
              <w:rPr>
                <w:rFonts w:ascii="黑体" w:hAnsi="黑体" w:hint="eastAsia"/>
                <w:color w:val="000000"/>
                <w:szCs w:val="21"/>
              </w:rPr>
              <w:lastRenderedPageBreak/>
              <w:t>经宁银理财</w:t>
            </w:r>
            <w:r>
              <w:rPr>
                <w:rFonts w:ascii="黑体" w:hAnsi="黑体" w:hint="eastAsia"/>
                <w:color w:val="000000"/>
                <w:szCs w:val="21"/>
                <w:lang w:eastAsia="zh"/>
              </w:rPr>
              <w:t>普通投资者</w:t>
            </w:r>
            <w:r>
              <w:rPr>
                <w:rFonts w:ascii="黑体" w:hAnsi="黑体" w:hint="eastAsia"/>
                <w:color w:val="000000"/>
                <w:szCs w:val="21"/>
              </w:rPr>
              <w:t>风险承受能力评估为保守型、稳健</w:t>
            </w:r>
            <w:r>
              <w:rPr>
                <w:rFonts w:ascii="黑体" w:hAnsi="黑体" w:hint="eastAsia"/>
                <w:color w:val="000000"/>
                <w:szCs w:val="21"/>
              </w:rPr>
              <w:lastRenderedPageBreak/>
              <w:t>型、平衡型、成长型、进取型的投资者</w:t>
            </w:r>
          </w:p>
        </w:tc>
      </w:tr>
      <w:tr w:rsidR="0049198E" w14:paraId="1EDA99E3" w14:textId="77777777">
        <w:tc>
          <w:tcPr>
            <w:tcW w:w="985" w:type="pct"/>
          </w:tcPr>
          <w:p w14:paraId="3C0343F8"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lastRenderedPageBreak/>
              <w:t>中低风险产品（</w:t>
            </w:r>
            <w:r>
              <w:rPr>
                <w:rFonts w:ascii="黑体" w:hAnsi="黑体" w:hint="eastAsia"/>
                <w:color w:val="000000"/>
                <w:szCs w:val="21"/>
              </w:rPr>
              <w:t>PR2</w:t>
            </w:r>
            <w:r>
              <w:rPr>
                <w:rFonts w:ascii="黑体" w:hAnsi="黑体" w:hint="eastAsia"/>
                <w:color w:val="000000"/>
                <w:szCs w:val="21"/>
              </w:rPr>
              <w:t>）</w:t>
            </w:r>
          </w:p>
        </w:tc>
        <w:tc>
          <w:tcPr>
            <w:tcW w:w="2272" w:type="pct"/>
          </w:tcPr>
          <w:p w14:paraId="64535C0E"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理财产品的总体风险程度较低，宁银理财不承诺本金保障，净值波动较小。虽然存在一些可能对产品本金安全产生不利影响的因素，但产品本金出现损失的可能性较小。</w:t>
            </w:r>
            <w:r>
              <w:rPr>
                <w:rFonts w:ascii="黑体" w:hAnsi="黑体" w:hint="eastAsia"/>
                <w:color w:val="000000"/>
                <w:szCs w:val="21"/>
              </w:rPr>
              <w:t xml:space="preserve"> </w:t>
            </w:r>
          </w:p>
        </w:tc>
        <w:tc>
          <w:tcPr>
            <w:tcW w:w="1743" w:type="pct"/>
          </w:tcPr>
          <w:p w14:paraId="6CFF728E"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经宁银理财</w:t>
            </w:r>
            <w:r>
              <w:rPr>
                <w:rFonts w:ascii="黑体" w:hAnsi="黑体" w:hint="eastAsia"/>
                <w:color w:val="000000"/>
                <w:szCs w:val="21"/>
                <w:lang w:eastAsia="zh"/>
              </w:rPr>
              <w:t>普通投资者</w:t>
            </w:r>
            <w:r>
              <w:rPr>
                <w:rFonts w:ascii="黑体" w:hAnsi="黑体" w:hint="eastAsia"/>
                <w:color w:val="000000"/>
                <w:szCs w:val="21"/>
              </w:rPr>
              <w:t>风险承受能力评估为为稳健型、平衡型、成长型、进取型的投资者</w:t>
            </w:r>
          </w:p>
        </w:tc>
      </w:tr>
      <w:tr w:rsidR="0049198E" w14:paraId="724185DB" w14:textId="77777777">
        <w:tc>
          <w:tcPr>
            <w:tcW w:w="985" w:type="pct"/>
          </w:tcPr>
          <w:p w14:paraId="6FE16198" w14:textId="77777777" w:rsidR="0049198E" w:rsidRDefault="001168A3">
            <w:pPr>
              <w:spacing w:line="312" w:lineRule="auto"/>
              <w:rPr>
                <w:rFonts w:ascii="黑体" w:hAnsi="黑体" w:hint="eastAsia"/>
                <w:color w:val="000000"/>
                <w:szCs w:val="21"/>
              </w:rPr>
            </w:pPr>
            <w:r>
              <w:rPr>
                <w:rFonts w:ascii="黑体" w:hAnsi="黑体" w:hint="eastAsia"/>
                <w:color w:val="000000"/>
                <w:szCs w:val="21"/>
              </w:rPr>
              <w:t>中风险产品</w:t>
            </w:r>
          </w:p>
          <w:p w14:paraId="32C4535B"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w:t>
            </w:r>
            <w:r>
              <w:rPr>
                <w:rFonts w:ascii="黑体" w:hAnsi="黑体" w:hint="eastAsia"/>
                <w:color w:val="000000"/>
                <w:szCs w:val="21"/>
              </w:rPr>
              <w:t>PR3</w:t>
            </w:r>
            <w:r>
              <w:rPr>
                <w:rFonts w:ascii="黑体" w:hAnsi="黑体" w:hint="eastAsia"/>
                <w:color w:val="000000"/>
                <w:szCs w:val="21"/>
              </w:rPr>
              <w:t>）</w:t>
            </w:r>
          </w:p>
        </w:tc>
        <w:tc>
          <w:tcPr>
            <w:tcW w:w="2272" w:type="pct"/>
          </w:tcPr>
          <w:p w14:paraId="30BE93DD"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理财产品的总体风险程度适中，宁银理财不承诺本金保障，净值随投资的市场表现波动较明显，产品本金出现损失的可能性不容忽视。</w:t>
            </w:r>
            <w:r>
              <w:rPr>
                <w:rFonts w:ascii="黑体" w:hAnsi="黑体" w:hint="eastAsia"/>
                <w:color w:val="000000"/>
                <w:szCs w:val="21"/>
              </w:rPr>
              <w:t xml:space="preserve"> </w:t>
            </w:r>
          </w:p>
        </w:tc>
        <w:tc>
          <w:tcPr>
            <w:tcW w:w="1743" w:type="pct"/>
          </w:tcPr>
          <w:p w14:paraId="1A3B5BE8"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经宁银理财</w:t>
            </w:r>
            <w:r>
              <w:rPr>
                <w:rFonts w:ascii="黑体" w:hAnsi="黑体" w:hint="eastAsia"/>
                <w:color w:val="000000"/>
                <w:szCs w:val="21"/>
                <w:lang w:eastAsia="zh"/>
              </w:rPr>
              <w:t>普通投资者</w:t>
            </w:r>
            <w:r>
              <w:rPr>
                <w:rFonts w:ascii="黑体" w:hAnsi="黑体" w:hint="eastAsia"/>
                <w:color w:val="000000"/>
                <w:szCs w:val="21"/>
              </w:rPr>
              <w:t>风险承受能力评估为平衡型、成长型、进取型的投资者</w:t>
            </w:r>
          </w:p>
        </w:tc>
      </w:tr>
      <w:tr w:rsidR="0049198E" w14:paraId="3B4E1C6F" w14:textId="77777777">
        <w:tc>
          <w:tcPr>
            <w:tcW w:w="985" w:type="pct"/>
          </w:tcPr>
          <w:p w14:paraId="56B913B3"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中高风险产品（</w:t>
            </w:r>
            <w:r>
              <w:rPr>
                <w:rFonts w:ascii="黑体" w:hAnsi="黑体" w:hint="eastAsia"/>
                <w:color w:val="000000"/>
                <w:szCs w:val="21"/>
              </w:rPr>
              <w:t>PR4</w:t>
            </w:r>
            <w:r>
              <w:rPr>
                <w:rFonts w:ascii="黑体" w:hAnsi="黑体" w:hint="eastAsia"/>
                <w:color w:val="000000"/>
                <w:szCs w:val="21"/>
              </w:rPr>
              <w:t>）</w:t>
            </w:r>
          </w:p>
        </w:tc>
        <w:tc>
          <w:tcPr>
            <w:tcW w:w="2272" w:type="pct"/>
          </w:tcPr>
          <w:p w14:paraId="15359EA9"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理财产品的总体风险程度较高，宁银理财不承诺本金保障，净值随投资的市场表现波动明显，产品本金出现损失的可能性较高。</w:t>
            </w:r>
            <w:r>
              <w:rPr>
                <w:rFonts w:ascii="黑体" w:hAnsi="黑体" w:hint="eastAsia"/>
                <w:color w:val="000000"/>
                <w:szCs w:val="21"/>
              </w:rPr>
              <w:t xml:space="preserve"> </w:t>
            </w:r>
          </w:p>
        </w:tc>
        <w:tc>
          <w:tcPr>
            <w:tcW w:w="1743" w:type="pct"/>
          </w:tcPr>
          <w:p w14:paraId="45146AB3"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经宁银理财</w:t>
            </w:r>
            <w:r>
              <w:rPr>
                <w:rFonts w:ascii="黑体" w:hAnsi="黑体" w:hint="eastAsia"/>
                <w:color w:val="000000"/>
                <w:szCs w:val="21"/>
                <w:lang w:eastAsia="zh"/>
              </w:rPr>
              <w:t>普通投资者</w:t>
            </w:r>
            <w:r>
              <w:rPr>
                <w:rFonts w:ascii="黑体" w:hAnsi="黑体" w:hint="eastAsia"/>
                <w:color w:val="000000"/>
                <w:szCs w:val="21"/>
              </w:rPr>
              <w:t>风险承受能力评估为成长型、进取型的投资者</w:t>
            </w:r>
          </w:p>
        </w:tc>
      </w:tr>
      <w:tr w:rsidR="0049198E" w14:paraId="55CDD55C" w14:textId="77777777">
        <w:tc>
          <w:tcPr>
            <w:tcW w:w="985" w:type="pct"/>
          </w:tcPr>
          <w:p w14:paraId="57CD2F91" w14:textId="77777777" w:rsidR="0049198E" w:rsidRDefault="001168A3">
            <w:pPr>
              <w:spacing w:line="312" w:lineRule="auto"/>
              <w:rPr>
                <w:rFonts w:ascii="黑体" w:hAnsi="黑体" w:hint="eastAsia"/>
                <w:color w:val="000000"/>
                <w:szCs w:val="21"/>
              </w:rPr>
            </w:pPr>
            <w:r>
              <w:rPr>
                <w:rFonts w:ascii="黑体" w:hAnsi="黑体" w:hint="eastAsia"/>
                <w:color w:val="000000"/>
                <w:szCs w:val="21"/>
              </w:rPr>
              <w:t>高风险产品</w:t>
            </w:r>
          </w:p>
          <w:p w14:paraId="74C97E13"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w:t>
            </w:r>
            <w:r>
              <w:rPr>
                <w:rFonts w:ascii="黑体" w:hAnsi="黑体" w:hint="eastAsia"/>
                <w:color w:val="000000"/>
                <w:szCs w:val="21"/>
              </w:rPr>
              <w:t>PR5</w:t>
            </w:r>
            <w:r>
              <w:rPr>
                <w:rFonts w:ascii="黑体" w:hAnsi="黑体" w:hint="eastAsia"/>
                <w:color w:val="000000"/>
                <w:szCs w:val="21"/>
              </w:rPr>
              <w:t>）</w:t>
            </w:r>
          </w:p>
        </w:tc>
        <w:tc>
          <w:tcPr>
            <w:tcW w:w="2272" w:type="pct"/>
          </w:tcPr>
          <w:p w14:paraId="70F6840E"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理财产品的总体风险程度高，宁银理财不承诺本金保障，净值随投资的市场表现波动明显，产品本金出现损失的可能性很高，产品本金蒙受全部损失的可能性不容忽视。</w:t>
            </w:r>
            <w:r>
              <w:rPr>
                <w:rFonts w:ascii="黑体" w:hAnsi="黑体" w:hint="eastAsia"/>
                <w:color w:val="000000"/>
                <w:szCs w:val="21"/>
              </w:rPr>
              <w:t xml:space="preserve"> </w:t>
            </w:r>
          </w:p>
        </w:tc>
        <w:tc>
          <w:tcPr>
            <w:tcW w:w="1743" w:type="pct"/>
          </w:tcPr>
          <w:p w14:paraId="3C34EF51" w14:textId="77777777" w:rsidR="0049198E" w:rsidRDefault="001168A3">
            <w:pPr>
              <w:spacing w:line="312" w:lineRule="auto"/>
              <w:rPr>
                <w:rFonts w:ascii="黑体" w:hAnsi="黑体" w:cs="Times New Roman" w:hint="eastAsia"/>
                <w:color w:val="000000"/>
                <w:szCs w:val="21"/>
              </w:rPr>
            </w:pPr>
            <w:r>
              <w:rPr>
                <w:rFonts w:ascii="黑体" w:hAnsi="黑体" w:hint="eastAsia"/>
                <w:color w:val="000000"/>
                <w:szCs w:val="21"/>
              </w:rPr>
              <w:t>经宁银理财</w:t>
            </w:r>
            <w:r>
              <w:rPr>
                <w:rFonts w:ascii="黑体" w:hAnsi="黑体" w:hint="eastAsia"/>
                <w:color w:val="000000"/>
                <w:szCs w:val="21"/>
                <w:lang w:eastAsia="zh"/>
              </w:rPr>
              <w:t>普通投资者</w:t>
            </w:r>
            <w:r>
              <w:rPr>
                <w:rFonts w:ascii="黑体" w:hAnsi="黑体" w:hint="eastAsia"/>
                <w:color w:val="000000"/>
                <w:szCs w:val="21"/>
              </w:rPr>
              <w:t>风险承受能力评估为进取型的投资者</w:t>
            </w:r>
          </w:p>
        </w:tc>
      </w:tr>
    </w:tbl>
    <w:p w14:paraId="547F0994"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对于</w:t>
      </w:r>
      <w:r>
        <w:rPr>
          <w:rFonts w:ascii="黑体" w:hAnsi="黑体" w:cs="Times New Roman"/>
          <w:color w:val="000000"/>
          <w:sz w:val="24"/>
          <w:szCs w:val="24"/>
        </w:rPr>
        <w:t>通过</w:t>
      </w:r>
      <w:r>
        <w:rPr>
          <w:rFonts w:ascii="黑体" w:hAnsi="黑体" w:cs="Times New Roman" w:hint="eastAsia"/>
          <w:sz w:val="24"/>
          <w:szCs w:val="24"/>
        </w:rPr>
        <w:t>代理销售</w:t>
      </w:r>
      <w:r>
        <w:rPr>
          <w:rFonts w:ascii="黑体" w:hAnsi="黑体" w:cs="Times New Roman" w:hint="eastAsia"/>
          <w:color w:val="000000"/>
          <w:sz w:val="24"/>
          <w:szCs w:val="24"/>
        </w:rPr>
        <w:t>机构进行</w:t>
      </w:r>
      <w:r>
        <w:rPr>
          <w:rFonts w:ascii="黑体" w:hAnsi="黑体" w:cs="Times New Roman"/>
          <w:color w:val="000000"/>
          <w:sz w:val="24"/>
          <w:szCs w:val="24"/>
        </w:rPr>
        <w:t>风险</w:t>
      </w:r>
      <w:r>
        <w:rPr>
          <w:rFonts w:ascii="黑体" w:hAnsi="黑体" w:cs="Times New Roman" w:hint="eastAsia"/>
          <w:color w:val="000000"/>
          <w:sz w:val="24"/>
          <w:szCs w:val="24"/>
        </w:rPr>
        <w:t>承受能力</w:t>
      </w:r>
      <w:r>
        <w:rPr>
          <w:rFonts w:ascii="黑体" w:hAnsi="黑体" w:cs="Times New Roman"/>
          <w:color w:val="000000"/>
          <w:sz w:val="24"/>
          <w:szCs w:val="24"/>
        </w:rPr>
        <w:t>评估的投资者，</w:t>
      </w:r>
      <w:r>
        <w:rPr>
          <w:rFonts w:ascii="黑体" w:hAnsi="黑体" w:cs="Times New Roman" w:hint="eastAsia"/>
          <w:sz w:val="24"/>
          <w:szCs w:val="24"/>
        </w:rPr>
        <w:t>风险承受能力等级以代理销售机构的评估结果为准</w:t>
      </w:r>
      <w:r>
        <w:rPr>
          <w:rFonts w:ascii="黑体" w:hAnsi="黑体" w:cs="Times New Roman"/>
          <w:color w:val="000000"/>
          <w:sz w:val="24"/>
          <w:szCs w:val="24"/>
        </w:rPr>
        <w:t>。</w:t>
      </w:r>
    </w:p>
    <w:p w14:paraId="5641B9F9" w14:textId="25D233A2" w:rsidR="0049198E" w:rsidRPr="00F855B8" w:rsidRDefault="001168A3">
      <w:pPr>
        <w:spacing w:line="312" w:lineRule="auto"/>
        <w:ind w:firstLineChars="200" w:firstLine="482"/>
        <w:rPr>
          <w:rFonts w:ascii="黑体" w:hAnsi="黑体" w:cs="Times New Roman" w:hint="eastAsia"/>
          <w:b/>
          <w:bCs/>
          <w:color w:val="000000"/>
          <w:sz w:val="24"/>
          <w:szCs w:val="24"/>
        </w:rPr>
      </w:pPr>
      <w:r w:rsidRPr="00F855B8">
        <w:rPr>
          <w:rFonts w:ascii="黑体" w:hAnsi="黑体" w:cs="Times New Roman" w:hint="eastAsia"/>
          <w:b/>
          <w:bCs/>
          <w:color w:val="000000"/>
          <w:sz w:val="24"/>
          <w:szCs w:val="24"/>
        </w:rPr>
        <w:t>投资者应综合考虑自身风险承受能力与适当性匹配意见，独立做出投资决策并承担投资风险；</w:t>
      </w:r>
      <w:r w:rsidR="00FA45A3">
        <w:rPr>
          <w:rFonts w:ascii="黑体" w:hAnsi="黑体" w:cs="Times New Roman" w:hint="eastAsia"/>
          <w:b/>
          <w:bCs/>
          <w:color w:val="000000"/>
          <w:sz w:val="24"/>
          <w:szCs w:val="24"/>
        </w:rPr>
        <w:t>宁银理财及销售机构</w:t>
      </w:r>
      <w:r w:rsidRPr="00F855B8">
        <w:rPr>
          <w:rFonts w:ascii="黑体" w:hAnsi="黑体" w:cs="Times New Roman" w:hint="eastAsia"/>
          <w:b/>
          <w:bCs/>
          <w:color w:val="000000"/>
          <w:sz w:val="24"/>
          <w:szCs w:val="24"/>
        </w:rPr>
        <w:t>提出的适当性匹配意见不表明其对产品的风险和收益做出实质性判断或者保证，</w:t>
      </w:r>
      <w:r w:rsidR="00FA45A3">
        <w:rPr>
          <w:rFonts w:ascii="黑体" w:hAnsi="黑体" w:cs="Times New Roman" w:hint="eastAsia"/>
          <w:b/>
          <w:bCs/>
          <w:color w:val="000000"/>
          <w:sz w:val="24"/>
          <w:szCs w:val="24"/>
        </w:rPr>
        <w:t>宁银理财及销售机构</w:t>
      </w:r>
      <w:r w:rsidRPr="00F855B8">
        <w:rPr>
          <w:rFonts w:ascii="黑体" w:hAnsi="黑体" w:cs="Times New Roman" w:hint="eastAsia"/>
          <w:b/>
          <w:bCs/>
          <w:color w:val="000000"/>
          <w:sz w:val="24"/>
          <w:szCs w:val="24"/>
        </w:rPr>
        <w:t>履行适当性职责不能取代投资者的投资判断，不会降低产品的固有风险，也不影响投资者依法应承担的投资风险、履约责任以及费用。</w:t>
      </w:r>
    </w:p>
    <w:p w14:paraId="289F66D5" w14:textId="77777777" w:rsidR="0049198E" w:rsidRDefault="001168A3">
      <w:pPr>
        <w:spacing w:line="312" w:lineRule="auto"/>
        <w:ind w:firstLineChars="200" w:firstLine="482"/>
        <w:rPr>
          <w:rFonts w:ascii="黑体" w:hAnsi="黑体" w:cs="Times New Roman" w:hint="eastAsia"/>
          <w:b/>
          <w:bCs/>
          <w:color w:val="000000"/>
          <w:sz w:val="24"/>
          <w:szCs w:val="24"/>
        </w:rPr>
      </w:pPr>
      <w:r>
        <w:rPr>
          <w:rFonts w:ascii="黑体" w:hAnsi="黑体" w:cs="Times New Roman" w:hint="eastAsia"/>
          <w:b/>
          <w:bCs/>
          <w:color w:val="000000"/>
          <w:sz w:val="24"/>
          <w:szCs w:val="24"/>
        </w:rPr>
        <w:t>三、信息披露</w:t>
      </w:r>
    </w:p>
    <w:p w14:paraId="0638BAB8" w14:textId="77777777" w:rsidR="0049198E" w:rsidRDefault="001168A3">
      <w:pPr>
        <w:spacing w:line="312" w:lineRule="auto"/>
        <w:ind w:firstLineChars="200" w:firstLine="480"/>
        <w:rPr>
          <w:rFonts w:ascii="黑体" w:hAnsi="黑体" w:cs="Times New Roman" w:hint="eastAsia"/>
          <w:color w:val="000000"/>
          <w:sz w:val="24"/>
          <w:szCs w:val="24"/>
        </w:rPr>
      </w:pPr>
      <w:r>
        <w:rPr>
          <w:rFonts w:ascii="黑体" w:hAnsi="黑体" w:cs="Times New Roman" w:hint="eastAsia"/>
          <w:color w:val="000000"/>
          <w:sz w:val="24"/>
          <w:szCs w:val="24"/>
        </w:rPr>
        <w:t>宁银理财将于理财产品募集期间、存续期间和终止时，通过本公司网站（</w:t>
      </w:r>
      <w:r>
        <w:rPr>
          <w:rFonts w:ascii="黑体" w:hAnsi="黑体" w:cs="Times New Roman"/>
          <w:color w:val="000000"/>
          <w:sz w:val="24"/>
          <w:szCs w:val="24"/>
        </w:rPr>
        <w:t>www.wmbnb.com</w:t>
      </w:r>
      <w:r>
        <w:rPr>
          <w:rFonts w:ascii="黑体" w:hAnsi="黑体" w:cs="Times New Roman" w:hint="eastAsia"/>
          <w:color w:val="000000"/>
          <w:sz w:val="24"/>
          <w:szCs w:val="24"/>
        </w:rPr>
        <w:t>）、相关产品代理销售机构官方渠道或其他适当的方式进行信息披露（具体产品</w:t>
      </w:r>
      <w:r>
        <w:rPr>
          <w:rFonts w:ascii="黑体" w:hAnsi="黑体" w:cs="Times New Roman"/>
          <w:color w:val="000000"/>
          <w:sz w:val="24"/>
          <w:szCs w:val="24"/>
        </w:rPr>
        <w:t>的</w:t>
      </w:r>
      <w:r>
        <w:rPr>
          <w:rFonts w:ascii="黑体" w:hAnsi="黑体" w:cs="Times New Roman" w:hint="eastAsia"/>
          <w:color w:val="000000"/>
          <w:sz w:val="24"/>
          <w:szCs w:val="24"/>
        </w:rPr>
        <w:t>信息披露方式、频率等规则见</w:t>
      </w:r>
      <w:r>
        <w:rPr>
          <w:rFonts w:ascii="黑体" w:hAnsi="黑体" w:cs="Times New Roman" w:hint="eastAsia"/>
          <w:sz w:val="24"/>
          <w:szCs w:val="24"/>
        </w:rPr>
        <w:t>《理财产品说明书》</w:t>
      </w:r>
      <w:r>
        <w:rPr>
          <w:rFonts w:ascii="黑体" w:hAnsi="黑体" w:cs="Times New Roman" w:hint="eastAsia"/>
          <w:color w:val="000000"/>
          <w:sz w:val="24"/>
          <w:szCs w:val="24"/>
        </w:rPr>
        <w:t>）。</w:t>
      </w:r>
      <w:r>
        <w:rPr>
          <w:rFonts w:ascii="黑体" w:hAnsi="黑体" w:cs="Times New Roman" w:hint="eastAsia"/>
          <w:b/>
          <w:color w:val="000000"/>
          <w:sz w:val="24"/>
          <w:szCs w:val="24"/>
        </w:rPr>
        <w:t>宁银理财或</w:t>
      </w:r>
      <w:r>
        <w:rPr>
          <w:rFonts w:ascii="黑体" w:hAnsi="黑体" w:cs="Times New Roman"/>
          <w:b/>
          <w:color w:val="000000"/>
          <w:sz w:val="24"/>
          <w:szCs w:val="24"/>
        </w:rPr>
        <w:t>代理销售机构</w:t>
      </w:r>
      <w:r>
        <w:rPr>
          <w:rFonts w:ascii="黑体" w:hAnsi="黑体" w:cs="Times New Roman" w:hint="eastAsia"/>
          <w:b/>
          <w:color w:val="000000"/>
          <w:sz w:val="24"/>
          <w:szCs w:val="24"/>
        </w:rPr>
        <w:t>通过理财产品销售</w:t>
      </w:r>
      <w:r>
        <w:rPr>
          <w:rFonts w:ascii="黑体" w:hAnsi="黑体" w:cs="Times New Roman"/>
          <w:b/>
          <w:color w:val="000000"/>
          <w:sz w:val="24"/>
          <w:szCs w:val="24"/>
        </w:rPr>
        <w:t>文件</w:t>
      </w:r>
      <w:r>
        <w:rPr>
          <w:rFonts w:ascii="黑体" w:hAnsi="黑体" w:cs="Times New Roman" w:hint="eastAsia"/>
          <w:b/>
          <w:color w:val="000000"/>
          <w:sz w:val="24"/>
          <w:szCs w:val="24"/>
        </w:rPr>
        <w:t>约定</w:t>
      </w:r>
      <w:r>
        <w:rPr>
          <w:rFonts w:ascii="黑体" w:hAnsi="黑体" w:cs="Times New Roman"/>
          <w:b/>
          <w:color w:val="000000"/>
          <w:sz w:val="24"/>
          <w:szCs w:val="24"/>
        </w:rPr>
        <w:t>方式披露信息后，</w:t>
      </w:r>
      <w:r>
        <w:rPr>
          <w:rFonts w:ascii="黑体" w:hAnsi="黑体" w:cs="Times New Roman" w:hint="eastAsia"/>
          <w:b/>
          <w:color w:val="000000"/>
          <w:sz w:val="24"/>
          <w:szCs w:val="24"/>
        </w:rPr>
        <w:t>视为宁银理财已</w:t>
      </w:r>
      <w:r>
        <w:rPr>
          <w:rFonts w:ascii="黑体" w:hAnsi="黑体" w:cs="Times New Roman"/>
          <w:b/>
          <w:color w:val="000000"/>
          <w:sz w:val="24"/>
          <w:szCs w:val="24"/>
        </w:rPr>
        <w:t>向</w:t>
      </w:r>
      <w:r>
        <w:rPr>
          <w:rFonts w:ascii="黑体" w:hAnsi="黑体" w:cs="Times New Roman" w:hint="eastAsia"/>
          <w:b/>
          <w:color w:val="000000"/>
          <w:sz w:val="24"/>
          <w:szCs w:val="24"/>
        </w:rPr>
        <w:t>投资者</w:t>
      </w:r>
      <w:r>
        <w:rPr>
          <w:rFonts w:ascii="黑体" w:hAnsi="黑体" w:cs="Times New Roman"/>
          <w:b/>
          <w:color w:val="000000"/>
          <w:sz w:val="24"/>
          <w:szCs w:val="24"/>
        </w:rPr>
        <w:t>完全履行信息披露义务</w:t>
      </w:r>
      <w:r>
        <w:rPr>
          <w:rFonts w:ascii="黑体" w:hAnsi="黑体" w:cs="Times New Roman" w:hint="eastAsia"/>
          <w:b/>
          <w:color w:val="000000"/>
          <w:sz w:val="24"/>
          <w:szCs w:val="24"/>
        </w:rPr>
        <w:t>，投资者应依据理财产品销售文件的约定，及时通过宁银理财网站、客服热线或</w:t>
      </w:r>
      <w:r>
        <w:rPr>
          <w:rFonts w:ascii="黑体" w:hAnsi="黑体" w:cs="Times New Roman"/>
          <w:b/>
          <w:color w:val="000000"/>
          <w:sz w:val="24"/>
          <w:szCs w:val="24"/>
        </w:rPr>
        <w:t>相关</w:t>
      </w:r>
      <w:r>
        <w:rPr>
          <w:rFonts w:ascii="黑体" w:hAnsi="黑体" w:cs="Times New Roman" w:hint="eastAsia"/>
          <w:b/>
          <w:color w:val="000000"/>
          <w:sz w:val="24"/>
          <w:szCs w:val="24"/>
        </w:rPr>
        <w:t>产品</w:t>
      </w:r>
      <w:r>
        <w:rPr>
          <w:rFonts w:ascii="黑体" w:hAnsi="黑体" w:cs="Times New Roman"/>
          <w:b/>
          <w:color w:val="000000"/>
          <w:sz w:val="24"/>
          <w:szCs w:val="24"/>
        </w:rPr>
        <w:t>代理销售机构</w:t>
      </w:r>
      <w:r>
        <w:rPr>
          <w:rFonts w:ascii="黑体" w:hAnsi="黑体" w:cs="Times New Roman" w:hint="eastAsia"/>
          <w:b/>
          <w:color w:val="000000"/>
          <w:sz w:val="24"/>
          <w:szCs w:val="24"/>
        </w:rPr>
        <w:t>官方渠道</w:t>
      </w:r>
      <w:r>
        <w:rPr>
          <w:rFonts w:ascii="黑体" w:hAnsi="黑体" w:cs="Times New Roman"/>
          <w:b/>
          <w:color w:val="000000"/>
          <w:sz w:val="24"/>
          <w:szCs w:val="24"/>
        </w:rPr>
        <w:t>进行</w:t>
      </w:r>
      <w:r>
        <w:rPr>
          <w:rFonts w:ascii="黑体" w:hAnsi="黑体" w:cs="Times New Roman" w:hint="eastAsia"/>
          <w:b/>
          <w:color w:val="000000"/>
          <w:sz w:val="24"/>
          <w:szCs w:val="24"/>
        </w:rPr>
        <w:t>查询。</w:t>
      </w:r>
    </w:p>
    <w:p w14:paraId="495FE74E" w14:textId="77777777" w:rsidR="0049198E" w:rsidRDefault="001168A3">
      <w:pPr>
        <w:spacing w:line="312" w:lineRule="auto"/>
        <w:ind w:firstLineChars="200" w:firstLine="482"/>
        <w:rPr>
          <w:rFonts w:ascii="黑体" w:hAnsi="黑体" w:cs="Times New Roman" w:hint="eastAsia"/>
          <w:b/>
          <w:bCs/>
          <w:color w:val="000000"/>
          <w:sz w:val="24"/>
          <w:szCs w:val="24"/>
        </w:rPr>
      </w:pPr>
      <w:r>
        <w:rPr>
          <w:rFonts w:ascii="黑体" w:hAnsi="黑体" w:cs="Times New Roman" w:hint="eastAsia"/>
          <w:b/>
          <w:bCs/>
          <w:color w:val="000000"/>
          <w:sz w:val="24"/>
          <w:szCs w:val="24"/>
        </w:rPr>
        <w:lastRenderedPageBreak/>
        <w:t>四、投资者信息管理</w:t>
      </w:r>
    </w:p>
    <w:p w14:paraId="5B580729" w14:textId="77777777" w:rsidR="0049198E" w:rsidRDefault="001168A3">
      <w:pPr>
        <w:spacing w:line="360" w:lineRule="auto"/>
        <w:ind w:firstLineChars="200" w:firstLine="482"/>
        <w:rPr>
          <w:rFonts w:ascii="黑体" w:hAnsi="黑体" w:hint="eastAsia"/>
          <w:b/>
          <w:sz w:val="24"/>
        </w:rPr>
      </w:pPr>
      <w:r>
        <w:rPr>
          <w:rFonts w:ascii="黑体" w:hAnsi="黑体" w:hint="eastAsia"/>
          <w:b/>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sz w:val="24"/>
          <w:szCs w:val="24"/>
          <w:lang w:bidi="ar"/>
        </w:rPr>
        <w:t>或投资者相关人员的</w:t>
      </w:r>
      <w:r>
        <w:rPr>
          <w:rFonts w:ascii="黑体" w:hAnsi="黑体" w:cs="黑体" w:hint="eastAsia"/>
          <w:b/>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sz w:val="24"/>
          <w:szCs w:val="24"/>
          <w:lang w:bidi="ar"/>
        </w:rPr>
        <w:t>、清算服务机构</w:t>
      </w:r>
      <w:r>
        <w:rPr>
          <w:rFonts w:ascii="黑体" w:hAnsi="黑体" w:cs="黑体" w:hint="eastAsia"/>
          <w:b/>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sz w:val="24"/>
          <w:lang w:bidi="ar"/>
        </w:rPr>
        <w:t>宁银理财承诺</w:t>
      </w:r>
      <w:r>
        <w:rPr>
          <w:rFonts w:ascii="黑体" w:hAnsi="黑体" w:cs="黑体" w:hint="eastAsia"/>
          <w:b/>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sz w:val="24"/>
          <w:lang w:bidi="ar"/>
        </w:rPr>
        <w:t>将向有关第三方明确其保护投资者信息的职责并要求第三方承担相应保密义务</w:t>
      </w:r>
      <w:r>
        <w:rPr>
          <w:rFonts w:ascii="黑体" w:hAnsi="黑体" w:cs="黑体" w:hint="eastAsia"/>
          <w:b/>
          <w:sz w:val="24"/>
          <w:szCs w:val="24"/>
          <w:lang w:bidi="ar"/>
        </w:rPr>
        <w:t>，严格按照相关法律法规及上述约定开展信息处理行为并采取安全保护措施</w:t>
      </w:r>
      <w:r>
        <w:rPr>
          <w:rFonts w:ascii="黑体" w:hAnsi="黑体" w:cs="黑体" w:hint="eastAsia"/>
          <w:b/>
          <w:sz w:val="24"/>
          <w:lang w:bidi="ar"/>
        </w:rPr>
        <w:t>。</w:t>
      </w:r>
      <w:r>
        <w:rPr>
          <w:rFonts w:ascii="黑体" w:hAnsi="黑体" w:hint="eastAsia"/>
          <w:b/>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hint="eastAsia"/>
          <w:b/>
          <w:sz w:val="24"/>
        </w:rPr>
        <w:lastRenderedPageBreak/>
        <w:t>方机构的官方公众号（如有）等渠道获取相应的联系方式以行使您的个人信息权利，或者直接联系我们。</w:t>
      </w:r>
    </w:p>
    <w:p w14:paraId="5AFAA963" w14:textId="77777777" w:rsidR="0049198E" w:rsidRDefault="001168A3">
      <w:pPr>
        <w:spacing w:line="312" w:lineRule="auto"/>
        <w:ind w:firstLineChars="200" w:firstLine="482"/>
        <w:outlineLvl w:val="0"/>
        <w:rPr>
          <w:rFonts w:ascii="黑体" w:hAnsi="黑体" w:cs="Times New Roman" w:hint="eastAsia"/>
          <w:b/>
          <w:bCs/>
          <w:color w:val="000000"/>
          <w:sz w:val="24"/>
          <w:szCs w:val="24"/>
        </w:rPr>
      </w:pPr>
      <w:r>
        <w:rPr>
          <w:rFonts w:ascii="黑体" w:hAnsi="黑体" w:cs="Times New Roman" w:hint="eastAsia"/>
          <w:b/>
          <w:bCs/>
          <w:color w:val="000000"/>
          <w:sz w:val="24"/>
          <w:szCs w:val="24"/>
        </w:rPr>
        <w:t>五、投诉及建议</w:t>
      </w:r>
    </w:p>
    <w:p w14:paraId="5D412DD4" w14:textId="77777777" w:rsidR="0049198E" w:rsidRDefault="001168A3">
      <w:pPr>
        <w:spacing w:line="312" w:lineRule="auto"/>
        <w:ind w:firstLineChars="200" w:firstLine="482"/>
        <w:rPr>
          <w:rFonts w:ascii="黑体" w:hAnsi="黑体" w:cs="Times New Roman" w:hint="eastAsia"/>
          <w:b/>
          <w:color w:val="000000"/>
          <w:sz w:val="24"/>
          <w:szCs w:val="24"/>
        </w:rPr>
      </w:pPr>
      <w:r>
        <w:rPr>
          <w:rFonts w:ascii="黑体" w:hAnsi="黑体" w:cs="Times New Roman" w:hint="eastAsia"/>
          <w:b/>
          <w:color w:val="000000"/>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14:paraId="28880951" w14:textId="77777777" w:rsidR="0049198E" w:rsidRDefault="001168A3">
      <w:pPr>
        <w:spacing w:line="312" w:lineRule="auto"/>
        <w:ind w:firstLineChars="200" w:firstLine="482"/>
        <w:rPr>
          <w:rFonts w:ascii="黑体" w:hAnsi="黑体" w:cs="Times New Roman" w:hint="eastAsia"/>
          <w:b/>
          <w:bCs/>
          <w:color w:val="000000"/>
          <w:sz w:val="24"/>
          <w:szCs w:val="24"/>
        </w:rPr>
      </w:pPr>
      <w:r>
        <w:rPr>
          <w:rFonts w:ascii="黑体" w:hAnsi="黑体" w:cs="Times New Roman" w:hint="eastAsia"/>
          <w:b/>
          <w:bCs/>
          <w:color w:val="000000"/>
          <w:sz w:val="24"/>
          <w:szCs w:val="24"/>
        </w:rPr>
        <w:t>六</w:t>
      </w:r>
      <w:r>
        <w:rPr>
          <w:rFonts w:ascii="黑体" w:hAnsi="黑体" w:cs="Times New Roman"/>
          <w:b/>
          <w:bCs/>
          <w:color w:val="000000"/>
          <w:sz w:val="24"/>
          <w:szCs w:val="24"/>
        </w:rPr>
        <w:t>、</w:t>
      </w:r>
      <w:r>
        <w:rPr>
          <w:rFonts w:ascii="黑体" w:hAnsi="黑体" w:cs="Times New Roman" w:hint="eastAsia"/>
          <w:b/>
          <w:bCs/>
          <w:color w:val="000000"/>
          <w:sz w:val="24"/>
          <w:szCs w:val="24"/>
        </w:rPr>
        <w:t>宁银理财</w:t>
      </w:r>
      <w:r>
        <w:rPr>
          <w:rFonts w:ascii="黑体" w:hAnsi="黑体" w:cs="Times New Roman"/>
          <w:b/>
          <w:bCs/>
          <w:color w:val="000000"/>
          <w:sz w:val="24"/>
          <w:szCs w:val="24"/>
        </w:rPr>
        <w:t>联络方式</w:t>
      </w:r>
    </w:p>
    <w:p w14:paraId="05DA201A" w14:textId="77777777" w:rsidR="0049198E" w:rsidRDefault="001168A3">
      <w:pPr>
        <w:pStyle w:val="afc"/>
        <w:ind w:left="420" w:firstLine="420"/>
        <w:rPr>
          <w:rFonts w:ascii="黑体" w:eastAsia="黑体" w:hAnsi="黑体" w:hint="eastAsia"/>
        </w:rPr>
      </w:pPr>
      <w:r>
        <w:rPr>
          <w:rFonts w:ascii="黑体" w:eastAsia="黑体" w:hAnsi="黑体" w:hint="eastAsia"/>
        </w:rPr>
        <w:t>客服</w:t>
      </w:r>
      <w:r>
        <w:rPr>
          <w:rFonts w:ascii="黑体" w:eastAsia="黑体" w:hAnsi="黑体"/>
        </w:rPr>
        <w:t>热线</w:t>
      </w:r>
      <w:r>
        <w:rPr>
          <w:rFonts w:ascii="黑体" w:eastAsia="黑体" w:hAnsi="黑体" w:hint="eastAsia"/>
        </w:rPr>
        <w:t>：</w:t>
      </w:r>
      <w:r>
        <w:rPr>
          <w:rFonts w:ascii="黑体" w:eastAsia="黑体" w:hAnsi="黑体"/>
        </w:rPr>
        <w:t>400-099-5574</w:t>
      </w:r>
    </w:p>
    <w:p w14:paraId="1C0E375A" w14:textId="77777777" w:rsidR="0049198E" w:rsidRDefault="001168A3">
      <w:pPr>
        <w:pStyle w:val="afc"/>
        <w:ind w:left="420" w:firstLine="420"/>
        <w:rPr>
          <w:rFonts w:ascii="黑体" w:eastAsia="黑体" w:hAnsi="黑体" w:hint="eastAsia"/>
        </w:rPr>
      </w:pPr>
      <w:r>
        <w:rPr>
          <w:rFonts w:ascii="黑体" w:eastAsia="黑体" w:hAnsi="黑体" w:hint="eastAsia"/>
        </w:rPr>
        <w:t>官方网站</w:t>
      </w:r>
      <w:r>
        <w:rPr>
          <w:rFonts w:ascii="黑体" w:eastAsia="黑体" w:hAnsi="黑体"/>
        </w:rPr>
        <w:t>： www.wmbnb.com</w:t>
      </w:r>
    </w:p>
    <w:p w14:paraId="686E2A1F" w14:textId="77777777" w:rsidR="0049198E" w:rsidRDefault="001168A3">
      <w:pPr>
        <w:spacing w:line="312" w:lineRule="auto"/>
        <w:ind w:firstLine="480"/>
        <w:rPr>
          <w:rFonts w:ascii="黑体" w:hAnsi="黑体" w:cs="Times New Roman" w:hint="eastAsia"/>
          <w:b/>
          <w:bCs/>
          <w:sz w:val="24"/>
          <w:szCs w:val="24"/>
        </w:rPr>
      </w:pPr>
      <w:r>
        <w:rPr>
          <w:rFonts w:ascii="黑体" w:hAnsi="黑体" w:cs="Times New Roman" w:hint="eastAsia"/>
          <w:b/>
          <w:bCs/>
          <w:sz w:val="24"/>
          <w:szCs w:val="24"/>
        </w:rPr>
        <w:t>七、代理销售机构联络方式</w:t>
      </w:r>
    </w:p>
    <w:p w14:paraId="342E23F4" w14:textId="77777777" w:rsidR="0049198E" w:rsidRDefault="001168A3">
      <w:pPr>
        <w:widowControl/>
        <w:ind w:firstLineChars="400" w:firstLine="960"/>
        <w:jc w:val="left"/>
        <w:rPr>
          <w:rFonts w:ascii="黑体" w:hAnsi="黑体" w:hint="eastAsia"/>
          <w:u w:val="single"/>
        </w:rPr>
      </w:pPr>
      <w:r>
        <w:rPr>
          <w:rFonts w:ascii="黑体" w:hAnsi="黑体" w:cs="Times New Roman" w:hint="eastAsia"/>
          <w:color w:val="000000"/>
          <w:sz w:val="24"/>
          <w:szCs w:val="24"/>
        </w:rPr>
        <w:t>代理销售机构联系方式详见《理财产品说明书》</w:t>
      </w:r>
    </w:p>
    <w:sectPr w:rsidR="0049198E">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C07FE" w14:textId="77777777" w:rsidR="003005F7" w:rsidRDefault="003005F7">
      <w:pPr>
        <w:rPr>
          <w:rFonts w:hint="eastAsia"/>
        </w:rPr>
      </w:pPr>
      <w:r>
        <w:separator/>
      </w:r>
    </w:p>
  </w:endnote>
  <w:endnote w:type="continuationSeparator" w:id="0">
    <w:p w14:paraId="6F8C47C5" w14:textId="77777777" w:rsidR="003005F7" w:rsidRDefault="003005F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仿宋_GB2312">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ascii="Times New Roman" w:hAnsi="Times New Roman" w:cs="Times New Roman"/>
      </w:rPr>
    </w:sdtEndPr>
    <w:sdtContent>
      <w:p w14:paraId="3A0E583B" w14:textId="1BEDE945" w:rsidR="0049198E" w:rsidRDefault="001168A3">
        <w:pPr>
          <w:pStyle w:val="1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014244" w:rsidRP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14:paraId="535B9A36" w14:textId="77777777" w:rsidR="0049198E" w:rsidRDefault="0049198E">
    <w:pPr>
      <w:pStyle w:val="1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4ABA5" w14:textId="77777777" w:rsidR="003005F7" w:rsidRDefault="003005F7">
      <w:pPr>
        <w:rPr>
          <w:rFonts w:hint="eastAsia"/>
        </w:rPr>
      </w:pPr>
      <w:r>
        <w:separator/>
      </w:r>
    </w:p>
  </w:footnote>
  <w:footnote w:type="continuationSeparator" w:id="0">
    <w:p w14:paraId="2428E852" w14:textId="77777777" w:rsidR="003005F7" w:rsidRDefault="003005F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bordersDoNotSurroundHeader/>
  <w:bordersDoNotSurroundFooter/>
  <w:activeWritingStyle w:appName="MSWord" w:lang="en-US" w:vendorID="64" w:dllVersion="6" w:nlCheck="1" w:checkStyle="0"/>
  <w:activeWritingStyle w:appName="MSWord" w:lang="zh-CN" w:vendorID="64" w:dllVersion="5" w:nlCheck="1" w:checkStyle="1"/>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005"/>
    <w:rsid w:val="00005AE8"/>
    <w:rsid w:val="00014244"/>
    <w:rsid w:val="0001737A"/>
    <w:rsid w:val="000202D2"/>
    <w:rsid w:val="00022DED"/>
    <w:rsid w:val="0003626B"/>
    <w:rsid w:val="0005604B"/>
    <w:rsid w:val="00070A75"/>
    <w:rsid w:val="0007731F"/>
    <w:rsid w:val="000815D8"/>
    <w:rsid w:val="00094005"/>
    <w:rsid w:val="0009615F"/>
    <w:rsid w:val="000A1E80"/>
    <w:rsid w:val="000A4112"/>
    <w:rsid w:val="000E3A50"/>
    <w:rsid w:val="000E4CD7"/>
    <w:rsid w:val="000F2E26"/>
    <w:rsid w:val="001100CA"/>
    <w:rsid w:val="001168A3"/>
    <w:rsid w:val="00121604"/>
    <w:rsid w:val="001268C4"/>
    <w:rsid w:val="00154FF2"/>
    <w:rsid w:val="00184683"/>
    <w:rsid w:val="001A4C44"/>
    <w:rsid w:val="001A6662"/>
    <w:rsid w:val="001B38CB"/>
    <w:rsid w:val="001E45D9"/>
    <w:rsid w:val="002220ED"/>
    <w:rsid w:val="002405EE"/>
    <w:rsid w:val="00250140"/>
    <w:rsid w:val="00255305"/>
    <w:rsid w:val="00264D26"/>
    <w:rsid w:val="002844E3"/>
    <w:rsid w:val="00286CE3"/>
    <w:rsid w:val="00295AAF"/>
    <w:rsid w:val="002B2A85"/>
    <w:rsid w:val="002C53C2"/>
    <w:rsid w:val="002C7F42"/>
    <w:rsid w:val="002D3179"/>
    <w:rsid w:val="003005F7"/>
    <w:rsid w:val="00322EE6"/>
    <w:rsid w:val="003377B7"/>
    <w:rsid w:val="00383315"/>
    <w:rsid w:val="003B2D2E"/>
    <w:rsid w:val="003B3347"/>
    <w:rsid w:val="003D578E"/>
    <w:rsid w:val="0040436C"/>
    <w:rsid w:val="0041149A"/>
    <w:rsid w:val="004174E0"/>
    <w:rsid w:val="00425E27"/>
    <w:rsid w:val="00444C7D"/>
    <w:rsid w:val="00446F99"/>
    <w:rsid w:val="00456CC3"/>
    <w:rsid w:val="00475196"/>
    <w:rsid w:val="00480846"/>
    <w:rsid w:val="0049198E"/>
    <w:rsid w:val="00492A97"/>
    <w:rsid w:val="00497C10"/>
    <w:rsid w:val="004B3124"/>
    <w:rsid w:val="004C4368"/>
    <w:rsid w:val="004E1101"/>
    <w:rsid w:val="004E5A86"/>
    <w:rsid w:val="005006E5"/>
    <w:rsid w:val="005117AD"/>
    <w:rsid w:val="00534D61"/>
    <w:rsid w:val="00564636"/>
    <w:rsid w:val="00565198"/>
    <w:rsid w:val="005750B8"/>
    <w:rsid w:val="0059088B"/>
    <w:rsid w:val="00594556"/>
    <w:rsid w:val="005B2E33"/>
    <w:rsid w:val="005B6199"/>
    <w:rsid w:val="005C5532"/>
    <w:rsid w:val="005D29E7"/>
    <w:rsid w:val="005E0D4B"/>
    <w:rsid w:val="005E2805"/>
    <w:rsid w:val="005F2CDB"/>
    <w:rsid w:val="005F3276"/>
    <w:rsid w:val="00626461"/>
    <w:rsid w:val="0065114E"/>
    <w:rsid w:val="00661B65"/>
    <w:rsid w:val="0069047C"/>
    <w:rsid w:val="0069592D"/>
    <w:rsid w:val="006A79A1"/>
    <w:rsid w:val="006B6949"/>
    <w:rsid w:val="006D0ABB"/>
    <w:rsid w:val="006E2F3E"/>
    <w:rsid w:val="00706731"/>
    <w:rsid w:val="007135D3"/>
    <w:rsid w:val="00757FAE"/>
    <w:rsid w:val="007627F6"/>
    <w:rsid w:val="007636E6"/>
    <w:rsid w:val="007841D6"/>
    <w:rsid w:val="007C5CCD"/>
    <w:rsid w:val="007D47B1"/>
    <w:rsid w:val="007D5CE4"/>
    <w:rsid w:val="0081639B"/>
    <w:rsid w:val="0081776B"/>
    <w:rsid w:val="00820DF5"/>
    <w:rsid w:val="00824C1E"/>
    <w:rsid w:val="00824CFB"/>
    <w:rsid w:val="00826E17"/>
    <w:rsid w:val="0084073C"/>
    <w:rsid w:val="00840FBB"/>
    <w:rsid w:val="00842863"/>
    <w:rsid w:val="0085058C"/>
    <w:rsid w:val="0086413E"/>
    <w:rsid w:val="008747A8"/>
    <w:rsid w:val="00875E62"/>
    <w:rsid w:val="008A3F88"/>
    <w:rsid w:val="008A487E"/>
    <w:rsid w:val="008A54BA"/>
    <w:rsid w:val="008A5EEE"/>
    <w:rsid w:val="008A7DED"/>
    <w:rsid w:val="008B084A"/>
    <w:rsid w:val="008C6A92"/>
    <w:rsid w:val="008D3E70"/>
    <w:rsid w:val="008E1A60"/>
    <w:rsid w:val="008E637E"/>
    <w:rsid w:val="00901CA2"/>
    <w:rsid w:val="00901FCB"/>
    <w:rsid w:val="0092633B"/>
    <w:rsid w:val="00945C80"/>
    <w:rsid w:val="00946C9E"/>
    <w:rsid w:val="009560F7"/>
    <w:rsid w:val="009755BC"/>
    <w:rsid w:val="00980D2D"/>
    <w:rsid w:val="009865E2"/>
    <w:rsid w:val="00986F38"/>
    <w:rsid w:val="00993D35"/>
    <w:rsid w:val="00997BC2"/>
    <w:rsid w:val="009A0E93"/>
    <w:rsid w:val="009A559C"/>
    <w:rsid w:val="009A6D15"/>
    <w:rsid w:val="009B0C1A"/>
    <w:rsid w:val="009B139F"/>
    <w:rsid w:val="009B14C6"/>
    <w:rsid w:val="009C51CE"/>
    <w:rsid w:val="009C7438"/>
    <w:rsid w:val="009D2A78"/>
    <w:rsid w:val="009D5BE5"/>
    <w:rsid w:val="009D7B05"/>
    <w:rsid w:val="00A1082B"/>
    <w:rsid w:val="00A153C8"/>
    <w:rsid w:val="00A158CD"/>
    <w:rsid w:val="00A300BA"/>
    <w:rsid w:val="00A33647"/>
    <w:rsid w:val="00A37CA9"/>
    <w:rsid w:val="00A50285"/>
    <w:rsid w:val="00A55ADD"/>
    <w:rsid w:val="00A56D3D"/>
    <w:rsid w:val="00A579EE"/>
    <w:rsid w:val="00A7374E"/>
    <w:rsid w:val="00A746E4"/>
    <w:rsid w:val="00A80EF2"/>
    <w:rsid w:val="00A832F0"/>
    <w:rsid w:val="00A8385F"/>
    <w:rsid w:val="00AB0CA1"/>
    <w:rsid w:val="00AC0AE4"/>
    <w:rsid w:val="00AC1BDE"/>
    <w:rsid w:val="00AD4218"/>
    <w:rsid w:val="00AD64E9"/>
    <w:rsid w:val="00AD7688"/>
    <w:rsid w:val="00AD7941"/>
    <w:rsid w:val="00AE7202"/>
    <w:rsid w:val="00AF03AB"/>
    <w:rsid w:val="00AF1993"/>
    <w:rsid w:val="00B003FE"/>
    <w:rsid w:val="00B0362D"/>
    <w:rsid w:val="00B11008"/>
    <w:rsid w:val="00B161C0"/>
    <w:rsid w:val="00B3243C"/>
    <w:rsid w:val="00B4432F"/>
    <w:rsid w:val="00B64BEA"/>
    <w:rsid w:val="00B80C42"/>
    <w:rsid w:val="00B92061"/>
    <w:rsid w:val="00B93DFF"/>
    <w:rsid w:val="00B97AFA"/>
    <w:rsid w:val="00BA7C6F"/>
    <w:rsid w:val="00BD266D"/>
    <w:rsid w:val="00BD5740"/>
    <w:rsid w:val="00BE15BF"/>
    <w:rsid w:val="00BF6F55"/>
    <w:rsid w:val="00C06874"/>
    <w:rsid w:val="00C30C1B"/>
    <w:rsid w:val="00C34A05"/>
    <w:rsid w:val="00C52EEC"/>
    <w:rsid w:val="00C5671A"/>
    <w:rsid w:val="00C57452"/>
    <w:rsid w:val="00C722EE"/>
    <w:rsid w:val="00C744E9"/>
    <w:rsid w:val="00C8313F"/>
    <w:rsid w:val="00C87DF6"/>
    <w:rsid w:val="00C91D13"/>
    <w:rsid w:val="00CC0545"/>
    <w:rsid w:val="00CC52AA"/>
    <w:rsid w:val="00CD5C49"/>
    <w:rsid w:val="00CE282E"/>
    <w:rsid w:val="00CF5954"/>
    <w:rsid w:val="00D078FE"/>
    <w:rsid w:val="00D15099"/>
    <w:rsid w:val="00D31DE3"/>
    <w:rsid w:val="00D332B9"/>
    <w:rsid w:val="00D53BBF"/>
    <w:rsid w:val="00D55AD3"/>
    <w:rsid w:val="00D721D3"/>
    <w:rsid w:val="00D851B7"/>
    <w:rsid w:val="00DA7456"/>
    <w:rsid w:val="00DE11E4"/>
    <w:rsid w:val="00E0215F"/>
    <w:rsid w:val="00E069AB"/>
    <w:rsid w:val="00E121D0"/>
    <w:rsid w:val="00E12E51"/>
    <w:rsid w:val="00E174C0"/>
    <w:rsid w:val="00E23B71"/>
    <w:rsid w:val="00E3001A"/>
    <w:rsid w:val="00E3301E"/>
    <w:rsid w:val="00E36053"/>
    <w:rsid w:val="00E42BE2"/>
    <w:rsid w:val="00E44A7F"/>
    <w:rsid w:val="00E51438"/>
    <w:rsid w:val="00E534C8"/>
    <w:rsid w:val="00E57A30"/>
    <w:rsid w:val="00E67AD1"/>
    <w:rsid w:val="00E67E92"/>
    <w:rsid w:val="00E70BCC"/>
    <w:rsid w:val="00E9442F"/>
    <w:rsid w:val="00EB7512"/>
    <w:rsid w:val="00EC3C43"/>
    <w:rsid w:val="00ED7D80"/>
    <w:rsid w:val="00EE438D"/>
    <w:rsid w:val="00EF0CA4"/>
    <w:rsid w:val="00EF60A0"/>
    <w:rsid w:val="00F22414"/>
    <w:rsid w:val="00F34518"/>
    <w:rsid w:val="00F4278F"/>
    <w:rsid w:val="00F44D99"/>
    <w:rsid w:val="00F45C80"/>
    <w:rsid w:val="00F52EAA"/>
    <w:rsid w:val="00F8454E"/>
    <w:rsid w:val="00F855B8"/>
    <w:rsid w:val="00F92EEA"/>
    <w:rsid w:val="00F95632"/>
    <w:rsid w:val="00FA45A3"/>
    <w:rsid w:val="00FC4B6C"/>
    <w:rsid w:val="00FC6AF0"/>
    <w:rsid w:val="00FF038A"/>
    <w:rsid w:val="367D423F"/>
    <w:rsid w:val="3A6BE32B"/>
    <w:rsid w:val="6FAFA2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14542E"/>
  <w15:docId w15:val="{33E54FB2-FA55-41FA-9F25-DF5E70067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黑体" w:eastAsia="黑体" w:hAnsi="黑体" w:cs="黑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hAnsi="宋体" w:cstheme="minorBidi"/>
      <w:kern w:val="2"/>
      <w:sz w:val="21"/>
      <w:szCs w:val="22"/>
    </w:rPr>
  </w:style>
  <w:style w:type="paragraph" w:styleId="1">
    <w:name w:val="heading 1"/>
    <w:basedOn w:val="a"/>
    <w:next w:val="a"/>
    <w:link w:val="10"/>
    <w:uiPriority w:val="9"/>
    <w:qFormat/>
    <w:pPr>
      <w:keepNext/>
      <w:keepLines/>
      <w:spacing w:before="120" w:after="120"/>
      <w:outlineLvl w:val="0"/>
    </w:pPr>
    <w:rPr>
      <w:rFonts w:cs="黑体"/>
      <w:b/>
      <w:bCs/>
      <w:kern w:val="44"/>
      <w:sz w:val="44"/>
      <w:szCs w:val="44"/>
    </w:rPr>
  </w:style>
  <w:style w:type="paragraph" w:styleId="2">
    <w:name w:val="heading 2"/>
    <w:basedOn w:val="a"/>
    <w:next w:val="a"/>
    <w:link w:val="20"/>
    <w:qFormat/>
    <w:pPr>
      <w:keepNext/>
      <w:keepLines/>
      <w:spacing w:before="260" w:after="260" w:line="416" w:lineRule="auto"/>
      <w:ind w:leftChars="100" w:left="420" w:rightChars="100" w:right="100"/>
      <w:outlineLvl w:val="1"/>
    </w:pPr>
    <w:rPr>
      <w:rFonts w:ascii="Arial" w:eastAsia="华文细黑" w:hAnsi="Arial"/>
      <w:b/>
      <w:bCs/>
      <w:szCs w:val="32"/>
    </w:rPr>
  </w:style>
  <w:style w:type="paragraph" w:styleId="3">
    <w:name w:val="heading 3"/>
    <w:basedOn w:val="a"/>
    <w:next w:val="a"/>
    <w:link w:val="30"/>
    <w:uiPriority w:val="9"/>
    <w:semiHidden/>
    <w:unhideWhenUsed/>
    <w:qFormat/>
    <w:pPr>
      <w:keepNext/>
      <w:keepLines/>
      <w:spacing w:line="360" w:lineRule="auto"/>
      <w:ind w:leftChars="100" w:left="100"/>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uiPriority w:val="99"/>
    <w:semiHidden/>
    <w:unhideWhenUsed/>
    <w:pPr>
      <w:spacing w:after="120"/>
    </w:pPr>
  </w:style>
  <w:style w:type="paragraph" w:styleId="a7">
    <w:name w:val="Balloon Text"/>
    <w:basedOn w:val="a"/>
    <w:link w:val="a8"/>
    <w:uiPriority w:val="99"/>
    <w:semiHidden/>
    <w:unhideWhenUsed/>
    <w:rPr>
      <w:sz w:val="18"/>
      <w:szCs w:val="18"/>
    </w:rPr>
  </w:style>
  <w:style w:type="paragraph" w:styleId="a9">
    <w:name w:val="footer"/>
    <w:basedOn w:val="a"/>
    <w:link w:val="11"/>
    <w:uiPriority w:val="99"/>
    <w:unhideWhenUsed/>
    <w:pPr>
      <w:tabs>
        <w:tab w:val="center" w:pos="4153"/>
        <w:tab w:val="right" w:pos="8306"/>
      </w:tabs>
      <w:snapToGrid w:val="0"/>
      <w:jc w:val="left"/>
    </w:pPr>
    <w:rPr>
      <w:sz w:val="18"/>
      <w:szCs w:val="18"/>
    </w:rPr>
  </w:style>
  <w:style w:type="paragraph" w:styleId="aa">
    <w:name w:val="header"/>
    <w:basedOn w:val="a"/>
    <w:link w:val="ab"/>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
    <w:next w:val="a"/>
    <w:link w:val="ad"/>
    <w:uiPriority w:val="11"/>
    <w:qFormat/>
    <w:pPr>
      <w:spacing w:before="240" w:after="60"/>
      <w:outlineLvl w:val="1"/>
    </w:pPr>
    <w:rPr>
      <w:rFonts w:eastAsiaTheme="minorEastAsia"/>
      <w:b/>
      <w:bCs/>
      <w:kern w:val="28"/>
      <w:sz w:val="32"/>
      <w:szCs w:val="32"/>
    </w:rPr>
  </w:style>
  <w:style w:type="paragraph" w:styleId="ae">
    <w:name w:val="annotation subject"/>
    <w:basedOn w:val="a3"/>
    <w:next w:val="a3"/>
    <w:link w:val="af"/>
    <w:uiPriority w:val="99"/>
    <w:semiHidden/>
    <w:unhideWhenUsed/>
    <w:rPr>
      <w:b/>
      <w:bCs/>
    </w:rPr>
  </w:style>
  <w:style w:type="table" w:styleId="af0">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Pr>
      <w:sz w:val="21"/>
      <w:szCs w:val="21"/>
    </w:rPr>
  </w:style>
  <w:style w:type="character" w:customStyle="1" w:styleId="20">
    <w:name w:val="标题 2 字符"/>
    <w:basedOn w:val="a0"/>
    <w:link w:val="2"/>
    <w:rPr>
      <w:rFonts w:ascii="Arial" w:eastAsia="华文细黑" w:hAnsi="Arial" w:cstheme="minorBidi"/>
      <w:b/>
      <w:bCs/>
      <w:kern w:val="2"/>
      <w:sz w:val="21"/>
      <w:szCs w:val="32"/>
    </w:rPr>
  </w:style>
  <w:style w:type="character" w:customStyle="1" w:styleId="10">
    <w:name w:val="标题 1 字符"/>
    <w:basedOn w:val="a0"/>
    <w:link w:val="1"/>
    <w:uiPriority w:val="9"/>
    <w:rPr>
      <w:b/>
      <w:bCs/>
      <w:kern w:val="44"/>
      <w:sz w:val="44"/>
      <w:szCs w:val="44"/>
    </w:rPr>
  </w:style>
  <w:style w:type="character" w:customStyle="1" w:styleId="30">
    <w:name w:val="标题 3 字符"/>
    <w:basedOn w:val="a0"/>
    <w:link w:val="3"/>
    <w:uiPriority w:val="9"/>
    <w:semiHidden/>
    <w:rPr>
      <w:rFonts w:eastAsia="华文细黑"/>
      <w:b/>
      <w:bCs/>
      <w:sz w:val="24"/>
      <w:szCs w:val="32"/>
    </w:rPr>
  </w:style>
  <w:style w:type="paragraph" w:styleId="af2">
    <w:name w:val="No Spacing"/>
    <w:uiPriority w:val="1"/>
    <w:qFormat/>
    <w:pPr>
      <w:widowControl w:val="0"/>
      <w:jc w:val="both"/>
    </w:pPr>
    <w:rPr>
      <w:rFonts w:ascii="宋体" w:hAnsi="宋体" w:cstheme="minorBidi"/>
      <w:kern w:val="2"/>
      <w:sz w:val="21"/>
      <w:szCs w:val="22"/>
    </w:rPr>
  </w:style>
  <w:style w:type="paragraph" w:customStyle="1" w:styleId="af3">
    <w:name w:val="说明书"/>
    <w:basedOn w:val="a"/>
    <w:link w:val="af4"/>
    <w:qFormat/>
    <w:pPr>
      <w:autoSpaceDE w:val="0"/>
      <w:autoSpaceDN w:val="0"/>
      <w:adjustRightInd w:val="0"/>
      <w:snapToGrid w:val="0"/>
      <w:jc w:val="left"/>
    </w:pPr>
    <w:rPr>
      <w:rFonts w:cs="黑体"/>
      <w:kern w:val="0"/>
      <w:sz w:val="20"/>
      <w:szCs w:val="21"/>
    </w:rPr>
  </w:style>
  <w:style w:type="character" w:customStyle="1" w:styleId="af4">
    <w:name w:val="说明书 字符"/>
    <w:basedOn w:val="a0"/>
    <w:link w:val="af3"/>
  </w:style>
  <w:style w:type="paragraph" w:customStyle="1" w:styleId="af5">
    <w:name w:val="表格"/>
    <w:basedOn w:val="ac"/>
    <w:link w:val="af6"/>
    <w:qFormat/>
    <w:rPr>
      <w:rFonts w:ascii="黑体" w:eastAsia="黑体" w:hAnsi="黑体" w:cs="黑体"/>
      <w:kern w:val="0"/>
      <w:szCs w:val="20"/>
    </w:rPr>
  </w:style>
  <w:style w:type="character" w:customStyle="1" w:styleId="af6">
    <w:name w:val="表格 字符"/>
    <w:basedOn w:val="ad"/>
    <w:link w:val="af5"/>
    <w:rPr>
      <w:rFonts w:asciiTheme="minorHAnsi" w:eastAsiaTheme="minorEastAsia" w:hAnsiTheme="minorHAnsi" w:cstheme="minorBidi"/>
      <w:b/>
      <w:bCs/>
      <w:kern w:val="28"/>
      <w:sz w:val="32"/>
      <w:szCs w:val="20"/>
    </w:rPr>
  </w:style>
  <w:style w:type="character" w:customStyle="1" w:styleId="ad">
    <w:name w:val="副标题 字符"/>
    <w:basedOn w:val="a0"/>
    <w:link w:val="ac"/>
    <w:uiPriority w:val="11"/>
    <w:rPr>
      <w:rFonts w:asciiTheme="minorHAnsi" w:eastAsiaTheme="minorEastAsia" w:hAnsiTheme="minorHAnsi" w:cstheme="minorBidi"/>
      <w:b/>
      <w:bCs/>
      <w:kern w:val="28"/>
      <w:sz w:val="32"/>
      <w:szCs w:val="32"/>
    </w:rPr>
  </w:style>
  <w:style w:type="paragraph" w:customStyle="1" w:styleId="12">
    <w:name w:val="样式1"/>
    <w:basedOn w:val="af2"/>
    <w:link w:val="13"/>
    <w:qFormat/>
    <w:pPr>
      <w:jc w:val="center"/>
    </w:pPr>
    <w:rPr>
      <w:rFonts w:cs="黑体"/>
      <w:b/>
      <w:kern w:val="0"/>
      <w:sz w:val="44"/>
      <w:szCs w:val="21"/>
    </w:rPr>
  </w:style>
  <w:style w:type="character" w:customStyle="1" w:styleId="13">
    <w:name w:val="样式1 字符"/>
    <w:basedOn w:val="a0"/>
    <w:link w:val="12"/>
    <w:rPr>
      <w:rFonts w:ascii="宋体" w:hAnsi="宋体"/>
      <w:b/>
      <w:sz w:val="44"/>
    </w:rPr>
  </w:style>
  <w:style w:type="paragraph" w:customStyle="1" w:styleId="af7">
    <w:name w:val="加粗"/>
    <w:basedOn w:val="a"/>
    <w:link w:val="af8"/>
    <w:qFormat/>
    <w:pPr>
      <w:ind w:firstLine="420"/>
    </w:pPr>
    <w:rPr>
      <w:rFonts w:cs="黑体"/>
      <w:b/>
      <w:kern w:val="0"/>
      <w:sz w:val="24"/>
      <w:szCs w:val="21"/>
    </w:rPr>
  </w:style>
  <w:style w:type="character" w:customStyle="1" w:styleId="af8">
    <w:name w:val="加粗 字符"/>
    <w:basedOn w:val="a0"/>
    <w:link w:val="af7"/>
    <w:rPr>
      <w:rFonts w:ascii="宋体" w:eastAsia="宋体" w:hAnsi="宋体"/>
      <w:b/>
      <w:sz w:val="24"/>
    </w:rPr>
  </w:style>
  <w:style w:type="paragraph" w:customStyle="1" w:styleId="21">
    <w:name w:val="样式2"/>
    <w:basedOn w:val="12"/>
    <w:link w:val="22"/>
    <w:qFormat/>
    <w:pPr>
      <w:jc w:val="both"/>
    </w:pPr>
  </w:style>
  <w:style w:type="character" w:customStyle="1" w:styleId="22">
    <w:name w:val="样式2 字符"/>
    <w:basedOn w:val="13"/>
    <w:link w:val="21"/>
    <w:rPr>
      <w:rFonts w:ascii="宋体" w:hAnsi="宋体"/>
      <w:b/>
      <w:sz w:val="44"/>
    </w:rPr>
  </w:style>
  <w:style w:type="paragraph" w:customStyle="1" w:styleId="31">
    <w:name w:val="样式3"/>
    <w:basedOn w:val="a"/>
    <w:link w:val="32"/>
    <w:autoRedefine/>
    <w:qFormat/>
    <w:pPr>
      <w:autoSpaceDE w:val="0"/>
      <w:autoSpaceDN w:val="0"/>
      <w:adjustRightInd w:val="0"/>
      <w:jc w:val="left"/>
    </w:pPr>
    <w:rPr>
      <w:rFonts w:cs="黑体"/>
      <w:kern w:val="0"/>
      <w:szCs w:val="21"/>
    </w:rPr>
  </w:style>
  <w:style w:type="character" w:customStyle="1" w:styleId="32">
    <w:name w:val="样式3 字符"/>
    <w:basedOn w:val="a0"/>
    <w:link w:val="31"/>
    <w:rPr>
      <w:sz w:val="21"/>
    </w:rPr>
  </w:style>
  <w:style w:type="paragraph" w:customStyle="1" w:styleId="4">
    <w:name w:val="样式4"/>
    <w:basedOn w:val="a5"/>
    <w:link w:val="40"/>
    <w:qFormat/>
    <w:pPr>
      <w:spacing w:line="240" w:lineRule="atLeast"/>
    </w:pPr>
    <w:rPr>
      <w:rFonts w:ascii="仿宋_GB2312" w:cs="黑体"/>
      <w:szCs w:val="21"/>
    </w:rPr>
  </w:style>
  <w:style w:type="character" w:customStyle="1" w:styleId="40">
    <w:name w:val="样式4 字符"/>
    <w:basedOn w:val="a0"/>
    <w:link w:val="4"/>
    <w:rPr>
      <w:rFonts w:ascii="仿宋_GB2312" w:eastAsia="仿宋_GB2312" w:hAnsi="宋体"/>
      <w:kern w:val="2"/>
      <w:sz w:val="21"/>
    </w:rPr>
  </w:style>
  <w:style w:type="paragraph" w:customStyle="1" w:styleId="5">
    <w:name w:val="样式5"/>
    <w:basedOn w:val="a5"/>
    <w:next w:val="a"/>
    <w:link w:val="50"/>
    <w:qFormat/>
    <w:rPr>
      <w:rFonts w:hAnsi="黑体" w:cs="黑体"/>
      <w:sz w:val="24"/>
    </w:rPr>
  </w:style>
  <w:style w:type="character" w:customStyle="1" w:styleId="50">
    <w:name w:val="样式5 字符"/>
    <w:basedOn w:val="a0"/>
    <w:link w:val="5"/>
    <w:rPr>
      <w:rFonts w:ascii="宋体" w:eastAsia="仿宋_GB2312"/>
      <w:kern w:val="2"/>
      <w:sz w:val="24"/>
      <w:szCs w:val="24"/>
    </w:rPr>
  </w:style>
  <w:style w:type="paragraph" w:customStyle="1" w:styleId="6">
    <w:name w:val="样式6"/>
    <w:basedOn w:val="a"/>
    <w:link w:val="60"/>
    <w:qFormat/>
    <w:pPr>
      <w:spacing w:line="360" w:lineRule="auto"/>
      <w:ind w:firstLineChars="177" w:firstLine="566"/>
    </w:pPr>
    <w:rPr>
      <w:rFonts w:cs="黑体"/>
      <w:sz w:val="32"/>
    </w:rPr>
  </w:style>
  <w:style w:type="character" w:customStyle="1" w:styleId="60">
    <w:name w:val="样式6 字符"/>
    <w:basedOn w:val="a0"/>
    <w:link w:val="6"/>
    <w:rPr>
      <w:rFonts w:eastAsia="仿宋_GB2312"/>
      <w:kern w:val="2"/>
      <w:sz w:val="32"/>
      <w:szCs w:val="24"/>
    </w:rPr>
  </w:style>
  <w:style w:type="character" w:customStyle="1" w:styleId="a6">
    <w:name w:val="正文文本 字符"/>
    <w:basedOn w:val="a0"/>
    <w:link w:val="a5"/>
    <w:uiPriority w:val="99"/>
    <w:semiHidden/>
    <w:rPr>
      <w:rFonts w:ascii="Calibri" w:eastAsia="仿宋_GB2312" w:hAnsi="Calibri" w:cs="Times New Roman"/>
      <w:kern w:val="2"/>
      <w:sz w:val="21"/>
      <w:szCs w:val="24"/>
    </w:rPr>
  </w:style>
  <w:style w:type="paragraph" w:customStyle="1" w:styleId="14">
    <w:name w:val="页脚1"/>
    <w:basedOn w:val="a"/>
    <w:next w:val="a9"/>
    <w:link w:val="af9"/>
    <w:uiPriority w:val="99"/>
    <w:unhideWhenUsed/>
    <w:qFormat/>
    <w:pPr>
      <w:tabs>
        <w:tab w:val="center" w:pos="4153"/>
        <w:tab w:val="right" w:pos="8306"/>
      </w:tabs>
      <w:snapToGrid w:val="0"/>
      <w:jc w:val="left"/>
    </w:pPr>
    <w:rPr>
      <w:rFonts w:ascii="黑体" w:hAnsi="黑体" w:cs="黑体"/>
      <w:sz w:val="18"/>
      <w:szCs w:val="18"/>
    </w:rPr>
  </w:style>
  <w:style w:type="character" w:customStyle="1" w:styleId="af9">
    <w:name w:val="页脚 字符"/>
    <w:basedOn w:val="a0"/>
    <w:link w:val="14"/>
    <w:uiPriority w:val="99"/>
    <w:qFormat/>
    <w:rPr>
      <w:kern w:val="2"/>
      <w:sz w:val="18"/>
      <w:szCs w:val="18"/>
    </w:rPr>
  </w:style>
  <w:style w:type="character" w:customStyle="1" w:styleId="11">
    <w:name w:val="页脚 字符1"/>
    <w:basedOn w:val="a0"/>
    <w:link w:val="a9"/>
    <w:uiPriority w:val="99"/>
    <w:rPr>
      <w:rFonts w:ascii="宋体" w:hAnsi="宋体" w:cstheme="minorBidi"/>
      <w:kern w:val="2"/>
      <w:sz w:val="18"/>
      <w:szCs w:val="18"/>
    </w:rPr>
  </w:style>
  <w:style w:type="table" w:customStyle="1" w:styleId="15">
    <w:name w:val="网格型1"/>
    <w:basedOn w:val="a1"/>
    <w:uiPriority w:val="39"/>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文本标题"/>
    <w:basedOn w:val="a"/>
    <w:link w:val="afb"/>
    <w:qFormat/>
    <w:pPr>
      <w:jc w:val="center"/>
    </w:pPr>
    <w:rPr>
      <w:rFonts w:ascii="黑体" w:cs="Times New Roman"/>
      <w:b/>
      <w:sz w:val="44"/>
      <w:szCs w:val="44"/>
    </w:rPr>
  </w:style>
  <w:style w:type="paragraph" w:customStyle="1" w:styleId="afc">
    <w:name w:val="文本正文"/>
    <w:basedOn w:val="a"/>
    <w:link w:val="afd"/>
    <w:qFormat/>
    <w:pPr>
      <w:spacing w:line="312" w:lineRule="auto"/>
    </w:pPr>
    <w:rPr>
      <w:rFonts w:eastAsia="宋体" w:cs="Times New Roman"/>
      <w:color w:val="000000"/>
      <w:sz w:val="24"/>
      <w:szCs w:val="24"/>
    </w:rPr>
  </w:style>
  <w:style w:type="character" w:customStyle="1" w:styleId="afb">
    <w:name w:val="文本标题 字符"/>
    <w:basedOn w:val="a0"/>
    <w:link w:val="afa"/>
    <w:rPr>
      <w:rFonts w:hAnsi="宋体" w:cs="Times New Roman"/>
      <w:b/>
      <w:kern w:val="2"/>
      <w:sz w:val="44"/>
      <w:szCs w:val="44"/>
    </w:rPr>
  </w:style>
  <w:style w:type="character" w:customStyle="1" w:styleId="afd">
    <w:name w:val="文本正文 字符"/>
    <w:basedOn w:val="a0"/>
    <w:link w:val="afc"/>
    <w:rPr>
      <w:rFonts w:ascii="宋体" w:eastAsia="宋体" w:hAnsi="宋体" w:cs="Times New Roman"/>
      <w:color w:val="000000"/>
      <w:kern w:val="2"/>
      <w:sz w:val="24"/>
      <w:szCs w:val="24"/>
    </w:rPr>
  </w:style>
  <w:style w:type="character" w:customStyle="1" w:styleId="ab">
    <w:name w:val="页眉 字符"/>
    <w:basedOn w:val="a0"/>
    <w:link w:val="aa"/>
    <w:uiPriority w:val="99"/>
    <w:rPr>
      <w:rFonts w:ascii="宋体" w:hAnsi="宋体" w:cstheme="minorBidi"/>
      <w:kern w:val="2"/>
      <w:sz w:val="18"/>
      <w:szCs w:val="18"/>
    </w:rPr>
  </w:style>
  <w:style w:type="character" w:customStyle="1" w:styleId="a8">
    <w:name w:val="批注框文本 字符"/>
    <w:basedOn w:val="a0"/>
    <w:link w:val="a7"/>
    <w:uiPriority w:val="99"/>
    <w:semiHidden/>
    <w:rPr>
      <w:rFonts w:ascii="宋体" w:hAnsi="宋体" w:cstheme="minorBidi"/>
      <w:kern w:val="2"/>
      <w:sz w:val="18"/>
      <w:szCs w:val="18"/>
    </w:rPr>
  </w:style>
  <w:style w:type="character" w:customStyle="1" w:styleId="a4">
    <w:name w:val="批注文字 字符"/>
    <w:basedOn w:val="a0"/>
    <w:link w:val="a3"/>
    <w:uiPriority w:val="99"/>
    <w:semiHidden/>
    <w:rPr>
      <w:rFonts w:ascii="宋体" w:hAnsi="宋体" w:cstheme="minorBidi"/>
      <w:kern w:val="2"/>
      <w:sz w:val="21"/>
      <w:szCs w:val="22"/>
    </w:rPr>
  </w:style>
  <w:style w:type="character" w:customStyle="1" w:styleId="af">
    <w:name w:val="批注主题 字符"/>
    <w:basedOn w:val="a4"/>
    <w:link w:val="ae"/>
    <w:uiPriority w:val="99"/>
    <w:semiHidden/>
    <w:rPr>
      <w:rFonts w:ascii="宋体" w:hAnsi="宋体" w:cstheme="minorBidi"/>
      <w:b/>
      <w:bCs/>
      <w:kern w:val="2"/>
      <w:sz w:val="21"/>
      <w:szCs w:val="22"/>
    </w:rPr>
  </w:style>
  <w:style w:type="paragraph" w:customStyle="1" w:styleId="16">
    <w:name w:val="修订1"/>
    <w:hidden/>
    <w:uiPriority w:val="99"/>
    <w:semiHidden/>
    <w:rPr>
      <w:rFonts w:ascii="宋体" w:hAnsi="宋体" w:cstheme="minorBidi"/>
      <w:kern w:val="2"/>
      <w:sz w:val="21"/>
      <w:szCs w:val="22"/>
    </w:rPr>
  </w:style>
  <w:style w:type="paragraph" w:styleId="afe">
    <w:name w:val="Revision"/>
    <w:hidden/>
    <w:uiPriority w:val="99"/>
    <w:semiHidden/>
    <w:rsid w:val="00F855B8"/>
    <w:rPr>
      <w:rFonts w:ascii="宋体" w:hAnsi="宋体"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1518</Words>
  <Characters>1534</Characters>
  <Application>Microsoft Office Word</Application>
  <DocSecurity>0</DocSecurity>
  <Lines>73</Lines>
  <Paragraphs>45</Paragraphs>
  <ScaleCrop>false</ScaleCrop>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2022-01-04T16:23:00Z</dcterms:created>
  <dc:creator>NBCB</dc:creator>
  <cp:lastModifiedBy>卓鑫 楼</cp:lastModifiedBy>
  <dcterms:modified xsi:type="dcterms:W3CDTF">2026-07-06T02:27:00Z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2052-12.8.2.18601</vt:lpwstr>
  </property>
  <property fmtid="{D5CDD505-2E9C-101B-9397-08002B2CF9AE}" pid="3" name="ICV">
    <vt:lpwstr>37F692F418BD45279DB8F9D82FA95A68_13</vt:lpwstr>
  </property>
</Properties>
</file>