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190C" w14:textId="77777777" w:rsidR="00DE64DA" w:rsidRDefault="00B9463B">
      <w:pPr>
        <w:spacing w:line="312" w:lineRule="auto"/>
        <w:jc w:val="center"/>
        <w:rPr>
          <w:rFonts w:ascii="黑体" w:eastAsia="黑体" w:hAnsi="黑体" w:hint="eastAsia"/>
          <w:b/>
          <w:sz w:val="44"/>
          <w:szCs w:val="44"/>
        </w:rPr>
      </w:pPr>
      <w:r>
        <w:rPr>
          <w:rFonts w:ascii="黑体" w:eastAsia="黑体" w:hAnsi="黑体" w:hint="eastAsia"/>
          <w:b/>
          <w:sz w:val="44"/>
          <w:szCs w:val="44"/>
        </w:rPr>
        <w:t>宁银理财宁欣固定收益类封闭式理财3389号（丰利款）产品风险揭示书</w:t>
      </w:r>
    </w:p>
    <w:p w14:paraId="0995EC9A" w14:textId="3C6ED08F" w:rsidR="00DE64DA" w:rsidRDefault="00B9463B">
      <w:pPr>
        <w:spacing w:line="312" w:lineRule="auto"/>
        <w:jc w:val="center"/>
        <w:rPr>
          <w:rFonts w:ascii="黑体" w:eastAsia="黑体" w:hAnsi="黑体" w:hint="eastAsia"/>
          <w:b/>
          <w:sz w:val="44"/>
          <w:szCs w:val="44"/>
        </w:rPr>
      </w:pPr>
      <w:r>
        <w:rPr>
          <w:rFonts w:ascii="黑体" w:eastAsia="黑体" w:hAnsi="黑体" w:hint="eastAsia"/>
          <w:b/>
          <w:sz w:val="24"/>
        </w:rPr>
        <w:t>（202</w:t>
      </w:r>
      <w:r>
        <w:rPr>
          <w:rFonts w:ascii="黑体" w:eastAsia="黑体" w:hAnsi="黑体" w:hint="eastAsia"/>
          <w:b/>
          <w:sz w:val="24"/>
          <w:lang w:eastAsia="zh"/>
        </w:rPr>
        <w:t>60</w:t>
      </w:r>
      <w:r w:rsidR="008A6603">
        <w:rPr>
          <w:rFonts w:ascii="黑体" w:eastAsia="黑体" w:hAnsi="黑体" w:hint="eastAsia"/>
          <w:b/>
          <w:sz w:val="24"/>
        </w:rPr>
        <w:t>2</w:t>
      </w:r>
      <w:r>
        <w:rPr>
          <w:rFonts w:ascii="黑体" w:eastAsia="黑体" w:hAnsi="黑体" w:hint="eastAsia"/>
          <w:b/>
          <w:sz w:val="24"/>
        </w:rPr>
        <w:t>版）</w:t>
      </w:r>
    </w:p>
    <w:p w14:paraId="0CAC7C4E" w14:textId="77777777" w:rsidR="00DE64DA" w:rsidRDefault="00B9463B">
      <w:pPr>
        <w:spacing w:line="312" w:lineRule="auto"/>
        <w:rPr>
          <w:rFonts w:ascii="黑体" w:eastAsia="黑体" w:hAnsi="黑体" w:hint="eastAsia"/>
          <w:sz w:val="24"/>
        </w:rPr>
      </w:pPr>
      <w:r>
        <w:rPr>
          <w:rFonts w:ascii="黑体" w:eastAsia="黑体" w:hAnsi="黑体" w:hint="eastAsia"/>
          <w:sz w:val="24"/>
        </w:rPr>
        <w:t>尊敬的投资者：</w:t>
      </w:r>
    </w:p>
    <w:p w14:paraId="11553EC5" w14:textId="77777777" w:rsidR="00DE64DA" w:rsidRDefault="00B9463B">
      <w:pPr>
        <w:spacing w:line="312" w:lineRule="auto"/>
        <w:jc w:val="center"/>
        <w:rPr>
          <w:rFonts w:ascii="黑体" w:eastAsia="黑体" w:hAnsi="黑体" w:hint="eastAsia"/>
          <w:b/>
          <w:sz w:val="24"/>
          <w:u w:val="single"/>
        </w:rPr>
      </w:pPr>
      <w:r>
        <w:rPr>
          <w:rFonts w:ascii="黑体" w:eastAsia="黑体" w:hAnsi="黑体" w:hint="eastAsia"/>
          <w:b/>
          <w:sz w:val="24"/>
          <w:u w:val="single"/>
        </w:rPr>
        <w:t>理财非存款、产品有风险、投资须谨慎。</w:t>
      </w:r>
    </w:p>
    <w:p w14:paraId="1841DB60" w14:textId="77777777" w:rsidR="00DE64DA" w:rsidRDefault="00B9463B">
      <w:pPr>
        <w:spacing w:line="312" w:lineRule="auto"/>
        <w:jc w:val="center"/>
        <w:rPr>
          <w:rFonts w:ascii="黑体" w:eastAsia="黑体" w:hAnsi="黑体" w:hint="eastAsia"/>
          <w:b/>
          <w:sz w:val="24"/>
          <w:u w:val="single"/>
        </w:rPr>
      </w:pPr>
      <w:r>
        <w:rPr>
          <w:rFonts w:ascii="黑体" w:eastAsia="黑体" w:hAnsi="黑体" w:hint="eastAsia"/>
          <w:b/>
          <w:sz w:val="24"/>
          <w:u w:val="single"/>
        </w:rPr>
        <w:t>理财产品过往业绩不代表其未来表现，不等于理财产品实际收益，投资须谨慎。</w:t>
      </w:r>
    </w:p>
    <w:p w14:paraId="539E5063" w14:textId="77777777" w:rsidR="00DE64DA" w:rsidRDefault="00B9463B">
      <w:pPr>
        <w:spacing w:line="312" w:lineRule="auto"/>
        <w:ind w:firstLine="555"/>
        <w:rPr>
          <w:rFonts w:ascii="黑体" w:eastAsia="黑体" w:hAnsi="黑体" w:hint="eastAsia"/>
          <w:sz w:val="24"/>
        </w:rPr>
      </w:pPr>
      <w:r>
        <w:rPr>
          <w:rFonts w:ascii="黑体" w:eastAsia="黑体" w:hAnsi="黑体" w:hint="eastAsia"/>
          <w:sz w:val="24"/>
        </w:rPr>
        <w:t>本产品</w:t>
      </w:r>
      <w:r>
        <w:rPr>
          <w:rFonts w:ascii="黑体" w:eastAsia="黑体" w:hAnsi="黑体"/>
          <w:sz w:val="24"/>
        </w:rPr>
        <w:t>系宁银理财有限</w:t>
      </w:r>
      <w:r>
        <w:rPr>
          <w:rFonts w:ascii="黑体" w:eastAsia="黑体" w:hAnsi="黑体" w:hint="eastAsia"/>
          <w:sz w:val="24"/>
        </w:rPr>
        <w:t>责任</w:t>
      </w:r>
      <w:r>
        <w:rPr>
          <w:rFonts w:ascii="黑体" w:eastAsia="黑体" w:hAnsi="黑体"/>
          <w:sz w:val="24"/>
        </w:rPr>
        <w:t>公司</w:t>
      </w:r>
      <w:r>
        <w:rPr>
          <w:rFonts w:ascii="黑体" w:eastAsia="黑体" w:hAnsi="黑体" w:hint="eastAsia"/>
          <w:sz w:val="24"/>
        </w:rPr>
        <w:t>（下称“宁银理财”或“本公司”）</w:t>
      </w:r>
      <w:r>
        <w:rPr>
          <w:rFonts w:ascii="黑体" w:eastAsia="黑体" w:hAnsi="黑体"/>
          <w:sz w:val="24"/>
        </w:rPr>
        <w:t>发行</w:t>
      </w:r>
      <w:r>
        <w:rPr>
          <w:rFonts w:ascii="黑体" w:eastAsia="黑体" w:hAnsi="黑体" w:hint="eastAsia"/>
          <w:sz w:val="24"/>
        </w:rPr>
        <w:t>运作</w:t>
      </w:r>
      <w:r>
        <w:rPr>
          <w:rFonts w:ascii="黑体" w:eastAsia="黑体" w:hAnsi="黑体"/>
          <w:sz w:val="24"/>
        </w:rPr>
        <w:t>的</w:t>
      </w:r>
      <w:r>
        <w:rPr>
          <w:rFonts w:ascii="黑体" w:eastAsia="黑体" w:hAnsi="黑体"/>
          <w:b/>
          <w:sz w:val="24"/>
        </w:rPr>
        <w:t>非保本</w:t>
      </w:r>
      <w:r>
        <w:rPr>
          <w:rFonts w:ascii="黑体" w:eastAsia="黑体" w:hAnsi="黑体"/>
          <w:sz w:val="24"/>
        </w:rPr>
        <w:t>理财产品，</w:t>
      </w:r>
      <w:r>
        <w:rPr>
          <w:rFonts w:ascii="黑体" w:eastAsia="黑体" w:hAnsi="黑体" w:hint="eastAsia"/>
          <w:sz w:val="24"/>
        </w:rPr>
        <w:t>在本产品下</w:t>
      </w:r>
      <w:r>
        <w:rPr>
          <w:rFonts w:ascii="黑体" w:eastAsia="黑体" w:hAnsi="黑体"/>
          <w:sz w:val="24"/>
        </w:rPr>
        <w:t>，</w:t>
      </w:r>
      <w:r>
        <w:rPr>
          <w:rFonts w:ascii="黑体" w:eastAsia="黑体" w:hAnsi="黑体" w:hint="eastAsia"/>
          <w:sz w:val="24"/>
        </w:rPr>
        <w:t>您</w:t>
      </w:r>
      <w:r>
        <w:rPr>
          <w:rFonts w:ascii="黑体" w:eastAsia="黑体" w:hAnsi="黑体"/>
          <w:sz w:val="24"/>
        </w:rPr>
        <w:t>委托</w:t>
      </w:r>
      <w:r>
        <w:rPr>
          <w:rFonts w:ascii="黑体" w:eastAsia="黑体" w:hAnsi="黑体" w:hint="eastAsia"/>
          <w:sz w:val="24"/>
        </w:rPr>
        <w:t>本</w:t>
      </w:r>
      <w:r>
        <w:rPr>
          <w:rFonts w:ascii="黑体" w:eastAsia="黑体" w:hAnsi="黑体"/>
          <w:sz w:val="24"/>
        </w:rPr>
        <w:t>公司</w:t>
      </w:r>
      <w:r>
        <w:rPr>
          <w:rFonts w:ascii="黑体" w:eastAsia="黑体" w:hAnsi="黑体" w:hint="eastAsia"/>
          <w:sz w:val="24"/>
        </w:rPr>
        <w:t>对理财产品资金进行投资管理</w:t>
      </w:r>
      <w:r>
        <w:rPr>
          <w:rFonts w:ascii="黑体" w:eastAsia="黑体" w:hAnsi="黑体"/>
          <w:sz w:val="24"/>
        </w:rPr>
        <w:t>，</w:t>
      </w:r>
      <w:r>
        <w:rPr>
          <w:rFonts w:ascii="黑体" w:eastAsia="黑体" w:hAnsi="黑体" w:hint="eastAsia"/>
          <w:sz w:val="24"/>
        </w:rPr>
        <w:t>本公司</w:t>
      </w:r>
      <w:r>
        <w:rPr>
          <w:rFonts w:ascii="黑体" w:eastAsia="黑体" w:hAnsi="黑体"/>
          <w:sz w:val="24"/>
        </w:rPr>
        <w:t>将</w:t>
      </w:r>
      <w:r>
        <w:rPr>
          <w:rFonts w:ascii="黑体" w:eastAsia="黑体" w:hAnsi="黑体" w:hint="eastAsia"/>
          <w:sz w:val="24"/>
        </w:rPr>
        <w:t>按照约定条件和实际投资收益情况向您支付收益，不保证本金支付和收益水平</w:t>
      </w:r>
      <w:r>
        <w:rPr>
          <w:rFonts w:ascii="黑体" w:eastAsia="黑体" w:hAnsi="黑体"/>
          <w:sz w:val="24"/>
        </w:rPr>
        <w:t>。</w:t>
      </w:r>
    </w:p>
    <w:p w14:paraId="51D0B655" w14:textId="77777777" w:rsidR="00DE64DA" w:rsidRDefault="00B9463B">
      <w:pPr>
        <w:spacing w:line="312" w:lineRule="auto"/>
        <w:ind w:firstLine="555"/>
        <w:rPr>
          <w:rFonts w:ascii="黑体" w:eastAsia="黑体" w:hAnsi="黑体" w:hint="eastAsia"/>
          <w:sz w:val="24"/>
        </w:rPr>
      </w:pPr>
      <w:r>
        <w:rPr>
          <w:rFonts w:ascii="黑体" w:eastAsia="黑体" w:hAnsi="黑体" w:hint="eastAsia"/>
          <w:b/>
          <w:sz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eastAsia="黑体" w:hAnsi="黑体"/>
          <w:b/>
          <w:sz w:val="24"/>
        </w:rPr>
        <w:t>您已</w:t>
      </w:r>
      <w:r>
        <w:rPr>
          <w:rFonts w:ascii="黑体" w:eastAsia="黑体" w:hAnsi="黑体" w:hint="eastAsia"/>
          <w:b/>
          <w:sz w:val="24"/>
        </w:rPr>
        <w:t>了解自己的风险承受能力、</w:t>
      </w:r>
      <w:r>
        <w:rPr>
          <w:rFonts w:ascii="黑体" w:eastAsia="黑体" w:hAnsi="黑体"/>
          <w:b/>
          <w:sz w:val="24"/>
        </w:rPr>
        <w:t>理财</w:t>
      </w:r>
      <w:r>
        <w:rPr>
          <w:rFonts w:ascii="黑体" w:eastAsia="黑体" w:hAnsi="黑体" w:hint="eastAsia"/>
          <w:b/>
          <w:sz w:val="24"/>
        </w:rPr>
        <w:t>产品具体信息及风险后，谨慎投资。如影响您风险承受能力的因素发生变化，请及时更新风险承受能力评估。</w:t>
      </w:r>
    </w:p>
    <w:p w14:paraId="4014FA89" w14:textId="77777777" w:rsidR="00DE64DA" w:rsidRDefault="00B9463B">
      <w:pPr>
        <w:spacing w:line="312" w:lineRule="auto"/>
        <w:ind w:left="63" w:firstLine="480"/>
        <w:rPr>
          <w:rFonts w:ascii="黑体" w:eastAsia="黑体" w:hAnsi="黑体" w:cs="Courier New" w:hint="eastAsia"/>
          <w:b/>
          <w:bCs/>
          <w:sz w:val="24"/>
        </w:rPr>
      </w:pPr>
      <w:r>
        <w:rPr>
          <w:rFonts w:ascii="黑体" w:eastAsia="黑体" w:hAnsi="黑体" w:hint="eastAsia"/>
          <w:sz w:val="24"/>
        </w:rPr>
        <w:t>购买本</w:t>
      </w:r>
      <w:r>
        <w:rPr>
          <w:rFonts w:ascii="黑体" w:eastAsia="黑体" w:hAnsi="黑体"/>
          <w:sz w:val="24"/>
        </w:rPr>
        <w:t>理财产品</w:t>
      </w:r>
      <w:r>
        <w:rPr>
          <w:rFonts w:ascii="黑体" w:eastAsia="黑体" w:hAnsi="黑体" w:hint="eastAsia"/>
          <w:sz w:val="24"/>
        </w:rPr>
        <w:t>，您将可能面临包括但不限于以下风险：</w:t>
      </w:r>
    </w:p>
    <w:p w14:paraId="79C68B11" w14:textId="77777777" w:rsidR="00DE64DA" w:rsidRDefault="00B9463B">
      <w:pPr>
        <w:spacing w:line="276" w:lineRule="auto"/>
        <w:ind w:left="63" w:firstLine="482"/>
        <w:rPr>
          <w:rFonts w:ascii="黑体" w:eastAsia="黑体" w:hAnsi="黑体" w:hint="eastAsia"/>
          <w:b/>
          <w:sz w:val="24"/>
        </w:rPr>
      </w:pPr>
      <w:r>
        <w:rPr>
          <w:rFonts w:ascii="黑体" w:eastAsia="黑体" w:hAnsi="黑体"/>
          <w:b/>
          <w:sz w:val="24"/>
        </w:rPr>
        <w:t>1</w:t>
      </w:r>
      <w:r>
        <w:rPr>
          <w:rFonts w:ascii="黑体" w:eastAsia="黑体" w:hAnsi="黑体" w:hint="eastAsia"/>
          <w:b/>
          <w:sz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2479B0AA"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2</w:t>
      </w:r>
      <w:r>
        <w:rPr>
          <w:rFonts w:ascii="黑体" w:eastAsia="黑体" w:hAnsi="黑体" w:hint="eastAsia"/>
          <w:b/>
          <w:sz w:val="24"/>
        </w:rPr>
        <w:t>、信用风险：理财产品所投资产的相关债务人或关联责任人（包括但不限于担保人）等信用状况恶化、不能如期履约的风险。</w:t>
      </w:r>
    </w:p>
    <w:p w14:paraId="3A16A3FE" w14:textId="77777777" w:rsidR="00DE64DA" w:rsidRDefault="00B9463B">
      <w:pPr>
        <w:spacing w:line="312" w:lineRule="auto"/>
        <w:ind w:left="63" w:firstLine="482"/>
        <w:rPr>
          <w:rFonts w:ascii="黑体" w:eastAsia="黑体" w:hAnsi="黑体" w:hint="eastAsia"/>
          <w:b/>
          <w:sz w:val="24"/>
        </w:rPr>
      </w:pPr>
      <w:r>
        <w:rPr>
          <w:rFonts w:ascii="黑体" w:eastAsia="黑体" w:hAnsi="黑体" w:cs="Courier New"/>
          <w:b/>
          <w:bCs/>
          <w:sz w:val="24"/>
        </w:rPr>
        <w:t>3</w:t>
      </w:r>
      <w:r>
        <w:rPr>
          <w:rFonts w:ascii="黑体" w:eastAsia="黑体" w:hAnsi="黑体" w:cs="Courier New" w:hint="eastAsia"/>
          <w:b/>
          <w:bCs/>
          <w:sz w:val="24"/>
        </w:rPr>
        <w:t>、</w:t>
      </w:r>
      <w:r>
        <w:rPr>
          <w:rFonts w:ascii="黑体" w:eastAsia="黑体" w:hAnsi="黑体" w:hint="eastAsia"/>
          <w:b/>
          <w:sz w:val="24"/>
        </w:rPr>
        <w:t>理财产品不成立风险：如理财产品募集期届满，发生本理财产品难以成立的情况，宁银理财有权宣布本理财产品不成立。</w:t>
      </w:r>
    </w:p>
    <w:p w14:paraId="567C45B8"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b/>
          <w:bCs/>
          <w:sz w:val="24"/>
        </w:rPr>
        <w:t>4</w:t>
      </w:r>
      <w:r>
        <w:rPr>
          <w:rFonts w:ascii="黑体" w:eastAsia="黑体" w:hAnsi="黑体" w:cs="Courier New" w:hint="eastAsia"/>
          <w:b/>
          <w:bCs/>
          <w:sz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eastAsia="黑体" w:hAnsi="黑体" w:cs="Courier New"/>
          <w:b/>
          <w:bCs/>
          <w:sz w:val="24"/>
        </w:rPr>
        <w:t>明确投资期限的理财产品，</w:t>
      </w:r>
      <w:r>
        <w:rPr>
          <w:rFonts w:ascii="黑体" w:eastAsia="黑体" w:hAnsi="黑体" w:cs="Courier New" w:hint="eastAsia"/>
          <w:b/>
          <w:bCs/>
          <w:sz w:val="24"/>
        </w:rPr>
        <w:t>在存续期内如果您产生流动性需求，可能面临理财产品投资期限与资金需求日不匹配的流动性风险。此外</w:t>
      </w:r>
      <w:r>
        <w:rPr>
          <w:rFonts w:ascii="黑体" w:eastAsia="黑体" w:hAnsi="黑体" w:cs="Courier New"/>
          <w:b/>
          <w:bCs/>
          <w:sz w:val="24"/>
        </w:rPr>
        <w:t>，</w:t>
      </w:r>
      <w:r>
        <w:rPr>
          <w:rFonts w:ascii="黑体" w:eastAsia="黑体" w:hAnsi="黑体" w:cs="Courier New" w:hint="eastAsia"/>
          <w:b/>
          <w:bCs/>
          <w:sz w:val="24"/>
        </w:rPr>
        <w:t>针对</w:t>
      </w:r>
      <w:r>
        <w:rPr>
          <w:rFonts w:ascii="黑体" w:eastAsia="黑体" w:hAnsi="黑体" w:cs="Courier New"/>
          <w:b/>
          <w:bCs/>
          <w:sz w:val="24"/>
        </w:rPr>
        <w:t>开放式产品，</w:t>
      </w:r>
      <w:r>
        <w:rPr>
          <w:rFonts w:ascii="黑体" w:eastAsia="黑体" w:hAnsi="黑体" w:cs="Courier New" w:hint="eastAsia"/>
          <w:b/>
          <w:bCs/>
          <w:sz w:val="24"/>
        </w:rPr>
        <w:t>投资者只能在开放期的交易时间内进行申购、赎回，开放期内若发生巨额赎回，投资者将面临不能及时赎回理财产品的流动性风险。</w:t>
      </w:r>
    </w:p>
    <w:p w14:paraId="1ABA57BB"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hint="eastAsia"/>
          <w:b/>
          <w:bCs/>
          <w:sz w:val="24"/>
        </w:rPr>
        <w:t>宁银理财可以依照法律法规及产品说明书的约定，综合运用各项理财产品流动性风险应对措施：</w:t>
      </w:r>
    </w:p>
    <w:p w14:paraId="24B61F51"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hint="eastAsia"/>
          <w:b/>
          <w:bCs/>
          <w:sz w:val="24"/>
        </w:rPr>
        <w:lastRenderedPageBreak/>
        <w:t>（一）认购风险应对措施，包括：设定单一投资者认购金额上限、设定理财产品单日净认购比例上限、拒绝大额认购、暂停认购，以及国家金融监督管理总局规定的其他措施；</w:t>
      </w:r>
    </w:p>
    <w:p w14:paraId="20F0135C"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hint="eastAsia"/>
          <w:b/>
          <w:bCs/>
          <w:sz w:val="24"/>
        </w:rPr>
        <w:t>（二）赎回风险应对措施，包括：设置赎回上限、延期办理巨额赎回申请、暂停接受赎回申请、延缓支付赎回款项、收取短期赎回费、暂停理财产品估值、摆动定价，以及国家金融监督管理总局规定的其他措施。</w:t>
      </w:r>
    </w:p>
    <w:p w14:paraId="042E7C13"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b/>
          <w:bCs/>
          <w:sz w:val="24"/>
        </w:rPr>
        <w:t>上述</w:t>
      </w:r>
      <w:r>
        <w:rPr>
          <w:rFonts w:ascii="黑体" w:eastAsia="黑体" w:hAnsi="黑体" w:cs="Courier New" w:hint="eastAsia"/>
          <w:b/>
          <w:bCs/>
          <w:sz w:val="24"/>
        </w:rPr>
        <w:t>理财产品流动性风险应对措施</w:t>
      </w:r>
      <w:r>
        <w:rPr>
          <w:rFonts w:ascii="黑体" w:eastAsia="黑体" w:hAnsi="黑体" w:cs="Courier New"/>
          <w:b/>
          <w:bCs/>
          <w:sz w:val="24"/>
        </w:rPr>
        <w:t>可能</w:t>
      </w:r>
      <w:r>
        <w:rPr>
          <w:rFonts w:ascii="黑体" w:eastAsia="黑体" w:hAnsi="黑体" w:cs="Courier New" w:hint="eastAsia"/>
          <w:b/>
          <w:bCs/>
          <w:sz w:val="24"/>
        </w:rPr>
        <w:t>导致无法满足投资者对产品的部分或全部认（申）购或赎回需求，进而</w:t>
      </w:r>
      <w:r>
        <w:rPr>
          <w:rFonts w:ascii="黑体" w:eastAsia="黑体" w:hAnsi="黑体" w:cs="Courier New"/>
          <w:b/>
          <w:bCs/>
          <w:sz w:val="24"/>
        </w:rPr>
        <w:t>影响投资者的资金流动性安排。</w:t>
      </w:r>
      <w:r>
        <w:rPr>
          <w:rFonts w:ascii="黑体" w:eastAsia="黑体" w:hAnsi="黑体" w:cs="Courier New" w:hint="eastAsia"/>
          <w:b/>
          <w:bCs/>
          <w:sz w:val="24"/>
        </w:rPr>
        <w:t>当产品管理人根据产品说明书中与投资者事先约定的相关措施的处理方法和程序接受投资者的认（申）购申请时，可能会造成理财产品投资收益摊薄、后续发生巨额赎回可能性增加等潜在影响。</w:t>
      </w:r>
    </w:p>
    <w:p w14:paraId="4FF558F4"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14:paraId="0171F0C7"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6</w:t>
      </w:r>
      <w:r>
        <w:rPr>
          <w:rFonts w:ascii="黑体" w:eastAsia="黑体" w:hAnsi="黑体" w:hint="eastAsia"/>
          <w:b/>
          <w:sz w:val="24"/>
        </w:rPr>
        <w:t>、提前终止风险：在理财产品存续期内，宁银理财有权在特定情况下提前终止理财产品，一旦产品被提前终止，您可能面临不能继续持有产品的风险。</w:t>
      </w:r>
    </w:p>
    <w:p w14:paraId="30B8E6E7"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7</w:t>
      </w:r>
      <w:r>
        <w:rPr>
          <w:rFonts w:ascii="黑体" w:eastAsia="黑体" w:hAnsi="黑体" w:hint="eastAsia"/>
          <w:b/>
          <w:sz w:val="24"/>
        </w:rPr>
        <w:t>、延期风险：理财产品到期或您决定赎回本产品时，若出现所投资产无法顺利变现、市场发生重大变动或其他宁银理财认为需要延期支付的情形时，本产品将面临无法按时支付相关款项的风险。</w:t>
      </w:r>
    </w:p>
    <w:p w14:paraId="4AAAB3F4"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8</w:t>
      </w:r>
      <w:r>
        <w:rPr>
          <w:rFonts w:ascii="黑体" w:eastAsia="黑体" w:hAnsi="黑体" w:hint="eastAsia"/>
          <w:b/>
          <w:sz w:val="24"/>
        </w:rPr>
        <w:t>、政策风险：理财产品在运作过程中，由于国家宏观政策以及市场相关法律法规、监管规定发生变化，导致产品的发行、投资、兑付等流程受到影响，进而影响产品的投资运作和收益的风险。</w:t>
      </w:r>
    </w:p>
    <w:p w14:paraId="615CF49F"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9</w:t>
      </w:r>
      <w:r>
        <w:rPr>
          <w:rFonts w:ascii="黑体" w:eastAsia="黑体" w:hAnsi="黑体" w:hint="eastAsia"/>
          <w:b/>
          <w:sz w:val="24"/>
        </w:rPr>
        <w:t>、信息传递风险：宁银理财将于理财产品募集期间、存续期间和终止时，通过本公司官网（</w:t>
      </w:r>
      <w:r>
        <w:rPr>
          <w:rFonts w:ascii="黑体" w:eastAsia="黑体" w:hAnsi="黑体"/>
          <w:b/>
          <w:sz w:val="24"/>
        </w:rPr>
        <w:t>www.wmbnb.com</w:t>
      </w:r>
      <w:r>
        <w:rPr>
          <w:rFonts w:ascii="黑体" w:eastAsia="黑体" w:hAnsi="黑体" w:hint="eastAsia"/>
          <w:b/>
          <w:sz w:val="24"/>
        </w:rPr>
        <w:t>）、相关理财代理销售机构官方渠道或其他适当的方式进行信息披露（具体产品的信息披露方式、频率等规则见《理财产品说明书》）。宁银理财或</w:t>
      </w:r>
      <w:r>
        <w:rPr>
          <w:rFonts w:ascii="黑体" w:eastAsia="黑体" w:hAnsi="黑体"/>
          <w:b/>
          <w:sz w:val="24"/>
        </w:rPr>
        <w:t>代理销售机构通过</w:t>
      </w:r>
      <w:r>
        <w:rPr>
          <w:rFonts w:ascii="黑体" w:eastAsia="黑体" w:hAnsi="黑体" w:hint="eastAsia"/>
          <w:b/>
          <w:sz w:val="24"/>
        </w:rPr>
        <w:t>理财产品销售</w:t>
      </w:r>
      <w:r>
        <w:rPr>
          <w:rFonts w:ascii="黑体" w:eastAsia="黑体" w:hAnsi="黑体"/>
          <w:b/>
          <w:sz w:val="24"/>
        </w:rPr>
        <w:t>文件约定方式披露信息后，</w:t>
      </w:r>
      <w:r>
        <w:rPr>
          <w:rFonts w:ascii="黑体" w:eastAsia="黑体" w:hAnsi="黑体" w:hint="eastAsia"/>
          <w:b/>
          <w:sz w:val="24"/>
        </w:rPr>
        <w:t>视为本公司已</w:t>
      </w:r>
      <w:r>
        <w:rPr>
          <w:rFonts w:ascii="黑体" w:eastAsia="黑体" w:hAnsi="黑体"/>
          <w:b/>
          <w:sz w:val="24"/>
        </w:rPr>
        <w:t>向</w:t>
      </w:r>
      <w:r>
        <w:rPr>
          <w:rFonts w:ascii="黑体" w:eastAsia="黑体" w:hAnsi="黑体" w:hint="eastAsia"/>
          <w:b/>
          <w:sz w:val="24"/>
        </w:rPr>
        <w:t>您</w:t>
      </w:r>
      <w:r>
        <w:rPr>
          <w:rFonts w:ascii="黑体" w:eastAsia="黑体" w:hAnsi="黑体"/>
          <w:b/>
          <w:sz w:val="24"/>
        </w:rPr>
        <w:t>完全履行信息披露义务</w:t>
      </w:r>
      <w:r>
        <w:rPr>
          <w:rFonts w:ascii="黑体" w:eastAsia="黑体" w:hAnsi="黑体" w:hint="eastAsia"/>
          <w:b/>
          <w:sz w:val="24"/>
        </w:rPr>
        <w:t>，您可依据理财产品销售文件的约定，及时登录本</w:t>
      </w:r>
      <w:r>
        <w:rPr>
          <w:rFonts w:ascii="黑体" w:eastAsia="黑体" w:hAnsi="黑体"/>
          <w:b/>
          <w:sz w:val="24"/>
        </w:rPr>
        <w:t>公司/代理销售机构</w:t>
      </w:r>
      <w:r>
        <w:rPr>
          <w:rFonts w:ascii="黑体" w:eastAsia="黑体" w:hAnsi="黑体" w:hint="eastAsia"/>
          <w:b/>
          <w:sz w:val="24"/>
        </w:rPr>
        <w:t>网站或</w:t>
      </w:r>
      <w:r>
        <w:rPr>
          <w:rFonts w:ascii="黑体" w:eastAsia="黑体" w:hAnsi="黑体"/>
          <w:b/>
          <w:sz w:val="24"/>
        </w:rPr>
        <w:t>致电</w:t>
      </w:r>
      <w:r>
        <w:rPr>
          <w:rFonts w:ascii="黑体" w:eastAsia="黑体" w:hAnsi="黑体" w:hint="eastAsia"/>
          <w:b/>
          <w:sz w:val="24"/>
        </w:rPr>
        <w:t>本</w:t>
      </w:r>
      <w:r>
        <w:rPr>
          <w:rFonts w:ascii="黑体" w:eastAsia="黑体" w:hAnsi="黑体"/>
          <w:b/>
          <w:sz w:val="24"/>
        </w:rPr>
        <w:t>公司/代理销售机构</w:t>
      </w:r>
      <w:r>
        <w:rPr>
          <w:rFonts w:ascii="黑体" w:eastAsia="黑体" w:hAnsi="黑体" w:hint="eastAsia"/>
          <w:b/>
          <w:sz w:val="24"/>
        </w:rPr>
        <w:t>客户服务</w:t>
      </w:r>
      <w:r>
        <w:rPr>
          <w:rFonts w:ascii="黑体" w:eastAsia="黑体" w:hAnsi="黑体"/>
          <w:b/>
          <w:sz w:val="24"/>
        </w:rPr>
        <w:t>热线（</w:t>
      </w:r>
      <w:r>
        <w:rPr>
          <w:rFonts w:ascii="黑体" w:eastAsia="黑体" w:hAnsi="黑体" w:hint="eastAsia"/>
          <w:b/>
          <w:sz w:val="24"/>
        </w:rPr>
        <w:t>宁银理财：400-099-5574；代理销售机构联系方式详见《理财产品说明书》</w:t>
      </w:r>
      <w:r>
        <w:rPr>
          <w:rFonts w:ascii="黑体" w:eastAsia="黑体" w:hAnsi="黑体"/>
          <w:b/>
          <w:sz w:val="24"/>
        </w:rPr>
        <w:t>）</w:t>
      </w:r>
      <w:r>
        <w:rPr>
          <w:rFonts w:ascii="黑体" w:eastAsia="黑体" w:hAnsi="黑体" w:hint="eastAsia"/>
          <w:b/>
          <w:sz w:val="24"/>
        </w:rPr>
        <w:t>查询。如因您未及时查询，或因通讯、系统故障或其他不可抗力等因素的影响，致使您无法及时了解理财产品信息，所产生的责任和风险将由</w:t>
      </w:r>
      <w:r>
        <w:rPr>
          <w:rFonts w:ascii="黑体" w:eastAsia="黑体" w:hAnsi="黑体"/>
          <w:b/>
          <w:sz w:val="24"/>
        </w:rPr>
        <w:t>您</w:t>
      </w:r>
      <w:r>
        <w:rPr>
          <w:rFonts w:ascii="黑体" w:eastAsia="黑体" w:hAnsi="黑体" w:hint="eastAsia"/>
          <w:b/>
          <w:sz w:val="24"/>
        </w:rPr>
        <w:t>自行承担。</w:t>
      </w:r>
    </w:p>
    <w:p w14:paraId="2C791FBA"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您预留在</w:t>
      </w:r>
      <w:r>
        <w:rPr>
          <w:rFonts w:ascii="黑体" w:eastAsia="黑体" w:hAnsi="黑体"/>
          <w:b/>
          <w:sz w:val="24"/>
        </w:rPr>
        <w:t>公司</w:t>
      </w:r>
      <w:r>
        <w:rPr>
          <w:rFonts w:ascii="黑体" w:eastAsia="黑体" w:hAnsi="黑体" w:hint="eastAsia"/>
          <w:b/>
          <w:sz w:val="24"/>
        </w:rPr>
        <w:t>或代理销售机构的有效联系方式若发生变更，应及时通知</w:t>
      </w:r>
      <w:r>
        <w:rPr>
          <w:rFonts w:ascii="黑体" w:eastAsia="黑体" w:hAnsi="黑体"/>
          <w:b/>
          <w:sz w:val="24"/>
        </w:rPr>
        <w:t>公</w:t>
      </w:r>
      <w:r>
        <w:rPr>
          <w:rFonts w:ascii="黑体" w:eastAsia="黑体" w:hAnsi="黑体"/>
          <w:b/>
          <w:sz w:val="24"/>
        </w:rPr>
        <w:lastRenderedPageBreak/>
        <w:t>司</w:t>
      </w:r>
      <w:r>
        <w:rPr>
          <w:rFonts w:ascii="黑体" w:eastAsia="黑体" w:hAnsi="黑体" w:hint="eastAsia"/>
          <w:b/>
          <w:sz w:val="24"/>
        </w:rPr>
        <w:t>或代理销售机构，如因您未及时告知，导致公司或代理销售机构无法及时联系您，由此产生的责任和风险将由</w:t>
      </w:r>
      <w:r>
        <w:rPr>
          <w:rFonts w:ascii="黑体" w:eastAsia="黑体" w:hAnsi="黑体"/>
          <w:b/>
          <w:sz w:val="24"/>
        </w:rPr>
        <w:t>您</w:t>
      </w:r>
      <w:r>
        <w:rPr>
          <w:rFonts w:ascii="黑体" w:eastAsia="黑体" w:hAnsi="黑体" w:hint="eastAsia"/>
          <w:b/>
          <w:sz w:val="24"/>
        </w:rPr>
        <w:t>自行承担。</w:t>
      </w:r>
    </w:p>
    <w:p w14:paraId="2A8034AB"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b/>
          <w:bCs/>
          <w:sz w:val="24"/>
        </w:rPr>
        <w:t>10</w:t>
      </w:r>
      <w:r>
        <w:rPr>
          <w:rFonts w:ascii="黑体" w:eastAsia="黑体" w:hAnsi="黑体" w:cs="Courier New" w:hint="eastAsia"/>
          <w:b/>
          <w:bCs/>
          <w:sz w:val="24"/>
        </w:rPr>
        <w:t>、汇率风险：当理财产品的投资涉及非本国货币时，存在汇率波动带来的风险。</w:t>
      </w:r>
    </w:p>
    <w:p w14:paraId="22B8FB7F"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11</w:t>
      </w:r>
      <w:r>
        <w:rPr>
          <w:rFonts w:ascii="黑体" w:eastAsia="黑体" w:hAnsi="黑体" w:hint="eastAsia"/>
          <w:b/>
          <w:sz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eastAsia="黑体" w:hAnsi="黑体"/>
          <w:b/>
          <w:sz w:val="24"/>
        </w:rPr>
        <w:t>产品投资业绩</w:t>
      </w:r>
      <w:r>
        <w:rPr>
          <w:rFonts w:ascii="黑体" w:eastAsia="黑体" w:hAnsi="黑体" w:hint="eastAsia"/>
          <w:b/>
          <w:sz w:val="24"/>
        </w:rPr>
        <w:t>。</w:t>
        <w:br/>
        <w:t xml:space="preserve">    12、特别风险提示：</w:t>
        <w:br/>
        <w:t xml:space="preserve">    本产品计划投资于商品及金融衍生品类资产，投资于以上资产可能面临包括但不限于以下持仓风险：</w:t>
        <w:br/>
        <w:t xml:space="preserve">   （一）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二）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r>
    </w:p>
    <w:p w14:paraId="7F03C837" w14:textId="77777777" w:rsidR="00DE64DA" w:rsidRDefault="00B9463B">
      <w:pPr>
        <w:spacing w:line="312" w:lineRule="auto"/>
        <w:rPr>
          <w:rFonts w:ascii="黑体" w:eastAsia="黑体" w:hAnsi="黑体" w:hint="eastAsia"/>
          <w:b/>
          <w:bCs/>
          <w:sz w:val="24"/>
        </w:rPr>
      </w:pPr>
      <w:r>
        <w:rPr>
          <w:rFonts w:ascii="黑体" w:eastAsia="黑体" w:hAnsi="黑体"/>
          <w:b/>
          <w:bCs/>
          <w:sz w:val="24"/>
        </w:rPr>
        <w:t/>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14:paraId="63B44784" w14:textId="77777777" w:rsidR="00DE64DA" w:rsidRDefault="00B9463B">
      <w:pPr>
        <w:spacing w:line="312" w:lineRule="auto"/>
        <w:ind w:firstLine="482"/>
        <w:rPr>
          <w:rFonts w:ascii="黑体" w:eastAsia="黑体" w:hAnsi="黑体" w:hint="eastAsia"/>
          <w:b/>
          <w:bCs/>
          <w:sz w:val="24"/>
        </w:rPr>
      </w:pPr>
      <w:r>
        <w:rPr>
          <w:rFonts w:ascii="黑体" w:eastAsia="黑体" w:hAnsi="黑体" w:hint="eastAsia"/>
          <w:b/>
          <w:sz w:val="24"/>
        </w:rPr>
        <w:t>上述风险发生时，您的本金及收益可能遭受损失，在最不利情况下，您将损失全部的本金及收益，由此产生的风险及损失将由</w:t>
      </w:r>
      <w:r>
        <w:rPr>
          <w:rFonts w:ascii="黑体" w:eastAsia="黑体" w:hAnsi="黑体"/>
          <w:b/>
          <w:sz w:val="24"/>
        </w:rPr>
        <w:t>您</w:t>
      </w:r>
      <w:r>
        <w:rPr>
          <w:rFonts w:ascii="黑体" w:eastAsia="黑体" w:hAnsi="黑体" w:hint="eastAsia"/>
          <w:b/>
          <w:sz w:val="24"/>
        </w:rPr>
        <w:t>自行承担。</w:t>
      </w:r>
    </w:p>
    <w:p w14:paraId="4B0D6BB1" w14:textId="77777777" w:rsidR="00DE64DA" w:rsidRDefault="00DE64DA">
      <w:pPr>
        <w:spacing w:line="312" w:lineRule="auto"/>
        <w:ind w:left="63" w:firstLine="480"/>
        <w:rPr>
          <w:rFonts w:ascii="黑体" w:eastAsia="黑体" w:hAnsi="黑体" w:hint="eastAsia"/>
          <w:sz w:val="24"/>
        </w:rPr>
      </w:pPr>
    </w:p>
    <w:p w14:paraId="3E207ACC"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根据现行法律法规对于理财</w:t>
      </w:r>
      <w:r>
        <w:rPr>
          <w:rFonts w:ascii="黑体" w:eastAsia="黑体" w:hAnsi="黑体"/>
          <w:sz w:val="24"/>
        </w:rPr>
        <w:t>产品的分类</w:t>
      </w:r>
      <w:r>
        <w:rPr>
          <w:rFonts w:ascii="黑体" w:eastAsia="黑体" w:hAnsi="黑体" w:hint="eastAsia"/>
          <w:sz w:val="24"/>
        </w:rPr>
        <w:t>，您还需要了解以下信息：</w:t>
      </w:r>
    </w:p>
    <w:p w14:paraId="059B1EA6" w14:textId="77777777" w:rsidR="00DE64DA" w:rsidRDefault="00B9463B">
      <w:pPr>
        <w:spacing w:line="312" w:lineRule="auto"/>
        <w:ind w:left="63" w:firstLine="482"/>
        <w:rPr>
          <w:rFonts w:ascii="黑体" w:eastAsia="黑体" w:hAnsi="黑体" w:hint="eastAsia"/>
          <w:sz w:val="24"/>
        </w:rPr>
      </w:pPr>
      <w:r>
        <w:rPr>
          <w:rFonts w:ascii="黑体" w:eastAsia="黑体" w:hAnsi="黑体"/>
          <w:b/>
          <w:sz w:val="24"/>
        </w:rPr>
        <w:t>1、</w:t>
      </w:r>
      <w:r>
        <w:rPr>
          <w:rFonts w:ascii="黑体" w:eastAsia="黑体" w:hAnsi="黑体" w:hint="eastAsia"/>
          <w:b/>
          <w:sz w:val="24"/>
        </w:rPr>
        <w:t>根据募集方式的不同，理财产品分为公募理财产品和私募理财产品。</w:t>
      </w:r>
      <w:r>
        <w:rPr>
          <w:rFonts w:ascii="黑体" w:eastAsia="黑体" w:hAnsi="黑体" w:hint="eastAsia"/>
          <w:sz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14:paraId="476A90F1"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（一）具有</w:t>
      </w:r>
      <w:r>
        <w:rPr>
          <w:rFonts w:ascii="黑体" w:eastAsia="黑体" w:hAnsi="黑体"/>
          <w:sz w:val="24"/>
        </w:rPr>
        <w:t>2年以上投资经历，且满足家庭金融净资产不低于300万元人民币，或者家庭金融资产不低于500万元人民币，或者近3年本人年均收入不低于40万元人民币；</w:t>
      </w:r>
    </w:p>
    <w:p w14:paraId="46B1F7DF"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（二）最近</w:t>
      </w:r>
      <w:r>
        <w:rPr>
          <w:rFonts w:ascii="黑体" w:eastAsia="黑体" w:hAnsi="黑体"/>
          <w:sz w:val="24"/>
        </w:rPr>
        <w:t>1年末净资产不低于1000万元人民币的法人或者依法成立的其他组织；</w:t>
      </w:r>
    </w:p>
    <w:p w14:paraId="0A76025A"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（三）国务院银行业监督管理机构规定的其他情形。</w:t>
      </w:r>
    </w:p>
    <w:p w14:paraId="5AF15E33" w14:textId="77777777" w:rsidR="00DE64DA" w:rsidRDefault="00B9463B">
      <w:pPr>
        <w:spacing w:line="312" w:lineRule="auto"/>
        <w:ind w:left="63" w:firstLine="482"/>
        <w:rPr>
          <w:rFonts w:ascii="黑体" w:eastAsia="黑体" w:hAnsi="黑体" w:hint="eastAsia"/>
          <w:sz w:val="24"/>
        </w:rPr>
      </w:pPr>
      <w:r>
        <w:rPr>
          <w:rFonts w:ascii="黑体" w:eastAsia="黑体" w:hAnsi="黑体"/>
          <w:b/>
          <w:sz w:val="24"/>
        </w:rPr>
        <w:t>2、</w:t>
      </w:r>
      <w:r>
        <w:rPr>
          <w:rFonts w:ascii="黑体" w:eastAsia="黑体" w:hAnsi="黑体" w:hint="eastAsia"/>
          <w:b/>
          <w:sz w:val="24"/>
        </w:rPr>
        <w:t>根据投资性质的不同，理财产品分为固定收益类理财产品、权益类理财产品、商品及金融衍生品类理财产品和混合类理财产品。</w:t>
      </w:r>
      <w:r>
        <w:rPr>
          <w:rFonts w:ascii="黑体" w:eastAsia="黑体" w:hAnsi="黑体" w:hint="eastAsia"/>
          <w:sz w:val="24"/>
        </w:rPr>
        <w:t>固定收益类理财产品投资于存款、债券等债权类资产的比例不低于</w:t>
      </w:r>
      <w:r>
        <w:rPr>
          <w:rFonts w:ascii="黑体" w:eastAsia="黑体" w:hAnsi="黑体"/>
          <w:sz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eastAsia="黑体" w:hAnsi="黑体" w:hint="eastAsia"/>
          <w:sz w:val="24"/>
        </w:rPr>
        <w:t>一资产的投资比例未达到前三类理财产品标准。</w:t>
      </w:r>
    </w:p>
    <w:p w14:paraId="141F100A" w14:textId="77777777" w:rsidR="00DE64DA" w:rsidRDefault="00B9463B">
      <w:pPr>
        <w:spacing w:line="312" w:lineRule="auto"/>
        <w:ind w:left="63" w:firstLine="482"/>
        <w:rPr>
          <w:rFonts w:ascii="黑体" w:eastAsia="黑体" w:hAnsi="黑体" w:hint="eastAsia"/>
          <w:sz w:val="24"/>
        </w:rPr>
      </w:pPr>
      <w:r>
        <w:rPr>
          <w:rFonts w:ascii="黑体" w:eastAsia="黑体" w:hAnsi="黑体"/>
          <w:b/>
          <w:sz w:val="24"/>
        </w:rPr>
        <w:t>3、</w:t>
      </w:r>
      <w:r>
        <w:rPr>
          <w:rFonts w:ascii="黑体" w:eastAsia="黑体" w:hAnsi="黑体" w:hint="eastAsia"/>
          <w:b/>
          <w:sz w:val="24"/>
        </w:rPr>
        <w:t>根据运作方式的不同，将理财产品分为封闭式理财产品和开放式理财产品。</w:t>
      </w:r>
      <w:r>
        <w:rPr>
          <w:rFonts w:ascii="黑体" w:eastAsia="黑体" w:hAnsi="黑体" w:hint="eastAsia"/>
          <w:sz w:val="24"/>
        </w:rPr>
        <w:t>封闭式理财产品是指有确定到期日，且自产品成立日至终止日期间，投资者不得进行申购或者赎回的理财产品。开放式理财产品是指自产品成立日至</w:t>
      </w:r>
      <w:r>
        <w:rPr>
          <w:rFonts w:ascii="黑体" w:eastAsia="黑体" w:hAnsi="黑体" w:hint="eastAsia"/>
          <w:sz w:val="24"/>
        </w:rPr>
        <w:lastRenderedPageBreak/>
        <w:t>终止日期间，理财产品份额总额不固定，投资者可以按照协议约定，在开放日和相应场所进行申购或者赎回的理财产品。</w:t>
      </w:r>
    </w:p>
    <w:p w14:paraId="33421E02" w14:textId="77777777" w:rsidR="00DE64DA" w:rsidRDefault="00DE64DA">
      <w:pPr>
        <w:spacing w:line="312" w:lineRule="auto"/>
        <w:ind w:left="63" w:firstLine="480"/>
        <w:rPr>
          <w:rFonts w:ascii="黑体" w:eastAsia="黑体" w:hAnsi="黑体" w:hint="eastAsia"/>
          <w:sz w:val="24"/>
        </w:rPr>
      </w:pPr>
    </w:p>
    <w:p w14:paraId="3CAC2C1F"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对于在本公司直销渠道购买的产品，产品评级以本公司的评级结果为准。对于在代理销售机构购买的产品，代理销售机构应当独立、审慎地对本理财产品进行销售评级，代理销售机构对产品的评级与本公司产品评级结果不一致的，代理销售机构应当采用对应较高风险等级的评级结果并予以披露，理财产品评级应当以代理销售机构最终披露的评级结果为准。</w:t>
      </w:r>
    </w:p>
    <w:p w14:paraId="48E8B28F" w14:textId="77777777" w:rsidR="00DE64DA" w:rsidRDefault="00B9463B">
      <w:pPr>
        <w:spacing w:line="312" w:lineRule="auto"/>
        <w:ind w:left="63" w:firstLine="482"/>
        <w:rPr>
          <w:rFonts w:ascii="黑体" w:eastAsia="黑体" w:hAnsi="黑体" w:hint="eastAsia"/>
          <w:sz w:val="24"/>
        </w:rPr>
      </w:pPr>
      <w:r>
        <w:rPr>
          <w:rFonts w:ascii="黑体" w:eastAsia="黑体" w:hAnsi="黑体" w:hint="eastAsia"/>
          <w:b/>
          <w:sz w:val="24"/>
        </w:rPr>
        <w:t>本产品为公募固定收益类封闭式理财，收益类型为非保本浮动收益,投资期限为398天,本公司对本产品的产品风险评级为PR2,适合被本公司评为稳健型,平衡型,成长型,进取型的投资者购买。</w:t>
      </w:r>
      <w:r>
        <w:rPr>
          <w:rFonts w:ascii="黑体" w:eastAsia="黑体" w:hAnsi="黑体" w:hint="eastAsia"/>
          <w:sz w:val="24"/>
        </w:rPr>
        <w:t>该产品通过代理销售机构购买的，</w:t>
      </w:r>
      <w:r>
        <w:rPr>
          <w:rFonts w:ascii="黑体" w:eastAsia="黑体" w:hAnsi="黑体"/>
          <w:sz w:val="24"/>
        </w:rPr>
        <w:t>产品风险评级</w:t>
      </w:r>
      <w:r>
        <w:rPr>
          <w:rFonts w:ascii="黑体" w:eastAsia="黑体" w:hAnsi="黑体" w:hint="eastAsia"/>
          <w:sz w:val="24"/>
        </w:rPr>
        <w:t>以代理销售机构最终披露的评级结果为准，投资者的风险承受能力等级以代理销售机构的评估结果为准。</w:t>
      </w:r>
    </w:p>
    <w:p w14:paraId="4A9A3A4C"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投资者的本金和收益可能会因市场变动而蒙受重大损失，投资者应充分认识投资风险，谨慎投资。最不利情况下，</w:t>
      </w:r>
      <w:r>
        <w:rPr>
          <w:rFonts w:ascii="黑体" w:eastAsia="黑体" w:hAnsi="黑体"/>
          <w:b/>
          <w:sz w:val="24"/>
        </w:rPr>
        <w:t>您将损失全部本金及收益。</w:t>
      </w:r>
    </w:p>
    <w:p w14:paraId="5244016F"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示例：如投资者购买本理财产品，本金为</w:t>
      </w:r>
      <w:r>
        <w:rPr>
          <w:rFonts w:ascii="黑体" w:eastAsia="黑体" w:hAnsi="黑体"/>
          <w:sz w:val="24"/>
        </w:rPr>
        <w:t>10,000.00元，在理财产品资产组合项下资产全部亏损的最不利情况下，理财产品10,000.00元本金将全部损失。</w:t>
      </w:r>
    </w:p>
    <w:p w14:paraId="24240C6C"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特别提示：</w:t>
      </w:r>
    </w:p>
    <w:p w14:paraId="371A239F" w14:textId="47FF308F"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该产品通过代理销售机构销售的，理财产品评级应当以代理销售机构最终披露的评级结果为准，投资者的风险承受能力等级以代理销售机构的评估结果为准。</w:t>
      </w:r>
    </w:p>
    <w:p w14:paraId="23F6B9BD" w14:textId="44000A26" w:rsidR="00AE7BE3" w:rsidRPr="00AE7BE3" w:rsidRDefault="00AE7BE3">
      <w:pPr>
        <w:spacing w:line="312" w:lineRule="auto"/>
        <w:ind w:left="63" w:firstLine="482"/>
        <w:rPr>
          <w:rFonts w:ascii="黑体" w:eastAsia="黑体" w:hAnsi="黑体" w:hint="eastAsia"/>
          <w:b/>
          <w:sz w:val="24"/>
        </w:rPr>
      </w:pPr>
      <w:r w:rsidRPr="00AE7BE3">
        <w:rPr>
          <w:rFonts w:ascii="黑体" w:eastAsia="黑体" w:hAnsi="黑体" w:hint="eastAsia"/>
          <w:b/>
          <w:sz w:val="24"/>
        </w:rPr>
        <w:t>投资者应综合考虑自身风险承受能力与适当性匹配意见，独立做出投资决策并承担投资风险；</w:t>
      </w:r>
      <w:r w:rsidR="00292F77">
        <w:rPr>
          <w:rFonts w:ascii="黑体" w:eastAsia="黑体" w:hAnsi="黑体" w:hint="eastAsia"/>
          <w:b/>
          <w:sz w:val="24"/>
        </w:rPr>
        <w:t>宁银理财及销售机构</w:t>
      </w:r>
      <w:r w:rsidRPr="00AE7BE3">
        <w:rPr>
          <w:rFonts w:ascii="黑体" w:eastAsia="黑体" w:hAnsi="黑体" w:hint="eastAsia"/>
          <w:b/>
          <w:sz w:val="24"/>
        </w:rPr>
        <w:t>提出的适当性匹配意见不表明其对产品的风险和收益做出实质性判断或者保证，</w:t>
      </w:r>
      <w:r w:rsidR="00292F77">
        <w:rPr>
          <w:rFonts w:ascii="黑体" w:eastAsia="黑体" w:hAnsi="黑体" w:hint="eastAsia"/>
          <w:b/>
          <w:sz w:val="24"/>
        </w:rPr>
        <w:t>宁银理财及销售机构</w:t>
      </w:r>
      <w:r w:rsidRPr="00AE7BE3">
        <w:rPr>
          <w:rFonts w:ascii="黑体" w:eastAsia="黑体" w:hAnsi="黑体" w:hint="eastAsia"/>
          <w:b/>
          <w:sz w:val="24"/>
        </w:rPr>
        <w:t>履行适当性职责不能取代投资者的投资判断，不会降低产品的固有风险，也不影响投资者依法应承担的投资风险、履约责任以及费用。</w:t>
      </w:r>
    </w:p>
    <w:p w14:paraId="10FA880F" w14:textId="77777777" w:rsidR="00DE64DA" w:rsidRDefault="00DE64DA">
      <w:pPr>
        <w:spacing w:line="312" w:lineRule="auto"/>
        <w:rPr>
          <w:rFonts w:ascii="黑体" w:eastAsia="黑体" w:hAnsi="黑体" w:hint="eastAsia"/>
          <w:sz w:val="24"/>
        </w:rPr>
      </w:pPr>
    </w:p>
    <w:p w14:paraId="518851F2"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以下内容由投资者填写（如通过线上渠道购买，</w:t>
      </w:r>
      <w:r>
        <w:rPr>
          <w:rFonts w:ascii="黑体" w:eastAsia="黑体" w:hAnsi="黑体"/>
          <w:b/>
          <w:sz w:val="24"/>
        </w:rPr>
        <w:t>认</w:t>
      </w:r>
      <w:r>
        <w:rPr>
          <w:rFonts w:ascii="黑体" w:eastAsia="黑体" w:hAnsi="黑体" w:hint="eastAsia"/>
          <w:b/>
          <w:sz w:val="24"/>
        </w:rPr>
        <w:t>（</w:t>
      </w:r>
      <w:r>
        <w:rPr>
          <w:rFonts w:ascii="黑体" w:eastAsia="黑体" w:hAnsi="黑体"/>
          <w:b/>
          <w:sz w:val="24"/>
        </w:rPr>
        <w:t>申</w:t>
      </w:r>
      <w:r>
        <w:rPr>
          <w:rFonts w:ascii="黑体" w:eastAsia="黑体" w:hAnsi="黑体" w:hint="eastAsia"/>
          <w:b/>
          <w:sz w:val="24"/>
        </w:rPr>
        <w:t>）</w:t>
      </w:r>
      <w:r>
        <w:rPr>
          <w:rFonts w:ascii="黑体" w:eastAsia="黑体" w:hAnsi="黑体"/>
          <w:b/>
          <w:sz w:val="24"/>
        </w:rPr>
        <w:t>购</w:t>
      </w:r>
      <w:r>
        <w:rPr>
          <w:rFonts w:ascii="黑体" w:eastAsia="黑体" w:hAnsi="黑体" w:hint="eastAsia"/>
          <w:b/>
          <w:sz w:val="24"/>
        </w:rPr>
        <w:t>确认</w:t>
      </w:r>
      <w:r>
        <w:rPr>
          <w:rFonts w:ascii="黑体" w:eastAsia="黑体" w:hAnsi="黑体"/>
          <w:b/>
          <w:sz w:val="24"/>
        </w:rPr>
        <w:t>即视为</w:t>
      </w:r>
      <w:r>
        <w:rPr>
          <w:rFonts w:ascii="黑体" w:eastAsia="黑体" w:hAnsi="黑体" w:hint="eastAsia"/>
          <w:b/>
          <w:sz w:val="24"/>
        </w:rPr>
        <w:t>您同意自身</w:t>
      </w:r>
      <w:r>
        <w:rPr>
          <w:rFonts w:ascii="黑体" w:eastAsia="黑体" w:hAnsi="黑体"/>
          <w:b/>
          <w:sz w:val="24"/>
        </w:rPr>
        <w:t>风险</w:t>
      </w:r>
      <w:r>
        <w:rPr>
          <w:rFonts w:ascii="黑体" w:eastAsia="黑体" w:hAnsi="黑体" w:hint="eastAsia"/>
          <w:b/>
          <w:sz w:val="24"/>
        </w:rPr>
        <w:t>承受</w:t>
      </w:r>
      <w:r>
        <w:rPr>
          <w:rFonts w:ascii="黑体" w:eastAsia="黑体" w:hAnsi="黑体"/>
          <w:b/>
          <w:sz w:val="24"/>
        </w:rPr>
        <w:t>能力评级并确认</w:t>
      </w:r>
      <w:r>
        <w:rPr>
          <w:rFonts w:ascii="黑体" w:eastAsia="黑体" w:hAnsi="黑体" w:hint="eastAsia"/>
          <w:b/>
          <w:sz w:val="24"/>
        </w:rPr>
        <w:t>风险</w:t>
      </w:r>
      <w:r>
        <w:rPr>
          <w:rFonts w:ascii="黑体" w:eastAsia="黑体" w:hAnsi="黑体"/>
          <w:b/>
          <w:sz w:val="24"/>
        </w:rPr>
        <w:t>揭示内容，愿意承担投资风险</w:t>
      </w:r>
      <w:r>
        <w:rPr>
          <w:rFonts w:ascii="黑体" w:eastAsia="黑体" w:hAnsi="黑体" w:hint="eastAsia"/>
          <w:b/>
          <w:sz w:val="24"/>
        </w:rPr>
        <w:t>，该等确认与书面</w:t>
      </w:r>
      <w:r>
        <w:rPr>
          <w:rFonts w:ascii="黑体" w:eastAsia="黑体" w:hAnsi="黑体"/>
          <w:b/>
          <w:sz w:val="24"/>
        </w:rPr>
        <w:t>签署具有同等</w:t>
      </w:r>
      <w:r>
        <w:rPr>
          <w:rFonts w:ascii="黑体" w:eastAsia="黑体" w:hAnsi="黑体" w:hint="eastAsia"/>
          <w:b/>
          <w:sz w:val="24"/>
        </w:rPr>
        <w:t>效力，无需</w:t>
      </w:r>
      <w:r>
        <w:rPr>
          <w:rFonts w:ascii="黑体" w:eastAsia="黑体" w:hAnsi="黑体"/>
          <w:b/>
          <w:sz w:val="24"/>
        </w:rPr>
        <w:t>另行签署纸质文件</w:t>
      </w:r>
      <w:r>
        <w:rPr>
          <w:rFonts w:ascii="黑体" w:eastAsia="黑体" w:hAnsi="黑体" w:hint="eastAsia"/>
          <w:b/>
          <w:sz w:val="24"/>
        </w:rPr>
        <w:t>）：</w:t>
      </w:r>
    </w:p>
    <w:p w14:paraId="3C6F9422" w14:textId="77777777" w:rsidR="00DE64DA" w:rsidRDefault="00B9463B">
      <w:pPr>
        <w:spacing w:line="312" w:lineRule="auto"/>
        <w:ind w:left="63" w:firstLine="480"/>
        <w:rPr>
          <w:rFonts w:ascii="黑体" w:eastAsia="黑体" w:hAnsi="黑体" w:hint="eastAsia"/>
          <w:sz w:val="24"/>
        </w:rPr>
      </w:pPr>
      <w:r>
        <w:rPr>
          <w:rFonts w:ascii="黑体" w:eastAsia="黑体" w:hAnsi="黑体"/>
          <w:sz w:val="24"/>
        </w:rPr>
        <w:t>1、本人/本机构风险承受能力评级结果为（</w:t>
      </w:r>
      <w:r>
        <w:rPr>
          <w:rFonts w:ascii="黑体" w:eastAsia="黑体" w:hAnsi="黑体" w:hint="eastAsia"/>
          <w:sz w:val="24"/>
          <w:lang w:eastAsia="zh"/>
        </w:rPr>
        <w:t>专业</w:t>
      </w:r>
      <w:r>
        <w:rPr>
          <w:rFonts w:ascii="黑体" w:eastAsia="黑体" w:hAnsi="黑体"/>
          <w:sz w:val="24"/>
        </w:rPr>
        <w:t>投资者无需填写）</w:t>
      </w:r>
      <w:r>
        <w:rPr>
          <w:rFonts w:ascii="黑体" w:eastAsia="黑体" w:hAnsi="黑体" w:hint="eastAsia"/>
          <w:sz w:val="24"/>
        </w:rPr>
        <w:t>：</w:t>
      </w:r>
    </w:p>
    <w:p w14:paraId="32D3AF81"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w:t>
      </w:r>
      <w:r>
        <w:rPr>
          <w:rFonts w:ascii="黑体" w:eastAsia="黑体" w:hAnsi="黑体"/>
          <w:sz w:val="24"/>
        </w:rPr>
        <w:t>1）________（通过宁银理财直销</w:t>
      </w:r>
      <w:r>
        <w:rPr>
          <w:rFonts w:ascii="黑体" w:eastAsia="黑体" w:hAnsi="黑体" w:hint="eastAsia"/>
          <w:sz w:val="24"/>
        </w:rPr>
        <w:t>渠道购买</w:t>
      </w:r>
      <w:r>
        <w:rPr>
          <w:rFonts w:ascii="黑体" w:eastAsia="黑体" w:hAnsi="黑体"/>
          <w:sz w:val="24"/>
        </w:rPr>
        <w:t>的</w:t>
      </w:r>
      <w:r>
        <w:rPr>
          <w:rFonts w:ascii="黑体" w:eastAsia="黑体" w:hAnsi="黑体" w:hint="eastAsia"/>
          <w:sz w:val="24"/>
          <w:lang w:eastAsia="zh"/>
        </w:rPr>
        <w:t>普通</w:t>
      </w:r>
      <w:r>
        <w:rPr>
          <w:rFonts w:ascii="黑体" w:eastAsia="黑体" w:hAnsi="黑体"/>
          <w:sz w:val="24"/>
        </w:rPr>
        <w:t>投资者填写）</w:t>
      </w:r>
      <w:r>
        <w:rPr>
          <w:rFonts w:ascii="黑体" w:eastAsia="黑体" w:hAnsi="黑体" w:hint="eastAsia"/>
          <w:sz w:val="24"/>
        </w:rPr>
        <w:t>，</w:t>
      </w:r>
      <w:r>
        <w:rPr>
          <w:rFonts w:ascii="黑体" w:eastAsia="黑体" w:hAnsi="黑体"/>
          <w:sz w:val="24"/>
        </w:rPr>
        <w:t>可购</w:t>
      </w:r>
      <w:r>
        <w:rPr>
          <w:rFonts w:ascii="黑体" w:eastAsia="黑体" w:hAnsi="黑体"/>
          <w:sz w:val="24"/>
        </w:rPr>
        <w:lastRenderedPageBreak/>
        <w:t>买与本人/本机构</w:t>
      </w:r>
      <w:r>
        <w:rPr>
          <w:rFonts w:ascii="黑体" w:eastAsia="黑体" w:hAnsi="黑体" w:hint="eastAsia"/>
          <w:sz w:val="24"/>
        </w:rPr>
        <w:t>风险级别</w:t>
      </w:r>
      <w:r>
        <w:rPr>
          <w:rFonts w:ascii="黑体" w:eastAsia="黑体" w:hAnsi="黑体"/>
          <w:sz w:val="24"/>
        </w:rPr>
        <w:t>相匹配的</w:t>
      </w:r>
      <w:r>
        <w:rPr>
          <w:rFonts w:ascii="黑体" w:eastAsia="黑体" w:hAnsi="黑体" w:hint="eastAsia"/>
          <w:sz w:val="24"/>
        </w:rPr>
        <w:t>理财</w:t>
      </w:r>
      <w:r>
        <w:rPr>
          <w:rFonts w:ascii="黑体" w:eastAsia="黑体" w:hAnsi="黑体"/>
          <w:sz w:val="24"/>
        </w:rPr>
        <w:t>产品</w:t>
      </w:r>
      <w:r>
        <w:rPr>
          <w:rFonts w:ascii="黑体" w:eastAsia="黑体" w:hAnsi="黑体" w:hint="eastAsia"/>
          <w:sz w:val="24"/>
        </w:rPr>
        <w:t>，</w:t>
      </w:r>
      <w:r>
        <w:rPr>
          <w:rFonts w:ascii="黑体" w:eastAsia="黑体" w:hAnsi="黑体"/>
          <w:sz w:val="24"/>
        </w:rPr>
        <w:t>具体</w:t>
      </w:r>
      <w:r>
        <w:rPr>
          <w:rFonts w:ascii="黑体" w:eastAsia="黑体" w:hAnsi="黑体" w:hint="eastAsia"/>
          <w:sz w:val="24"/>
        </w:rPr>
        <w:t>匹配</w:t>
      </w:r>
      <w:r>
        <w:rPr>
          <w:rFonts w:ascii="黑体" w:eastAsia="黑体" w:hAnsi="黑体"/>
          <w:sz w:val="24"/>
        </w:rPr>
        <w:t>情况见</w:t>
      </w:r>
      <w:r>
        <w:rPr>
          <w:rFonts w:ascii="黑体" w:eastAsia="黑体" w:hAnsi="黑体" w:hint="eastAsia"/>
          <w:sz w:val="24"/>
        </w:rPr>
        <w:t>《投资者权益须知</w:t>
      </w:r>
      <w:r>
        <w:rPr>
          <w:rFonts w:ascii="黑体" w:eastAsia="黑体" w:hAnsi="黑体"/>
          <w:sz w:val="24"/>
        </w:rPr>
        <w:t>》</w:t>
      </w:r>
      <w:r>
        <w:rPr>
          <w:rFonts w:ascii="黑体" w:eastAsia="黑体" w:hAnsi="黑体" w:hint="eastAsia"/>
          <w:sz w:val="24"/>
        </w:rPr>
        <w:t>。</w:t>
      </w:r>
    </w:p>
    <w:p w14:paraId="58AC6EA7"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w:t>
      </w:r>
      <w:r>
        <w:rPr>
          <w:rFonts w:ascii="黑体" w:eastAsia="黑体" w:hAnsi="黑体"/>
          <w:sz w:val="24"/>
        </w:rPr>
        <w:t>2）________（通过代理销售机构</w:t>
      </w:r>
      <w:r>
        <w:rPr>
          <w:rFonts w:ascii="黑体" w:eastAsia="黑体" w:hAnsi="黑体" w:hint="eastAsia"/>
          <w:sz w:val="24"/>
        </w:rPr>
        <w:t>购买</w:t>
      </w:r>
      <w:r>
        <w:rPr>
          <w:rFonts w:ascii="黑体" w:eastAsia="黑体" w:hAnsi="黑体"/>
          <w:sz w:val="24"/>
        </w:rPr>
        <w:t>的</w:t>
      </w:r>
      <w:r>
        <w:rPr>
          <w:rFonts w:ascii="黑体" w:eastAsia="黑体" w:hAnsi="黑体" w:hint="eastAsia"/>
          <w:sz w:val="24"/>
          <w:lang w:eastAsia="zh"/>
        </w:rPr>
        <w:t>普通</w:t>
      </w:r>
      <w:r>
        <w:rPr>
          <w:rFonts w:ascii="黑体" w:eastAsia="黑体" w:hAnsi="黑体"/>
          <w:sz w:val="24"/>
        </w:rPr>
        <w:t>投资者填写）</w:t>
      </w:r>
      <w:r>
        <w:rPr>
          <w:rFonts w:ascii="黑体" w:eastAsia="黑体" w:hAnsi="黑体" w:hint="eastAsia"/>
          <w:sz w:val="24"/>
        </w:rPr>
        <w:t>，</w:t>
      </w:r>
      <w:r>
        <w:rPr>
          <w:rFonts w:ascii="黑体" w:eastAsia="黑体" w:hAnsi="黑体"/>
          <w:sz w:val="24"/>
        </w:rPr>
        <w:t>可购买</w:t>
      </w:r>
      <w:r>
        <w:rPr>
          <w:rFonts w:ascii="黑体" w:eastAsia="黑体" w:hAnsi="黑体" w:hint="eastAsia"/>
          <w:sz w:val="24"/>
        </w:rPr>
        <w:t>与</w:t>
      </w:r>
      <w:r>
        <w:rPr>
          <w:rFonts w:ascii="黑体" w:eastAsia="黑体" w:hAnsi="黑体"/>
          <w:sz w:val="24"/>
        </w:rPr>
        <w:t>本人/本机构风险</w:t>
      </w:r>
      <w:r>
        <w:rPr>
          <w:rFonts w:ascii="黑体" w:eastAsia="黑体" w:hAnsi="黑体" w:hint="eastAsia"/>
          <w:sz w:val="24"/>
        </w:rPr>
        <w:t>级别</w:t>
      </w:r>
      <w:r>
        <w:rPr>
          <w:rFonts w:ascii="黑体" w:eastAsia="黑体" w:hAnsi="黑体"/>
          <w:sz w:val="24"/>
        </w:rPr>
        <w:t>相匹配的理财产品，具体</w:t>
      </w:r>
      <w:r>
        <w:rPr>
          <w:rFonts w:ascii="黑体" w:eastAsia="黑体" w:hAnsi="黑体" w:hint="eastAsia"/>
          <w:sz w:val="24"/>
        </w:rPr>
        <w:t>匹配</w:t>
      </w:r>
      <w:r>
        <w:rPr>
          <w:rFonts w:ascii="黑体" w:eastAsia="黑体" w:hAnsi="黑体"/>
          <w:sz w:val="24"/>
        </w:rPr>
        <w:t>情况从</w:t>
      </w:r>
      <w:r>
        <w:rPr>
          <w:rFonts w:ascii="黑体" w:eastAsia="黑体" w:hAnsi="黑体" w:hint="eastAsia"/>
          <w:sz w:val="24"/>
        </w:rPr>
        <w:t>代理销售机构对理财产品风险水平及投资者风险承受能力评估</w:t>
      </w:r>
      <w:r>
        <w:rPr>
          <w:rFonts w:ascii="黑体" w:eastAsia="黑体" w:hAnsi="黑体"/>
          <w:sz w:val="24"/>
        </w:rPr>
        <w:t>。</w:t>
      </w:r>
    </w:p>
    <w:p w14:paraId="5D24D4A7" w14:textId="77777777" w:rsidR="00DE64DA" w:rsidRDefault="00B9463B">
      <w:pPr>
        <w:spacing w:line="312" w:lineRule="auto"/>
        <w:ind w:left="63" w:firstLine="480"/>
        <w:rPr>
          <w:rFonts w:ascii="黑体" w:eastAsia="黑体" w:hAnsi="黑体" w:hint="eastAsia"/>
          <w:sz w:val="24"/>
        </w:rPr>
      </w:pPr>
      <w:r>
        <w:rPr>
          <w:rFonts w:ascii="黑体" w:eastAsia="黑体" w:hAnsi="黑体"/>
          <w:sz w:val="24"/>
        </w:rPr>
        <w:t>2、本人/本机构已经阅读风险揭示书，愿意承担投资风险（在下方横线处抄写本句内容）。</w:t>
      </w:r>
    </w:p>
    <w:p w14:paraId="6830FE71" w14:textId="77777777" w:rsidR="00DE64DA" w:rsidRDefault="00B9463B">
      <w:pPr>
        <w:spacing w:line="312" w:lineRule="auto"/>
        <w:ind w:left="63" w:firstLine="480"/>
        <w:rPr>
          <w:rFonts w:ascii="黑体" w:eastAsia="黑体" w:hAnsi="黑体" w:hint="eastAsia"/>
          <w:sz w:val="24"/>
        </w:rPr>
      </w:pPr>
      <w:r>
        <w:rPr>
          <w:rFonts w:ascii="黑体" w:eastAsia="黑体" w:hAnsi="黑体"/>
          <w:sz w:val="24"/>
        </w:rPr>
        <w:t>______</w:t>
      </w:r>
      <w:r>
        <w:rPr>
          <w:rFonts w:ascii="黑体" w:eastAsia="黑体" w:hAnsi="黑体"/>
          <w:sz w:val="24"/>
          <w:u w:val="single"/>
        </w:rPr>
        <w:t xml:space="preserve">______           </w:t>
      </w:r>
      <w:r>
        <w:rPr>
          <w:rFonts w:ascii="黑体" w:eastAsia="黑体" w:hAnsi="黑体"/>
          <w:sz w:val="24"/>
        </w:rPr>
        <w:t>________________________________________</w:t>
      </w:r>
    </w:p>
    <w:p w14:paraId="5D73EF5E" w14:textId="77777777" w:rsidR="00DE64DA" w:rsidRDefault="00DE64DA">
      <w:pPr>
        <w:spacing w:line="312" w:lineRule="auto"/>
        <w:ind w:left="63"/>
        <w:rPr>
          <w:rFonts w:ascii="黑体" w:eastAsia="黑体" w:hAnsi="黑体" w:cs="宋体" w:hint="eastAsia"/>
          <w:b/>
          <w:bCs/>
          <w:sz w:val="24"/>
        </w:rPr>
      </w:pPr>
    </w:p>
    <w:p w14:paraId="066644F2"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（自然人签署适用）</w:t>
      </w:r>
    </w:p>
    <w:p w14:paraId="63B4EF35"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投资者签字</w:t>
      </w:r>
      <w:r>
        <w:rPr>
          <w:rFonts w:ascii="黑体" w:eastAsia="黑体" w:hAnsi="黑体" w:cs="宋体"/>
          <w:b/>
          <w:bCs/>
          <w:sz w:val="24"/>
        </w:rPr>
        <w:t xml:space="preserve">   ____________</w:t>
      </w:r>
    </w:p>
    <w:p w14:paraId="3B77F984" w14:textId="77777777" w:rsidR="00DE64DA" w:rsidRDefault="00DE64DA">
      <w:pPr>
        <w:spacing w:line="312" w:lineRule="auto"/>
        <w:ind w:left="63"/>
        <w:jc w:val="left"/>
        <w:rPr>
          <w:rFonts w:ascii="黑体" w:eastAsia="黑体" w:hAnsi="黑体" w:cs="宋体" w:hint="eastAsia"/>
          <w:b/>
          <w:bCs/>
          <w:sz w:val="24"/>
        </w:rPr>
      </w:pPr>
    </w:p>
    <w:p w14:paraId="6B90C3E9"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w:t>
      </w:r>
      <w:r>
        <w:rPr>
          <w:rFonts w:ascii="黑体" w:eastAsia="黑体" w:hAnsi="黑体" w:cs="宋体"/>
          <w:b/>
          <w:bCs/>
          <w:sz w:val="24"/>
        </w:rPr>
        <w:t>机构投资者</w:t>
      </w:r>
      <w:r>
        <w:rPr>
          <w:rFonts w:ascii="黑体" w:eastAsia="黑体" w:hAnsi="黑体" w:cs="宋体" w:hint="eastAsia"/>
          <w:b/>
          <w:bCs/>
          <w:sz w:val="24"/>
        </w:rPr>
        <w:t>签署适用</w:t>
      </w:r>
      <w:r>
        <w:rPr>
          <w:rFonts w:ascii="黑体" w:eastAsia="黑体" w:hAnsi="黑体" w:cs="宋体"/>
          <w:b/>
          <w:bCs/>
          <w:sz w:val="24"/>
        </w:rPr>
        <w:t>）</w:t>
      </w:r>
    </w:p>
    <w:p w14:paraId="38276913"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公章（或经公章授权的其他有效印鉴）：</w:t>
      </w:r>
    </w:p>
    <w:p w14:paraId="0A004A5F"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法定代表人（负责人）或授权代理人签字/签章：</w:t>
      </w:r>
    </w:p>
    <w:p w14:paraId="18B8095A" w14:textId="77777777" w:rsidR="00DE64DA" w:rsidRDefault="00DE64DA">
      <w:pPr>
        <w:spacing w:line="312" w:lineRule="auto"/>
        <w:ind w:left="63"/>
        <w:jc w:val="left"/>
        <w:rPr>
          <w:rFonts w:ascii="黑体" w:eastAsia="黑体" w:hAnsi="黑体" w:cs="宋体" w:hint="eastAsia"/>
          <w:b/>
          <w:bCs/>
          <w:sz w:val="24"/>
        </w:rPr>
      </w:pPr>
    </w:p>
    <w:p w14:paraId="7BDB7DCA" w14:textId="77777777" w:rsidR="00DE64DA" w:rsidRDefault="00DE64DA">
      <w:pPr>
        <w:spacing w:line="312" w:lineRule="auto"/>
        <w:ind w:left="63"/>
        <w:jc w:val="left"/>
        <w:rPr>
          <w:rFonts w:ascii="黑体" w:eastAsia="黑体" w:hAnsi="黑体" w:cs="宋体" w:hint="eastAsia"/>
          <w:b/>
          <w:bCs/>
          <w:sz w:val="24"/>
        </w:rPr>
      </w:pPr>
    </w:p>
    <w:p w14:paraId="65B1F431" w14:textId="77777777" w:rsidR="00DE64DA" w:rsidRDefault="00B9463B">
      <w:pPr>
        <w:spacing w:line="312" w:lineRule="auto"/>
        <w:ind w:left="63"/>
        <w:jc w:val="left"/>
        <w:rPr>
          <w:rFonts w:ascii="黑体" w:eastAsia="黑体" w:hAnsi="黑体" w:hint="eastAsia"/>
          <w:sz w:val="24"/>
        </w:rPr>
      </w:pPr>
      <w:r>
        <w:rPr>
          <w:rFonts w:ascii="黑体" w:eastAsia="黑体" w:hAnsi="黑体" w:cs="宋体" w:hint="eastAsia"/>
          <w:b/>
          <w:bCs/>
          <w:sz w:val="24"/>
        </w:rPr>
        <w:t>日期</w:t>
      </w:r>
      <w:r>
        <w:rPr>
          <w:rFonts w:ascii="黑体" w:eastAsia="黑体" w:hAnsi="黑体" w:cs="宋体"/>
          <w:b/>
          <w:bCs/>
          <w:sz w:val="24"/>
        </w:rPr>
        <w:t xml:space="preserve">         ____________</w:t>
      </w:r>
    </w:p>
    <w:p w14:paraId="0FA5F6A0" w14:textId="77777777" w:rsidR="00DE64DA" w:rsidRDefault="00DE64DA">
      <w:pPr>
        <w:spacing w:line="312" w:lineRule="auto"/>
        <w:ind w:left="63"/>
        <w:jc w:val="left"/>
        <w:rPr>
          <w:rFonts w:ascii="黑体" w:eastAsia="黑体" w:hAnsi="黑体" w:hint="eastAsia"/>
          <w:sz w:val="24"/>
        </w:rPr>
      </w:pPr>
    </w:p>
    <w:sectPr w:rsidR="00DE64DA">
      <w:footerReference w:type="default" r:id="rId8"/>
      <w:pgSz w:w="11906" w:h="16838"/>
      <w:pgMar w:top="1440" w:right="1800" w:bottom="1440" w:left="1800"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F7109" w14:textId="77777777" w:rsidR="006E29F6" w:rsidRDefault="006E29F6">
      <w:r>
        <w:separator/>
      </w:r>
    </w:p>
  </w:endnote>
  <w:endnote w:type="continuationSeparator" w:id="0">
    <w:p w14:paraId="00EC840D" w14:textId="77777777" w:rsidR="006E29F6" w:rsidRDefault="006E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2BF73BC9" w14:textId="40C382AF" w:rsidR="00DE64DA" w:rsidRDefault="00B9463B">
        <w:pPr>
          <w:pStyle w:val="a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292F77" w:rsidRPr="00292F77">
          <w:rPr>
            <w:rFonts w:ascii="Times New Roman" w:hAnsi="Times New Roman" w:cs="Times New Roman"/>
            <w:noProof/>
            <w:lang w:val="zh-CN"/>
          </w:rPr>
          <w:t>3</w:t>
        </w:r>
        <w:r>
          <w:rPr>
            <w:rFonts w:ascii="Times New Roman" w:hAnsi="Times New Roman" w:cs="Times New Roman"/>
          </w:rPr>
          <w:fldChar w:fldCharType="end"/>
        </w:r>
      </w:p>
    </w:sdtContent>
  </w:sdt>
  <w:p w14:paraId="5BF5B62A" w14:textId="77777777" w:rsidR="00DE64DA" w:rsidRDefault="00DE64D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05E51" w14:textId="77777777" w:rsidR="006E29F6" w:rsidRDefault="006E29F6">
      <w:r>
        <w:separator/>
      </w:r>
    </w:p>
  </w:footnote>
  <w:footnote w:type="continuationSeparator" w:id="0">
    <w:p w14:paraId="5027B1F6" w14:textId="77777777" w:rsidR="006E29F6" w:rsidRDefault="006E2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5C13C"/>
    <w:multiLevelType w:val="singleLevel"/>
    <w:tmpl w:val="14E5C13C"/>
    <w:lvl w:ilvl="0">
      <w:start w:val="1"/>
      <w:numFmt w:val="decimal"/>
      <w:suff w:val="nothing"/>
      <w:lvlText w:val="（%1）"/>
      <w:lvlJc w:val="left"/>
    </w:lvl>
  </w:abstractNum>
  <w:num w:numId="1" w16cid:durableId="669602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DisplayPageBoundarie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trackRevisions/>
  <w:defaultTabStop w:val="420"/>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9A"/>
    <w:rsid w:val="00003E1A"/>
    <w:rsid w:val="00242F9A"/>
    <w:rsid w:val="00292F77"/>
    <w:rsid w:val="002D37A4"/>
    <w:rsid w:val="002F3839"/>
    <w:rsid w:val="00320A5A"/>
    <w:rsid w:val="00342CCE"/>
    <w:rsid w:val="00377F2C"/>
    <w:rsid w:val="0045173B"/>
    <w:rsid w:val="00482714"/>
    <w:rsid w:val="006A6393"/>
    <w:rsid w:val="006D3ADA"/>
    <w:rsid w:val="006E29F6"/>
    <w:rsid w:val="00720ADC"/>
    <w:rsid w:val="00893C4C"/>
    <w:rsid w:val="008A6603"/>
    <w:rsid w:val="008C11B9"/>
    <w:rsid w:val="00944491"/>
    <w:rsid w:val="00A10CF1"/>
    <w:rsid w:val="00A361F9"/>
    <w:rsid w:val="00AE7BE3"/>
    <w:rsid w:val="00AF72FE"/>
    <w:rsid w:val="00B9463B"/>
    <w:rsid w:val="00CF2472"/>
    <w:rsid w:val="00DE64DA"/>
    <w:rsid w:val="00E65DBC"/>
    <w:rsid w:val="00E91B9E"/>
    <w:rsid w:val="00EB17D4"/>
    <w:rsid w:val="00EE438D"/>
    <w:rsid w:val="00F81D84"/>
    <w:rsid w:val="625103DB"/>
    <w:rsid w:val="632F537C"/>
    <w:rsid w:val="65EC3F52"/>
    <w:rsid w:val="6E0471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5B1582"/>
  <w15:docId w15:val="{3BA2E707-D2DA-4179-96CE-810034F0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sz w:val="21"/>
      <w:szCs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62626" w:themeColor="text1" w:themeTint="D9"/>
    </w:rPr>
  </w:style>
  <w:style w:type="paragraph" w:styleId="9">
    <w:name w:val="heading 9"/>
    <w:basedOn w:val="a"/>
    <w:next w:val="a"/>
    <w:link w:val="90"/>
    <w:uiPriority w:val="9"/>
    <w:unhideWhenUsed/>
    <w:qFormat/>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after="200"/>
    </w:pPr>
    <w:rPr>
      <w:i/>
      <w:iCs/>
      <w:color w:val="1F497D" w:themeColor="text2"/>
      <w:sz w:val="18"/>
      <w:szCs w:val="18"/>
    </w:rPr>
  </w:style>
  <w:style w:type="paragraph" w:styleId="a4">
    <w:name w:val="annotation text"/>
    <w:basedOn w:val="a"/>
    <w:link w:val="a5"/>
    <w:uiPriority w:val="99"/>
    <w:unhideWhenUsed/>
    <w:qFormat/>
    <w:pPr>
      <w:jc w:val="left"/>
    </w:pPr>
  </w:style>
  <w:style w:type="paragraph" w:styleId="a6">
    <w:name w:val="endnote text"/>
    <w:basedOn w:val="a"/>
    <w:link w:val="a7"/>
    <w:uiPriority w:val="99"/>
    <w:semiHidden/>
    <w:unhideWhenUsed/>
    <w:qFormat/>
    <w:rPr>
      <w:sz w:val="20"/>
      <w:szCs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jc w:val="left"/>
    </w:pPr>
    <w:rPr>
      <w:rFonts w:asciiTheme="minorHAnsi" w:eastAsiaTheme="minorEastAsia" w:hAnsiTheme="minorHAnsi" w:cstheme="minorBidi"/>
      <w:sz w:val="18"/>
      <w:szCs w:val="18"/>
    </w:rPr>
  </w:style>
  <w:style w:type="paragraph" w:styleId="ac">
    <w:name w:val="header"/>
    <w:basedOn w:val="a"/>
    <w:link w:val="ad"/>
    <w:uiPriority w:val="99"/>
    <w:unhideWhenUsed/>
    <w:qFormat/>
    <w:pPr>
      <w:pBdr>
        <w:bottom w:val="single" w:sz="6" w:space="1" w:color="000000"/>
      </w:pBdr>
      <w:tabs>
        <w:tab w:val="center" w:pos="4153"/>
        <w:tab w:val="right" w:pos="8306"/>
      </w:tabs>
      <w:jc w:val="center"/>
    </w:pPr>
    <w:rPr>
      <w:rFonts w:asciiTheme="minorHAnsi" w:eastAsiaTheme="minorEastAsia" w:hAnsiTheme="minorHAnsi" w:cstheme="minorBidi"/>
      <w:sz w:val="18"/>
      <w:szCs w:val="18"/>
    </w:rPr>
  </w:style>
  <w:style w:type="paragraph" w:styleId="ae">
    <w:name w:val="Subtitle"/>
    <w:basedOn w:val="a"/>
    <w:next w:val="a"/>
    <w:link w:val="af"/>
    <w:uiPriority w:val="11"/>
    <w:qFormat/>
    <w:rPr>
      <w:color w:val="595959" w:themeColor="text1" w:themeTint="A6"/>
      <w:spacing w:val="15"/>
      <w:sz w:val="28"/>
      <w:szCs w:val="28"/>
    </w:rPr>
  </w:style>
  <w:style w:type="paragraph" w:styleId="af0">
    <w:name w:val="footnote text"/>
    <w:basedOn w:val="a"/>
    <w:link w:val="af1"/>
    <w:uiPriority w:val="99"/>
    <w:semiHidden/>
    <w:unhideWhenUsed/>
    <w:qFormat/>
    <w:rPr>
      <w:sz w:val="20"/>
      <w:szCs w:val="20"/>
    </w:rPr>
  </w:style>
  <w:style w:type="paragraph" w:styleId="af2">
    <w:name w:val="table of figures"/>
    <w:basedOn w:val="a"/>
    <w:next w:val="a"/>
    <w:uiPriority w:val="99"/>
    <w:unhideWhenUsed/>
    <w:qFormat/>
  </w:style>
  <w:style w:type="paragraph" w:styleId="af3">
    <w:name w:val="Title"/>
    <w:basedOn w:val="a"/>
    <w:next w:val="a"/>
    <w:link w:val="af4"/>
    <w:uiPriority w:val="10"/>
    <w:qFormat/>
    <w:pPr>
      <w:spacing w:after="80"/>
      <w:contextualSpacing/>
    </w:pPr>
    <w:rPr>
      <w:rFonts w:ascii="Arial" w:eastAsia="Arial" w:hAnsi="Arial" w:cs="Arial"/>
      <w:spacing w:val="-10"/>
      <w:sz w:val="56"/>
      <w:szCs w:val="56"/>
    </w:rPr>
  </w:style>
  <w:style w:type="paragraph" w:styleId="af5">
    <w:name w:val="annotation subject"/>
    <w:basedOn w:val="a4"/>
    <w:next w:val="a4"/>
    <w:link w:val="af6"/>
    <w:uiPriority w:val="99"/>
    <w:semiHidden/>
    <w:unhideWhenUsed/>
    <w:qFormat/>
    <w:rPr>
      <w:b/>
      <w:bCs/>
    </w:rPr>
  </w:style>
  <w:style w:type="table" w:styleId="af7">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0"/>
    <w:uiPriority w:val="22"/>
    <w:qFormat/>
    <w:rPr>
      <w:b/>
      <w:bCs/>
    </w:rPr>
  </w:style>
  <w:style w:type="character" w:styleId="af9">
    <w:name w:val="endnote reference"/>
    <w:basedOn w:val="a0"/>
    <w:uiPriority w:val="99"/>
    <w:semiHidden/>
    <w:unhideWhenUsed/>
    <w:qFormat/>
    <w:rPr>
      <w:vertAlign w:val="superscript"/>
    </w:rPr>
  </w:style>
  <w:style w:type="character" w:styleId="afa">
    <w:name w:val="FollowedHyperlink"/>
    <w:basedOn w:val="a0"/>
    <w:uiPriority w:val="99"/>
    <w:semiHidden/>
    <w:unhideWhenUsed/>
    <w:qFormat/>
    <w:rPr>
      <w:color w:val="800080" w:themeColor="followedHyperlink"/>
      <w:u w:val="single"/>
    </w:rPr>
  </w:style>
  <w:style w:type="character" w:styleId="afb">
    <w:name w:val="Emphasis"/>
    <w:basedOn w:val="a0"/>
    <w:uiPriority w:val="20"/>
    <w:qFormat/>
    <w:rPr>
      <w:i/>
      <w:iCs/>
    </w:rPr>
  </w:style>
  <w:style w:type="character" w:styleId="afc">
    <w:name w:val="Hyperlink"/>
    <w:basedOn w:val="a0"/>
    <w:uiPriority w:val="99"/>
    <w:unhideWhenUsed/>
    <w:qFormat/>
    <w:rPr>
      <w:color w:val="0000FF" w:themeColor="hyperlink"/>
      <w:u w:val="single"/>
    </w:rPr>
  </w:style>
  <w:style w:type="character" w:styleId="afd">
    <w:name w:val="annotation reference"/>
    <w:basedOn w:val="a0"/>
    <w:uiPriority w:val="99"/>
    <w:semiHidden/>
    <w:unhideWhenUsed/>
    <w:qFormat/>
    <w:rPr>
      <w:sz w:val="21"/>
      <w:szCs w:val="21"/>
    </w:rPr>
  </w:style>
  <w:style w:type="character" w:styleId="afe">
    <w:name w:val="footnote reference"/>
    <w:basedOn w:val="a0"/>
    <w:uiPriority w:val="99"/>
    <w:semiHidden/>
    <w:unhideWhenUsed/>
    <w:qFormat/>
    <w:rPr>
      <w:vertAlign w:val="superscript"/>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0">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0">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0">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1">
    <w:name w:val="清单表 1 浅色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1">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1">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清单表 7 彩色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标题 1 字符"/>
    <w:basedOn w:val="a0"/>
    <w:link w:val="1"/>
    <w:uiPriority w:val="9"/>
    <w:qFormat/>
    <w:rPr>
      <w:rFonts w:ascii="Arial" w:eastAsia="Arial" w:hAnsi="Arial" w:cs="Arial"/>
      <w:color w:val="365F91" w:themeColor="accent1" w:themeShade="BF"/>
      <w:sz w:val="40"/>
      <w:szCs w:val="40"/>
    </w:rPr>
  </w:style>
  <w:style w:type="character" w:customStyle="1" w:styleId="20">
    <w:name w:val="标题 2 字符"/>
    <w:basedOn w:val="a0"/>
    <w:link w:val="2"/>
    <w:uiPriority w:val="9"/>
    <w:qFormat/>
    <w:rPr>
      <w:rFonts w:ascii="Arial" w:eastAsia="Arial" w:hAnsi="Arial" w:cs="Arial"/>
      <w:color w:val="365F91" w:themeColor="accent1" w:themeShade="BF"/>
      <w:sz w:val="32"/>
      <w:szCs w:val="32"/>
    </w:rPr>
  </w:style>
  <w:style w:type="character" w:customStyle="1" w:styleId="30">
    <w:name w:val="标题 3 字符"/>
    <w:basedOn w:val="a0"/>
    <w:link w:val="3"/>
    <w:uiPriority w:val="9"/>
    <w:qFormat/>
    <w:rPr>
      <w:rFonts w:ascii="Arial" w:eastAsia="Arial" w:hAnsi="Arial" w:cs="Arial"/>
      <w:color w:val="365F91" w:themeColor="accent1" w:themeShade="BF"/>
      <w:sz w:val="28"/>
      <w:szCs w:val="28"/>
    </w:rPr>
  </w:style>
  <w:style w:type="character" w:customStyle="1" w:styleId="40">
    <w:name w:val="标题 4 字符"/>
    <w:basedOn w:val="a0"/>
    <w:link w:val="4"/>
    <w:uiPriority w:val="9"/>
    <w:qFormat/>
    <w:rPr>
      <w:rFonts w:ascii="Arial" w:eastAsia="Arial" w:hAnsi="Arial" w:cs="Arial"/>
      <w:i/>
      <w:iCs/>
      <w:color w:val="365F91" w:themeColor="accent1" w:themeShade="BF"/>
    </w:rPr>
  </w:style>
  <w:style w:type="character" w:customStyle="1" w:styleId="50">
    <w:name w:val="标题 5 字符"/>
    <w:basedOn w:val="a0"/>
    <w:link w:val="5"/>
    <w:uiPriority w:val="9"/>
    <w:qFormat/>
    <w:rPr>
      <w:rFonts w:ascii="Arial" w:eastAsia="Arial" w:hAnsi="Arial" w:cs="Arial"/>
      <w:color w:val="365F91" w:themeColor="accent1" w:themeShade="BF"/>
    </w:rPr>
  </w:style>
  <w:style w:type="character" w:customStyle="1" w:styleId="60">
    <w:name w:val="标题 6 字符"/>
    <w:basedOn w:val="a0"/>
    <w:link w:val="6"/>
    <w:uiPriority w:val="9"/>
    <w:qFormat/>
    <w:rPr>
      <w:rFonts w:ascii="Arial" w:eastAsia="Arial" w:hAnsi="Arial" w:cs="Arial"/>
      <w:i/>
      <w:iCs/>
      <w:color w:val="595959" w:themeColor="text1" w:themeTint="A6"/>
    </w:rPr>
  </w:style>
  <w:style w:type="character" w:customStyle="1" w:styleId="70">
    <w:name w:val="标题 7 字符"/>
    <w:basedOn w:val="a0"/>
    <w:link w:val="7"/>
    <w:uiPriority w:val="9"/>
    <w:qFormat/>
    <w:rPr>
      <w:rFonts w:ascii="Arial" w:eastAsia="Arial" w:hAnsi="Arial" w:cs="Arial"/>
      <w:color w:val="595959" w:themeColor="text1" w:themeTint="A6"/>
    </w:rPr>
  </w:style>
  <w:style w:type="character" w:customStyle="1" w:styleId="80">
    <w:name w:val="标题 8 字符"/>
    <w:basedOn w:val="a0"/>
    <w:link w:val="8"/>
    <w:uiPriority w:val="9"/>
    <w:qFormat/>
    <w:rPr>
      <w:rFonts w:ascii="Arial" w:eastAsia="Arial" w:hAnsi="Arial" w:cs="Arial"/>
      <w:i/>
      <w:iCs/>
      <w:color w:val="262626" w:themeColor="text1" w:themeTint="D9"/>
    </w:rPr>
  </w:style>
  <w:style w:type="character" w:customStyle="1" w:styleId="90">
    <w:name w:val="标题 9 字符"/>
    <w:basedOn w:val="a0"/>
    <w:link w:val="9"/>
    <w:uiPriority w:val="9"/>
    <w:qFormat/>
    <w:rPr>
      <w:rFonts w:ascii="Arial" w:eastAsia="Arial" w:hAnsi="Arial" w:cs="Arial"/>
      <w:i/>
      <w:iCs/>
      <w:color w:val="262626" w:themeColor="text1" w:themeTint="D9"/>
    </w:rPr>
  </w:style>
  <w:style w:type="character" w:customStyle="1" w:styleId="af4">
    <w:name w:val="标题 字符"/>
    <w:basedOn w:val="a0"/>
    <w:link w:val="af3"/>
    <w:uiPriority w:val="10"/>
    <w:qFormat/>
    <w:rPr>
      <w:rFonts w:ascii="Arial" w:eastAsia="Arial" w:hAnsi="Arial" w:cs="Arial"/>
      <w:spacing w:val="-10"/>
      <w:sz w:val="56"/>
      <w:szCs w:val="56"/>
    </w:rPr>
  </w:style>
  <w:style w:type="character" w:customStyle="1" w:styleId="af">
    <w:name w:val="副标题 字符"/>
    <w:basedOn w:val="a0"/>
    <w:link w:val="ae"/>
    <w:uiPriority w:val="11"/>
    <w:qFormat/>
    <w:rPr>
      <w:color w:val="595959" w:themeColor="text1" w:themeTint="A6"/>
      <w:spacing w:val="15"/>
      <w:sz w:val="28"/>
      <w:szCs w:val="28"/>
    </w:rPr>
  </w:style>
  <w:style w:type="paragraph" w:styleId="aff">
    <w:name w:val="Quote"/>
    <w:basedOn w:val="a"/>
    <w:next w:val="a"/>
    <w:link w:val="aff0"/>
    <w:uiPriority w:val="29"/>
    <w:qFormat/>
    <w:pPr>
      <w:spacing w:before="160"/>
      <w:jc w:val="center"/>
    </w:pPr>
    <w:rPr>
      <w:i/>
      <w:iCs/>
      <w:color w:val="404040" w:themeColor="text1" w:themeTint="BF"/>
    </w:rPr>
  </w:style>
  <w:style w:type="character" w:customStyle="1" w:styleId="aff0">
    <w:name w:val="引用 字符"/>
    <w:basedOn w:val="a0"/>
    <w:link w:val="aff"/>
    <w:uiPriority w:val="29"/>
    <w:qFormat/>
    <w:rPr>
      <w:i/>
      <w:iCs/>
      <w:color w:val="404040" w:themeColor="text1" w:themeTint="BF"/>
    </w:rPr>
  </w:style>
  <w:style w:type="character" w:customStyle="1" w:styleId="12">
    <w:name w:val="明显强调1"/>
    <w:basedOn w:val="a0"/>
    <w:uiPriority w:val="21"/>
    <w:qFormat/>
    <w:rPr>
      <w:i/>
      <w:iCs/>
      <w:color w:val="365F91" w:themeColor="accent1" w:themeShade="BF"/>
    </w:rPr>
  </w:style>
  <w:style w:type="paragraph" w:styleId="aff1">
    <w:name w:val="Intense Quote"/>
    <w:basedOn w:val="a"/>
    <w:next w:val="a"/>
    <w:link w:val="aff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2">
    <w:name w:val="明显引用 字符"/>
    <w:basedOn w:val="a0"/>
    <w:link w:val="aff1"/>
    <w:uiPriority w:val="30"/>
    <w:qFormat/>
    <w:rPr>
      <w:i/>
      <w:iCs/>
      <w:color w:val="365F91" w:themeColor="accent1" w:themeShade="BF"/>
    </w:rPr>
  </w:style>
  <w:style w:type="character" w:customStyle="1" w:styleId="13">
    <w:name w:val="明显参考1"/>
    <w:basedOn w:val="a0"/>
    <w:uiPriority w:val="32"/>
    <w:qFormat/>
    <w:rPr>
      <w:b/>
      <w:bCs/>
      <w:smallCaps/>
      <w:color w:val="365F91" w:themeColor="accent1" w:themeShade="BF"/>
      <w:spacing w:val="5"/>
    </w:rPr>
  </w:style>
  <w:style w:type="paragraph" w:styleId="aff3">
    <w:name w:val="No Spacing"/>
    <w:basedOn w:val="a"/>
    <w:uiPriority w:val="1"/>
    <w:qFormat/>
  </w:style>
  <w:style w:type="character" w:customStyle="1" w:styleId="14">
    <w:name w:val="不明显强调1"/>
    <w:basedOn w:val="a0"/>
    <w:uiPriority w:val="19"/>
    <w:qFormat/>
    <w:rPr>
      <w:i/>
      <w:iCs/>
      <w:color w:val="404040" w:themeColor="text1" w:themeTint="BF"/>
    </w:rPr>
  </w:style>
  <w:style w:type="character" w:customStyle="1" w:styleId="15">
    <w:name w:val="不明显参考1"/>
    <w:basedOn w:val="a0"/>
    <w:uiPriority w:val="31"/>
    <w:qFormat/>
    <w:rPr>
      <w:smallCaps/>
      <w:color w:val="595959" w:themeColor="text1" w:themeTint="A6"/>
    </w:rPr>
  </w:style>
  <w:style w:type="character" w:customStyle="1" w:styleId="16">
    <w:name w:val="书籍标题1"/>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f1">
    <w:name w:val="脚注文本 字符"/>
    <w:basedOn w:val="a0"/>
    <w:link w:val="af0"/>
    <w:uiPriority w:val="99"/>
    <w:semiHidden/>
    <w:qFormat/>
    <w:rPr>
      <w:sz w:val="20"/>
      <w:szCs w:val="20"/>
    </w:rPr>
  </w:style>
  <w:style w:type="character" w:customStyle="1" w:styleId="a7">
    <w:name w:val="尾注文本 字符"/>
    <w:basedOn w:val="a0"/>
    <w:link w:val="a6"/>
    <w:uiPriority w:val="99"/>
    <w:semiHidden/>
    <w:qFormat/>
    <w:rPr>
      <w:sz w:val="20"/>
      <w:szCs w:val="20"/>
    </w:rPr>
  </w:style>
  <w:style w:type="paragraph" w:customStyle="1" w:styleId="TOC1">
    <w:name w:val="TOC 标题1"/>
    <w:uiPriority w:val="39"/>
    <w:unhideWhenUsed/>
    <w:qFormat/>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a9">
    <w:name w:val="批注框文本 字符"/>
    <w:basedOn w:val="a0"/>
    <w:link w:val="a8"/>
    <w:uiPriority w:val="99"/>
    <w:semiHidden/>
    <w:qFormat/>
    <w:rPr>
      <w:rFonts w:ascii="Times New Roman" w:eastAsia="宋体" w:hAnsi="Times New Roman" w:cs="Times New Roman"/>
      <w:sz w:val="18"/>
      <w:szCs w:val="18"/>
    </w:rPr>
  </w:style>
  <w:style w:type="character" w:customStyle="1" w:styleId="a5">
    <w:name w:val="批注文字 字符"/>
    <w:basedOn w:val="a0"/>
    <w:link w:val="a4"/>
    <w:uiPriority w:val="99"/>
    <w:qFormat/>
    <w:rPr>
      <w:rFonts w:ascii="Times New Roman" w:eastAsia="宋体" w:hAnsi="Times New Roman" w:cs="Times New Roman"/>
      <w:szCs w:val="24"/>
    </w:rPr>
  </w:style>
  <w:style w:type="character" w:customStyle="1" w:styleId="af6">
    <w:name w:val="批注主题 字符"/>
    <w:basedOn w:val="a5"/>
    <w:link w:val="af5"/>
    <w:uiPriority w:val="99"/>
    <w:semiHidden/>
    <w:qFormat/>
    <w:rPr>
      <w:rFonts w:ascii="Times New Roman" w:eastAsia="宋体" w:hAnsi="Times New Roman" w:cs="Times New Roman"/>
      <w:b/>
      <w:bCs/>
      <w:szCs w:val="24"/>
    </w:rPr>
  </w:style>
  <w:style w:type="paragraph" w:styleId="aff4">
    <w:name w:val="List Paragraph"/>
    <w:basedOn w:val="a"/>
    <w:uiPriority w:val="34"/>
    <w:qFormat/>
    <w:pPr>
      <w:ind w:firstLine="420"/>
    </w:pPr>
  </w:style>
  <w:style w:type="paragraph" w:customStyle="1" w:styleId="p0">
    <w:name w:val="p0"/>
    <w:basedOn w:val="a"/>
    <w:qFormat/>
    <w:pPr>
      <w:widowControl/>
    </w:pPr>
    <w:rPr>
      <w:szCs w:val="21"/>
    </w:rPr>
  </w:style>
  <w:style w:type="paragraph" w:customStyle="1" w:styleId="17">
    <w:name w:val="修订1"/>
    <w:hidden/>
    <w:uiPriority w:val="99"/>
    <w:semiHidden/>
    <w:qFormat/>
    <w:rPr>
      <w:rFonts w:ascii="Times New Roman" w:eastAsia="宋体" w:hAnsi="Times New Roman" w:cs="Times New Roman"/>
      <w:sz w:val="21"/>
      <w:szCs w:val="24"/>
    </w:rPr>
  </w:style>
  <w:style w:type="paragraph" w:styleId="aff5">
    <w:name w:val="Revision"/>
    <w:hidden/>
    <w:uiPriority w:val="99"/>
    <w:semiHidden/>
    <w:rsid w:val="008A6603"/>
    <w:rPr>
      <w:rFonts w:ascii="Times New Roman" w:eastAsia="宋体" w:hAnsi="Times New Roman"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2DD071AB-C1A3-4D0C-8B3B-0C1EB7A8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2049</Words>
  <Characters>2193</Characters>
  <Application>Microsoft Office Word</Application>
  <DocSecurity>0</DocSecurity>
  <Lines>81</Lines>
  <Paragraphs>53</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2022-06-14T17:15:00Z</dcterms:created>
  <dc:creator>NTKO</dc:creator>
  <cp:lastModifiedBy>卓鑫 楼</cp:lastModifiedBy>
  <dcterms:modified xsi:type="dcterms:W3CDTF">2026-07-06T02:27:00Z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883453782B0E39C6B15085692482630F_43</vt:lpwstr>
  </property>
  <property fmtid="{D5CDD505-2E9C-101B-9397-08002B2CF9AE}" pid="4" name="KSOTemplateDocerSaveRecord">
    <vt:lpwstr>eyJoZGlkIjoiZTBlZWY1NjRlNjI5ZWY0YTQyMDBjMzdlMmZiYjBlZDYiLCJ1c2VySWQiOiI2NjEyMTEyMDkifQ==</vt:lpwstr>
  </property>
</Properties>
</file>