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085" w:rsidRPr="00B83BB7" w:rsidRDefault="00570085" w:rsidP="005700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方正小标宋_GBK" w:eastAsia="方正小标宋_GBK" w:hAnsi="宋体" w:cs="宋体"/>
          <w:b/>
          <w:kern w:val="0"/>
          <w:sz w:val="32"/>
        </w:rPr>
      </w:pPr>
      <w:r w:rsidRPr="00B83BB7">
        <w:rPr>
          <w:rFonts w:ascii="方正小标宋_GBK" w:eastAsia="方正小标宋_GBK" w:hAnsi="宋体" w:cs="宋体" w:hint="eastAsia"/>
          <w:b/>
          <w:kern w:val="0"/>
          <w:sz w:val="32"/>
        </w:rPr>
        <w:t>关于</w:t>
      </w:r>
      <w:r w:rsidRPr="00B83BB7">
        <w:rPr>
          <w:rFonts w:ascii="方正小标宋_GBK" w:eastAsia="方正小标宋_GBK" w:hAnsi="宋体" w:cs="宋体" w:hint="eastAsia"/>
          <w:b/>
          <w:kern w:val="0"/>
          <w:sz w:val="32"/>
          <w:lang w:eastAsia="zh"/>
        </w:rPr>
        <w:t>财信信托湘信聚合ZX12M001号集合资金信托计划</w:t>
      </w:r>
    </w:p>
    <w:p w:rsidR="00570085" w:rsidRPr="00B83BB7" w:rsidRDefault="00570085" w:rsidP="005700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方正小标宋_GBK" w:eastAsia="方正小标宋_GBK" w:hAnsi="宋体" w:cs="宋体"/>
          <w:b/>
          <w:kern w:val="0"/>
          <w:sz w:val="32"/>
        </w:rPr>
      </w:pPr>
      <w:r>
        <w:rPr>
          <w:rFonts w:ascii="方正小标宋_GBK" w:eastAsia="方正小标宋_GBK" w:hAnsi="宋体" w:cs="宋体" w:hint="eastAsia"/>
          <w:b/>
          <w:kern w:val="0"/>
          <w:sz w:val="32"/>
        </w:rPr>
        <w:t>新增投资标的产品</w:t>
      </w:r>
      <w:r w:rsidRPr="00B83BB7">
        <w:rPr>
          <w:rFonts w:ascii="方正小标宋_GBK" w:eastAsia="方正小标宋_GBK" w:hAnsi="宋体" w:cs="宋体" w:hint="eastAsia"/>
          <w:b/>
          <w:kern w:val="0"/>
          <w:sz w:val="32"/>
        </w:rPr>
        <w:t>的告知函</w:t>
      </w:r>
    </w:p>
    <w:p w:rsidR="00570085" w:rsidRDefault="00570085" w:rsidP="004834A3">
      <w:pPr>
        <w:widowControl/>
        <w:jc w:val="left"/>
        <w:rPr>
          <w:rFonts w:ascii="Arial" w:eastAsia="宋体" w:hAnsi="Arial" w:cs="Arial"/>
          <w:color w:val="000000"/>
          <w:kern w:val="0"/>
          <w:sz w:val="24"/>
          <w:szCs w:val="24"/>
          <w:shd w:val="clear" w:color="auto" w:fill="FFFFFF"/>
        </w:rPr>
      </w:pPr>
    </w:p>
    <w:p w:rsidR="004834A3" w:rsidRPr="00E62E71" w:rsidRDefault="00570085" w:rsidP="00E62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_GB2312" w:eastAsia="仿宋_GB2312" w:hAnsi="宋体" w:cs="宋体"/>
          <w:kern w:val="0"/>
          <w:sz w:val="28"/>
          <w:szCs w:val="28"/>
        </w:rPr>
      </w:pPr>
      <w:r w:rsidRPr="00E62E71">
        <w:rPr>
          <w:rFonts w:ascii="仿宋_GB2312" w:eastAsia="仿宋_GB2312" w:hAnsi="宋体" w:cs="宋体" w:hint="eastAsia"/>
          <w:kern w:val="0"/>
          <w:sz w:val="28"/>
          <w:szCs w:val="28"/>
        </w:rPr>
        <w:t>尊敬的委托人/受益人：</w:t>
      </w:r>
    </w:p>
    <w:p w:rsidR="00D970AD" w:rsidRPr="00E62E71" w:rsidRDefault="004834A3" w:rsidP="00E62E71">
      <w:pPr>
        <w:widowControl/>
        <w:ind w:firstLineChars="200" w:firstLine="560"/>
        <w:rPr>
          <w:rFonts w:ascii="仿宋_GB2312" w:eastAsia="仿宋_GB2312" w:hAnsi="Arial" w:cs="Arial"/>
          <w:color w:val="000000"/>
          <w:kern w:val="0"/>
          <w:sz w:val="28"/>
          <w:szCs w:val="28"/>
          <w:shd w:val="clear" w:color="auto" w:fill="FFFFFF"/>
        </w:rPr>
      </w:pPr>
      <w:r w:rsidRPr="00E62E71">
        <w:rPr>
          <w:rFonts w:ascii="仿宋_GB2312" w:eastAsia="仿宋_GB2312" w:hAnsi="Arial" w:cs="Arial" w:hint="eastAsia"/>
          <w:color w:val="000000"/>
          <w:kern w:val="0"/>
          <w:sz w:val="28"/>
          <w:szCs w:val="28"/>
          <w:shd w:val="clear" w:color="auto" w:fill="FFFFFF"/>
        </w:rPr>
        <w:t>为进一步优化产品投资组合，在严格遵守《</w:t>
      </w:r>
      <w:r w:rsidR="00570085" w:rsidRPr="00E62E71">
        <w:rPr>
          <w:rFonts w:ascii="仿宋_GB2312" w:eastAsia="仿宋_GB2312" w:hAnsi="Arial" w:cs="Arial" w:hint="eastAsia"/>
          <w:color w:val="000000"/>
          <w:kern w:val="0"/>
          <w:sz w:val="28"/>
          <w:szCs w:val="28"/>
          <w:shd w:val="clear" w:color="auto" w:fill="FFFFFF"/>
        </w:rPr>
        <w:t>财信信托湘信聚合ZX12M001号集合资金信托合同</w:t>
      </w:r>
      <w:r w:rsidRPr="00E62E71">
        <w:rPr>
          <w:rFonts w:ascii="仿宋_GB2312" w:eastAsia="仿宋_GB2312" w:hAnsi="Arial" w:cs="Arial" w:hint="eastAsia"/>
          <w:color w:val="000000"/>
          <w:kern w:val="0"/>
          <w:sz w:val="28"/>
          <w:szCs w:val="28"/>
          <w:shd w:val="clear" w:color="auto" w:fill="FFFFFF"/>
        </w:rPr>
        <w:t>》（以下简称“产品合同”）约定的投资范围、投资策略及风险控制要求的前提下，本产品</w:t>
      </w:r>
      <w:r w:rsidR="00906F8F">
        <w:rPr>
          <w:rFonts w:ascii="仿宋_GB2312" w:eastAsia="仿宋_GB2312" w:hAnsi="Arial" w:cs="Arial" w:hint="eastAsia"/>
          <w:color w:val="000000"/>
          <w:kern w:val="0"/>
          <w:sz w:val="28"/>
          <w:szCs w:val="28"/>
          <w:shd w:val="clear" w:color="auto" w:fill="FFFFFF"/>
        </w:rPr>
        <w:t>受托人</w:t>
      </w:r>
      <w:r w:rsidRPr="00E62E71">
        <w:rPr>
          <w:rFonts w:ascii="仿宋_GB2312" w:eastAsia="仿宋_GB2312" w:hAnsi="Arial" w:cs="Arial" w:hint="eastAsia"/>
          <w:color w:val="000000"/>
          <w:kern w:val="0"/>
          <w:sz w:val="28"/>
          <w:szCs w:val="28"/>
          <w:shd w:val="clear" w:color="auto" w:fill="FFFFFF"/>
        </w:rPr>
        <w:t>拟新增投资</w:t>
      </w:r>
      <w:r w:rsidR="00570085" w:rsidRPr="00E62E71">
        <w:rPr>
          <w:rFonts w:ascii="仿宋_GB2312" w:eastAsia="仿宋_GB2312" w:hAnsi="Arial" w:cs="Arial" w:hint="eastAsia"/>
          <w:color w:val="000000"/>
          <w:kern w:val="0"/>
          <w:sz w:val="28"/>
          <w:szCs w:val="28"/>
          <w:shd w:val="clear" w:color="auto" w:fill="FFFFFF"/>
        </w:rPr>
        <w:t>“</w:t>
      </w:r>
      <w:r w:rsidRPr="00E62E71">
        <w:rPr>
          <w:rFonts w:ascii="仿宋_GB2312" w:eastAsia="仿宋_GB2312" w:hAnsi="Arial" w:cs="Arial" w:hint="eastAsia"/>
          <w:color w:val="000000"/>
          <w:kern w:val="0"/>
          <w:sz w:val="28"/>
          <w:szCs w:val="28"/>
          <w:shd w:val="clear" w:color="auto" w:fill="FFFFFF"/>
        </w:rPr>
        <w:t>中信证券信信向荣增强2号集合资产管理计划</w:t>
      </w:r>
      <w:r w:rsidR="00570085" w:rsidRPr="00E62E71">
        <w:rPr>
          <w:rFonts w:ascii="仿宋_GB2312" w:eastAsia="仿宋_GB2312" w:hAnsi="Arial" w:cs="Arial" w:hint="eastAsia"/>
          <w:color w:val="000000"/>
          <w:kern w:val="0"/>
          <w:sz w:val="28"/>
          <w:szCs w:val="28"/>
          <w:shd w:val="clear" w:color="auto" w:fill="FFFFFF"/>
        </w:rPr>
        <w:t>”</w:t>
      </w:r>
      <w:r w:rsidRPr="00E62E71">
        <w:rPr>
          <w:rFonts w:ascii="仿宋_GB2312" w:eastAsia="仿宋_GB2312" w:hAnsi="Arial" w:cs="Arial" w:hint="eastAsia"/>
          <w:color w:val="000000"/>
          <w:kern w:val="0"/>
          <w:sz w:val="28"/>
          <w:szCs w:val="28"/>
          <w:shd w:val="clear" w:color="auto" w:fill="FFFFFF"/>
        </w:rPr>
        <w:t>（以下简称“信信向荣增强2号”），现就相关事项向全体委托人充分披露如下：</w:t>
      </w:r>
    </w:p>
    <w:p w:rsidR="00D970AD" w:rsidRPr="00D970AD" w:rsidRDefault="00D970AD" w:rsidP="00E62E71">
      <w:pPr>
        <w:widowControl/>
        <w:spacing w:line="360" w:lineRule="atLeast"/>
        <w:ind w:firstLineChars="200" w:firstLine="562"/>
        <w:outlineLvl w:val="1"/>
        <w:rPr>
          <w:rFonts w:ascii="仿宋_GB2312" w:eastAsia="仿宋_GB2312" w:hAnsi="Arial" w:cs="Arial"/>
          <w:b/>
          <w:color w:val="000000"/>
          <w:kern w:val="0"/>
          <w:sz w:val="28"/>
          <w:szCs w:val="28"/>
        </w:rPr>
      </w:pPr>
      <w:r w:rsidRPr="00D970AD">
        <w:rPr>
          <w:rFonts w:ascii="仿宋_GB2312" w:eastAsia="仿宋_GB2312" w:hAnsi="Arial" w:cs="Arial" w:hint="eastAsia"/>
          <w:b/>
          <w:color w:val="000000"/>
          <w:kern w:val="0"/>
          <w:sz w:val="28"/>
          <w:szCs w:val="28"/>
        </w:rPr>
        <w:t>一、本次投资的合规性说明</w:t>
      </w:r>
    </w:p>
    <w:p w:rsidR="005B7895" w:rsidRDefault="00D970AD" w:rsidP="00E62E71">
      <w:pPr>
        <w:widowControl/>
        <w:spacing w:line="360" w:lineRule="atLeast"/>
        <w:ind w:firstLineChars="200" w:firstLine="560"/>
        <w:rPr>
          <w:rFonts w:ascii="仿宋_GB2312" w:eastAsia="仿宋_GB2312" w:hAnsi="Arial" w:cs="Arial"/>
          <w:color w:val="000000"/>
          <w:kern w:val="0"/>
          <w:sz w:val="28"/>
          <w:szCs w:val="28"/>
        </w:rPr>
      </w:pPr>
      <w:r w:rsidRPr="00D970AD">
        <w:rPr>
          <w:rFonts w:ascii="仿宋_GB2312" w:eastAsia="仿宋_GB2312" w:hAnsi="Arial" w:cs="Arial" w:hint="eastAsia"/>
          <w:color w:val="000000"/>
          <w:kern w:val="0"/>
          <w:sz w:val="28"/>
          <w:szCs w:val="28"/>
        </w:rPr>
        <w:t>根据产品合同约定，本产品的投资范围为：</w:t>
      </w:r>
      <w:r w:rsidRPr="00E62E71">
        <w:rPr>
          <w:rFonts w:ascii="仿宋_GB2312" w:eastAsia="仿宋_GB2312" w:hAnsi="Arial" w:cs="Arial" w:hint="eastAsia"/>
          <w:color w:val="000000"/>
          <w:kern w:val="0"/>
          <w:sz w:val="28"/>
          <w:szCs w:val="28"/>
        </w:rPr>
        <w:t>主要投资于中信证券资产管理有限公司担任管理人管理的集合资产管理计划【具体包括“中信证券信信向荣增强系列集合资产管理计划”等】及认购信托业保障基金，闲置资金用于投资银行存款、投资货币基金等现金类资产</w:t>
      </w:r>
      <w:r w:rsidRPr="00D970AD">
        <w:rPr>
          <w:rFonts w:ascii="仿宋_GB2312" w:eastAsia="仿宋_GB2312" w:hAnsi="Arial" w:cs="Arial" w:hint="eastAsia"/>
          <w:color w:val="000000"/>
          <w:kern w:val="0"/>
          <w:sz w:val="28"/>
          <w:szCs w:val="28"/>
        </w:rPr>
        <w:t>。</w:t>
      </w:r>
    </w:p>
    <w:p w:rsidR="00D970AD" w:rsidRPr="00D970AD" w:rsidRDefault="00D970AD" w:rsidP="00E62E71">
      <w:pPr>
        <w:widowControl/>
        <w:spacing w:line="360" w:lineRule="atLeast"/>
        <w:ind w:firstLineChars="200" w:firstLine="560"/>
        <w:rPr>
          <w:rFonts w:ascii="仿宋_GB2312" w:eastAsia="仿宋_GB2312" w:hAnsi="Arial" w:cs="Arial"/>
          <w:color w:val="000000"/>
          <w:kern w:val="0"/>
          <w:sz w:val="28"/>
          <w:szCs w:val="28"/>
        </w:rPr>
      </w:pPr>
      <w:r w:rsidRPr="00D970AD">
        <w:rPr>
          <w:rFonts w:ascii="仿宋_GB2312" w:eastAsia="仿宋_GB2312" w:hAnsi="Arial" w:cs="Arial" w:hint="eastAsia"/>
          <w:color w:val="000000"/>
          <w:kern w:val="0"/>
          <w:sz w:val="28"/>
          <w:szCs w:val="28"/>
        </w:rPr>
        <w:t>信信向荣增强2号为中信证券资产管理有限公司发行管理的“信信向荣增强系列”集合资产管理计划，完全符合本产品既定的投资范围与准入标准。</w:t>
      </w:r>
    </w:p>
    <w:p w:rsidR="00D970AD" w:rsidRPr="00D970AD" w:rsidRDefault="00D970AD" w:rsidP="00E62E71">
      <w:pPr>
        <w:widowControl/>
        <w:spacing w:line="360" w:lineRule="atLeast"/>
        <w:ind w:firstLineChars="200" w:firstLine="562"/>
        <w:outlineLvl w:val="1"/>
        <w:rPr>
          <w:rFonts w:ascii="仿宋_GB2312" w:eastAsia="仿宋_GB2312" w:hAnsi="Arial" w:cs="Arial"/>
          <w:b/>
          <w:color w:val="000000"/>
          <w:kern w:val="0"/>
          <w:sz w:val="28"/>
          <w:szCs w:val="28"/>
        </w:rPr>
      </w:pPr>
      <w:r w:rsidRPr="00D970AD">
        <w:rPr>
          <w:rFonts w:ascii="仿宋_GB2312" w:eastAsia="仿宋_GB2312" w:hAnsi="Arial" w:cs="Arial" w:hint="eastAsia"/>
          <w:b/>
          <w:color w:val="000000"/>
          <w:kern w:val="0"/>
          <w:sz w:val="28"/>
          <w:szCs w:val="28"/>
        </w:rPr>
        <w:t>二、标的资产相关差异披露</w:t>
      </w:r>
    </w:p>
    <w:p w:rsidR="00E62E71" w:rsidRPr="00D970AD" w:rsidRDefault="00D970AD" w:rsidP="00E62E71">
      <w:pPr>
        <w:widowControl/>
        <w:spacing w:line="360" w:lineRule="atLeast"/>
        <w:ind w:firstLineChars="200" w:firstLine="560"/>
        <w:rPr>
          <w:rFonts w:ascii="仿宋_GB2312" w:eastAsia="仿宋_GB2312" w:hAnsi="Arial" w:cs="Arial"/>
          <w:color w:val="000000"/>
          <w:kern w:val="0"/>
          <w:sz w:val="28"/>
          <w:szCs w:val="28"/>
        </w:rPr>
      </w:pPr>
      <w:r w:rsidRPr="00D970AD">
        <w:rPr>
          <w:rFonts w:ascii="仿宋_GB2312" w:eastAsia="仿宋_GB2312" w:hAnsi="Arial" w:cs="Arial" w:hint="eastAsia"/>
          <w:color w:val="000000"/>
          <w:kern w:val="0"/>
          <w:sz w:val="28"/>
          <w:szCs w:val="28"/>
        </w:rPr>
        <w:t>本产品原合同中披露的投资范围、投资限制条款，系基于已投资的同系列产品</w:t>
      </w:r>
      <w:r w:rsidRPr="00E62E71">
        <w:rPr>
          <w:rFonts w:ascii="仿宋_GB2312" w:eastAsia="仿宋_GB2312" w:hAnsi="Arial" w:cs="Arial" w:hint="eastAsia"/>
          <w:color w:val="000000"/>
          <w:kern w:val="0"/>
          <w:sz w:val="28"/>
          <w:szCs w:val="28"/>
        </w:rPr>
        <w:t>中信证券信信向荣增强1号集合资产管理计划</w:t>
      </w:r>
      <w:r w:rsidRPr="00D970AD">
        <w:rPr>
          <w:rFonts w:ascii="仿宋_GB2312" w:eastAsia="仿宋_GB2312" w:hAnsi="Arial" w:cs="Arial" w:hint="eastAsia"/>
          <w:color w:val="000000"/>
          <w:kern w:val="0"/>
          <w:sz w:val="28"/>
          <w:szCs w:val="28"/>
        </w:rPr>
        <w:t>（以下简称“信信向荣增强1号”）制定。信信向荣增强2号与信信向荣增强1号在投资范围、投资限制上存在如下差异，特此向全体委托人明确披露：</w:t>
      </w:r>
    </w:p>
    <w:p w:rsidR="00D970AD" w:rsidRPr="00E62E71" w:rsidRDefault="00D970AD" w:rsidP="005B7895">
      <w:pPr>
        <w:widowControl/>
        <w:spacing w:line="360" w:lineRule="atLeast"/>
        <w:ind w:firstLineChars="200" w:firstLine="560"/>
        <w:rPr>
          <w:rFonts w:ascii="仿宋_GB2312" w:eastAsia="仿宋_GB2312" w:hAnsi="Arial" w:cs="Arial"/>
          <w:color w:val="000000"/>
          <w:kern w:val="0"/>
          <w:sz w:val="28"/>
          <w:szCs w:val="28"/>
        </w:rPr>
      </w:pPr>
      <w:r w:rsidRPr="00E62E71">
        <w:rPr>
          <w:rFonts w:ascii="仿宋_GB2312" w:eastAsia="仿宋_GB2312" w:hAnsi="Arial" w:cs="Arial" w:hint="eastAsia"/>
          <w:color w:val="000000"/>
          <w:kern w:val="0"/>
          <w:sz w:val="28"/>
          <w:szCs w:val="28"/>
        </w:rPr>
        <w:lastRenderedPageBreak/>
        <w:t>（一）投资标的范围差异</w:t>
      </w:r>
    </w:p>
    <w:p w:rsidR="00D970AD" w:rsidRDefault="005B7895" w:rsidP="005B7895">
      <w:pPr>
        <w:widowControl/>
        <w:spacing w:line="360" w:lineRule="atLeast"/>
        <w:ind w:firstLineChars="200" w:firstLine="560"/>
        <w:rPr>
          <w:rFonts w:ascii="仿宋_GB2312" w:eastAsia="仿宋_GB2312" w:hAnsi="Arial" w:cs="Arial"/>
          <w:color w:val="000000"/>
          <w:sz w:val="28"/>
          <w:szCs w:val="28"/>
        </w:rPr>
      </w:pPr>
      <w:r>
        <w:rPr>
          <w:rStyle w:val="a5"/>
          <w:rFonts w:ascii="仿宋_GB2312" w:eastAsia="仿宋_GB2312" w:hAnsi="Arial" w:cs="Arial" w:hint="eastAsia"/>
          <w:b w:val="0"/>
          <w:bCs w:val="0"/>
          <w:color w:val="000000"/>
          <w:sz w:val="28"/>
          <w:szCs w:val="28"/>
        </w:rPr>
        <w:t>1</w:t>
      </w:r>
      <w:r>
        <w:rPr>
          <w:rStyle w:val="a5"/>
          <w:rFonts w:ascii="仿宋_GB2312" w:eastAsia="仿宋_GB2312" w:hAnsi="Arial" w:cs="Arial"/>
          <w:b w:val="0"/>
          <w:bCs w:val="0"/>
          <w:color w:val="000000"/>
          <w:sz w:val="28"/>
          <w:szCs w:val="28"/>
        </w:rPr>
        <w:t>.</w:t>
      </w:r>
      <w:r w:rsidR="00D970AD" w:rsidRPr="005B7895">
        <w:rPr>
          <w:rStyle w:val="a5"/>
          <w:rFonts w:ascii="仿宋_GB2312" w:eastAsia="仿宋_GB2312" w:hAnsi="Arial" w:cs="Arial" w:hint="eastAsia"/>
          <w:b w:val="0"/>
          <w:bCs w:val="0"/>
          <w:color w:val="000000"/>
          <w:sz w:val="28"/>
          <w:szCs w:val="28"/>
        </w:rPr>
        <w:t>语序差异</w:t>
      </w:r>
      <w:r w:rsidR="00D970AD" w:rsidRPr="005B7895">
        <w:rPr>
          <w:rFonts w:ascii="仿宋_GB2312" w:eastAsia="仿宋_GB2312" w:hAnsi="Arial" w:cs="Arial" w:hint="eastAsia"/>
          <w:color w:val="000000"/>
          <w:sz w:val="28"/>
          <w:szCs w:val="28"/>
        </w:rPr>
        <w:t>：二者关于次级偿付顺序债权资产的描述文字一致，仅条款放置顺序调整；</w:t>
      </w:r>
    </w:p>
    <w:p w:rsidR="00844242" w:rsidRPr="005B7895" w:rsidRDefault="00844242" w:rsidP="005B7895">
      <w:pPr>
        <w:widowControl/>
        <w:spacing w:line="360" w:lineRule="atLeast"/>
        <w:ind w:firstLineChars="200" w:firstLine="560"/>
        <w:rPr>
          <w:rFonts w:ascii="仿宋_GB2312" w:eastAsia="仿宋_GB2312" w:hAnsi="Arial" w:cs="Arial"/>
          <w:color w:val="000000"/>
          <w:sz w:val="28"/>
          <w:szCs w:val="28"/>
        </w:rPr>
      </w:pPr>
      <w:r>
        <w:rPr>
          <w:rFonts w:ascii="仿宋_GB2312" w:eastAsia="仿宋_GB2312" w:hAnsi="Arial" w:cs="Arial" w:hint="eastAsia"/>
          <w:color w:val="000000"/>
          <w:sz w:val="28"/>
          <w:szCs w:val="28"/>
        </w:rPr>
        <w:t>2</w:t>
      </w:r>
      <w:r>
        <w:rPr>
          <w:rFonts w:ascii="仿宋_GB2312" w:eastAsia="仿宋_GB2312" w:hAnsi="Arial" w:cs="Arial"/>
          <w:color w:val="000000"/>
          <w:sz w:val="28"/>
          <w:szCs w:val="28"/>
        </w:rPr>
        <w:t>.</w:t>
      </w:r>
      <w:r w:rsidRPr="00844242">
        <w:rPr>
          <w:rFonts w:ascii="仿宋_GB2312" w:eastAsia="仿宋_GB2312" w:hAnsi="Arial" w:cs="Arial" w:hint="eastAsia"/>
          <w:color w:val="000000"/>
          <w:sz w:val="28"/>
          <w:szCs w:val="28"/>
        </w:rPr>
        <w:t>权益类资产：信信向荣增强 2 号的股票投资范围新增北京证券交易所发行交易的股票；</w:t>
      </w:r>
    </w:p>
    <w:p w:rsidR="00D970AD" w:rsidRPr="005B7895" w:rsidRDefault="00844242" w:rsidP="005B7895">
      <w:pPr>
        <w:widowControl/>
        <w:spacing w:line="360" w:lineRule="atLeast"/>
        <w:ind w:firstLineChars="200" w:firstLine="560"/>
        <w:rPr>
          <w:rFonts w:ascii="仿宋_GB2312" w:eastAsia="仿宋_GB2312" w:hAnsi="Arial" w:cs="Arial"/>
          <w:color w:val="000000"/>
          <w:sz w:val="28"/>
          <w:szCs w:val="28"/>
        </w:rPr>
      </w:pPr>
      <w:r>
        <w:rPr>
          <w:rFonts w:ascii="仿宋_GB2312" w:eastAsia="仿宋_GB2312" w:hAnsi="Arial" w:cs="Arial"/>
          <w:color w:val="000000"/>
          <w:sz w:val="28"/>
          <w:szCs w:val="28"/>
        </w:rPr>
        <w:t>3</w:t>
      </w:r>
      <w:r w:rsidR="005B7895">
        <w:rPr>
          <w:rFonts w:ascii="仿宋_GB2312" w:eastAsia="仿宋_GB2312" w:hAnsi="Arial" w:cs="Arial"/>
          <w:color w:val="000000"/>
          <w:sz w:val="28"/>
          <w:szCs w:val="28"/>
        </w:rPr>
        <w:t>.</w:t>
      </w:r>
      <w:r w:rsidR="00D970AD" w:rsidRPr="005B7895">
        <w:rPr>
          <w:rFonts w:ascii="仿宋_GB2312" w:eastAsia="仿宋_GB2312" w:hAnsi="Arial" w:cs="Arial" w:hint="eastAsia"/>
          <w:color w:val="000000"/>
          <w:sz w:val="28"/>
          <w:szCs w:val="28"/>
        </w:rPr>
        <w:t>公募基金投资：信信向荣增强2号的公募基金投资范围新增香港互认基金；</w:t>
      </w:r>
    </w:p>
    <w:p w:rsidR="00D970AD" w:rsidRPr="005B7895" w:rsidRDefault="00844242" w:rsidP="005B7895">
      <w:pPr>
        <w:widowControl/>
        <w:spacing w:line="360" w:lineRule="atLeast"/>
        <w:ind w:firstLineChars="200" w:firstLine="560"/>
        <w:rPr>
          <w:rFonts w:ascii="仿宋_GB2312" w:eastAsia="仿宋_GB2312" w:hAnsi="Arial" w:cs="Arial"/>
          <w:color w:val="000000"/>
          <w:sz w:val="28"/>
          <w:szCs w:val="28"/>
        </w:rPr>
      </w:pPr>
      <w:r>
        <w:rPr>
          <w:rFonts w:ascii="仿宋_GB2312" w:eastAsia="仿宋_GB2312" w:hAnsi="Arial" w:cs="Arial"/>
          <w:color w:val="000000"/>
          <w:sz w:val="28"/>
          <w:szCs w:val="28"/>
        </w:rPr>
        <w:t>4</w:t>
      </w:r>
      <w:r w:rsidR="005B7895">
        <w:rPr>
          <w:rFonts w:ascii="仿宋_GB2312" w:eastAsia="仿宋_GB2312" w:hAnsi="Arial" w:cs="Arial"/>
          <w:color w:val="000000"/>
          <w:sz w:val="28"/>
          <w:szCs w:val="28"/>
        </w:rPr>
        <w:t>.</w:t>
      </w:r>
      <w:r w:rsidR="00D970AD" w:rsidRPr="005B7895">
        <w:rPr>
          <w:rFonts w:ascii="仿宋_GB2312" w:eastAsia="仿宋_GB2312" w:hAnsi="Arial" w:cs="Arial" w:hint="eastAsia"/>
          <w:color w:val="000000"/>
          <w:sz w:val="28"/>
          <w:szCs w:val="28"/>
        </w:rPr>
        <w:t>衍生品类资产：信信向荣增强2号的衍生品投资范围新增信用联结票据（CLN）。</w:t>
      </w:r>
    </w:p>
    <w:p w:rsidR="00D970AD" w:rsidRPr="00E62E71" w:rsidRDefault="00D970AD" w:rsidP="005B7895">
      <w:pPr>
        <w:widowControl/>
        <w:spacing w:line="360" w:lineRule="atLeast"/>
        <w:ind w:firstLineChars="200" w:firstLine="560"/>
        <w:rPr>
          <w:rFonts w:ascii="仿宋_GB2312" w:eastAsia="仿宋_GB2312" w:hAnsi="Arial" w:cs="Arial"/>
          <w:color w:val="000000"/>
          <w:kern w:val="0"/>
          <w:sz w:val="28"/>
          <w:szCs w:val="28"/>
        </w:rPr>
      </w:pPr>
      <w:r w:rsidRPr="00E62E71">
        <w:rPr>
          <w:rFonts w:ascii="仿宋_GB2312" w:eastAsia="仿宋_GB2312" w:hAnsi="Arial" w:cs="Arial" w:hint="eastAsia"/>
          <w:color w:val="000000"/>
          <w:kern w:val="0"/>
          <w:sz w:val="28"/>
          <w:szCs w:val="28"/>
        </w:rPr>
        <w:t>（二）投资比例限制差异</w:t>
      </w:r>
    </w:p>
    <w:p w:rsidR="00D970AD" w:rsidRPr="00E62E71" w:rsidRDefault="00D970AD" w:rsidP="005B7895">
      <w:pPr>
        <w:spacing w:line="360" w:lineRule="atLeast"/>
        <w:ind w:firstLineChars="200" w:firstLine="560"/>
        <w:rPr>
          <w:rFonts w:ascii="仿宋_GB2312" w:eastAsia="仿宋_GB2312" w:hAnsi="Arial" w:cs="Arial"/>
          <w:color w:val="000000"/>
          <w:sz w:val="28"/>
          <w:szCs w:val="28"/>
        </w:rPr>
      </w:pPr>
      <w:r w:rsidRPr="00E62E71">
        <w:rPr>
          <w:rFonts w:ascii="仿宋_GB2312" w:eastAsia="仿宋_GB2312" w:hAnsi="Arial" w:cs="Arial" w:hint="eastAsia"/>
          <w:color w:val="000000"/>
          <w:sz w:val="28"/>
          <w:szCs w:val="28"/>
        </w:rPr>
        <w:t>信信向荣增强2号在信信向荣增强1号的基础上，新增了以下投资比例限制条款：</w:t>
      </w:r>
    </w:p>
    <w:p w:rsidR="00D970AD" w:rsidRPr="005B7895" w:rsidRDefault="005B7895" w:rsidP="005B7895">
      <w:pPr>
        <w:widowControl/>
        <w:spacing w:line="360" w:lineRule="atLeast"/>
        <w:ind w:firstLineChars="200" w:firstLine="560"/>
        <w:rPr>
          <w:rFonts w:ascii="仿宋_GB2312" w:eastAsia="仿宋_GB2312" w:hAnsi="Arial" w:cs="Arial"/>
          <w:color w:val="000000"/>
          <w:sz w:val="28"/>
          <w:szCs w:val="28"/>
        </w:rPr>
      </w:pPr>
      <w:r>
        <w:rPr>
          <w:rFonts w:ascii="仿宋_GB2312" w:eastAsia="仿宋_GB2312" w:hAnsi="Arial" w:cs="Arial" w:hint="eastAsia"/>
          <w:color w:val="000000"/>
          <w:sz w:val="28"/>
          <w:szCs w:val="28"/>
        </w:rPr>
        <w:t>1</w:t>
      </w:r>
      <w:r>
        <w:rPr>
          <w:rFonts w:ascii="仿宋_GB2312" w:eastAsia="仿宋_GB2312" w:hAnsi="Arial" w:cs="Arial"/>
          <w:color w:val="000000"/>
          <w:sz w:val="28"/>
          <w:szCs w:val="28"/>
        </w:rPr>
        <w:t>.</w:t>
      </w:r>
      <w:r w:rsidR="00D970AD" w:rsidRPr="005B7895">
        <w:rPr>
          <w:rFonts w:ascii="仿宋_GB2312" w:eastAsia="仿宋_GB2312" w:hAnsi="Arial" w:cs="Arial" w:hint="eastAsia"/>
          <w:color w:val="000000"/>
          <w:sz w:val="28"/>
          <w:szCs w:val="28"/>
        </w:rPr>
        <w:t>投资于同一主体发行的信用债的比例合计不超过集合计划净资产的50%；</w:t>
      </w:r>
    </w:p>
    <w:p w:rsidR="00D970AD" w:rsidRPr="005B7895" w:rsidRDefault="005B7895" w:rsidP="005B7895">
      <w:pPr>
        <w:widowControl/>
        <w:spacing w:line="360" w:lineRule="atLeast"/>
        <w:ind w:firstLineChars="200" w:firstLine="560"/>
        <w:rPr>
          <w:rFonts w:ascii="仿宋_GB2312" w:eastAsia="仿宋_GB2312" w:hAnsi="Arial" w:cs="Arial"/>
          <w:color w:val="000000"/>
          <w:sz w:val="28"/>
          <w:szCs w:val="28"/>
        </w:rPr>
      </w:pPr>
      <w:r>
        <w:rPr>
          <w:rFonts w:ascii="仿宋_GB2312" w:eastAsia="仿宋_GB2312" w:hAnsi="Arial" w:cs="Arial" w:hint="eastAsia"/>
          <w:color w:val="000000"/>
          <w:sz w:val="28"/>
          <w:szCs w:val="28"/>
        </w:rPr>
        <w:t>2</w:t>
      </w:r>
      <w:r>
        <w:rPr>
          <w:rFonts w:ascii="仿宋_GB2312" w:eastAsia="仿宋_GB2312" w:hAnsi="Arial" w:cs="Arial"/>
          <w:color w:val="000000"/>
          <w:sz w:val="28"/>
          <w:szCs w:val="28"/>
        </w:rPr>
        <w:t>.</w:t>
      </w:r>
      <w:r w:rsidR="00D970AD" w:rsidRPr="005B7895">
        <w:rPr>
          <w:rFonts w:ascii="仿宋_GB2312" w:eastAsia="仿宋_GB2312" w:hAnsi="Arial" w:cs="Arial" w:hint="eastAsia"/>
          <w:color w:val="000000"/>
          <w:sz w:val="28"/>
          <w:szCs w:val="28"/>
        </w:rPr>
        <w:t>投资于公开募集基础设施证券投资基金、优先股的比例合计不超过集合计划净资产的20%；</w:t>
      </w:r>
    </w:p>
    <w:p w:rsidR="00E62E71" w:rsidRPr="005B7895" w:rsidRDefault="005B7895" w:rsidP="005B7895">
      <w:pPr>
        <w:widowControl/>
        <w:spacing w:line="360" w:lineRule="atLeast"/>
        <w:ind w:firstLineChars="200" w:firstLine="560"/>
        <w:rPr>
          <w:rFonts w:ascii="仿宋_GB2312" w:eastAsia="仿宋_GB2312" w:hAnsi="Arial" w:cs="Arial"/>
          <w:color w:val="000000"/>
          <w:sz w:val="28"/>
          <w:szCs w:val="28"/>
        </w:rPr>
      </w:pPr>
      <w:r>
        <w:rPr>
          <w:rFonts w:ascii="仿宋_GB2312" w:eastAsia="仿宋_GB2312" w:hAnsi="Arial" w:cs="Arial" w:hint="eastAsia"/>
          <w:color w:val="000000"/>
          <w:sz w:val="28"/>
          <w:szCs w:val="28"/>
        </w:rPr>
        <w:t>3</w:t>
      </w:r>
      <w:r>
        <w:rPr>
          <w:rFonts w:ascii="仿宋_GB2312" w:eastAsia="仿宋_GB2312" w:hAnsi="Arial" w:cs="Arial"/>
          <w:color w:val="000000"/>
          <w:sz w:val="28"/>
          <w:szCs w:val="28"/>
        </w:rPr>
        <w:t>.</w:t>
      </w:r>
      <w:r w:rsidR="00D970AD" w:rsidRPr="005B7895">
        <w:rPr>
          <w:rFonts w:ascii="仿宋_GB2312" w:eastAsia="仿宋_GB2312" w:hAnsi="Arial" w:cs="Arial" w:hint="eastAsia"/>
          <w:color w:val="000000"/>
          <w:sz w:val="28"/>
          <w:szCs w:val="28"/>
        </w:rPr>
        <w:t>投资于非公开发行信用债的比例合计不超过集合计划净资产的80%；</w:t>
      </w:r>
    </w:p>
    <w:p w:rsidR="00D970AD" w:rsidRPr="00495982" w:rsidRDefault="005B7895" w:rsidP="005B7895">
      <w:pPr>
        <w:widowControl/>
        <w:spacing w:line="360" w:lineRule="atLeast"/>
        <w:ind w:firstLineChars="200" w:firstLine="560"/>
        <w:rPr>
          <w:rFonts w:ascii="仿宋_GB2312" w:eastAsia="仿宋_GB2312" w:hAnsi="Arial" w:cs="Arial"/>
          <w:color w:val="000000"/>
          <w:sz w:val="28"/>
          <w:szCs w:val="28"/>
        </w:rPr>
      </w:pPr>
      <w:r w:rsidRPr="00495982">
        <w:rPr>
          <w:rFonts w:ascii="仿宋_GB2312" w:eastAsia="仿宋_GB2312" w:hAnsi="Arial" w:cs="Arial" w:hint="eastAsia"/>
          <w:color w:val="000000"/>
          <w:sz w:val="28"/>
          <w:szCs w:val="28"/>
        </w:rPr>
        <w:t>4</w:t>
      </w:r>
      <w:r w:rsidRPr="00495982">
        <w:rPr>
          <w:rFonts w:ascii="仿宋_GB2312" w:eastAsia="仿宋_GB2312" w:hAnsi="Arial" w:cs="Arial"/>
          <w:color w:val="000000"/>
          <w:sz w:val="28"/>
          <w:szCs w:val="28"/>
        </w:rPr>
        <w:t>.</w:t>
      </w:r>
      <w:r w:rsidR="00D970AD" w:rsidRPr="00495982">
        <w:rPr>
          <w:rFonts w:ascii="仿宋_GB2312" w:eastAsia="仿宋_GB2312" w:hAnsi="Arial" w:cs="Arial" w:hint="eastAsia"/>
          <w:color w:val="000000"/>
          <w:sz w:val="28"/>
          <w:szCs w:val="28"/>
        </w:rPr>
        <w:t>新增穿透计算规则：本集合计划投资于其他资产管理产品的，大类资产配置比例、总资产占净资产比例应当按照穿透原则合并计算。本集合计划投资于其他私募资产管理产品的，应当按照穿透原则合并计算投资同一资产的比例以及投资同一或者同类资产的金额。本集合</w:t>
      </w:r>
      <w:r w:rsidR="00D970AD" w:rsidRPr="00495982">
        <w:rPr>
          <w:rFonts w:ascii="仿宋_GB2312" w:eastAsia="仿宋_GB2312" w:hAnsi="Arial" w:cs="Arial" w:hint="eastAsia"/>
          <w:color w:val="000000"/>
          <w:sz w:val="28"/>
          <w:szCs w:val="28"/>
        </w:rPr>
        <w:lastRenderedPageBreak/>
        <w:t>计划应当按照所投资资产管理产品披露投资组合的频率，及时更新计算本集合计划所投资资产的金额或比例；</w:t>
      </w:r>
    </w:p>
    <w:p w:rsidR="00D970AD" w:rsidRPr="00495982" w:rsidRDefault="005B7895" w:rsidP="005B7895">
      <w:pPr>
        <w:widowControl/>
        <w:spacing w:line="360" w:lineRule="atLeast"/>
        <w:ind w:firstLineChars="200" w:firstLine="560"/>
        <w:rPr>
          <w:rFonts w:ascii="仿宋_GB2312" w:eastAsia="仿宋_GB2312" w:hAnsi="Arial" w:cs="Arial"/>
          <w:color w:val="000000"/>
          <w:sz w:val="28"/>
          <w:szCs w:val="28"/>
        </w:rPr>
      </w:pPr>
      <w:r w:rsidRPr="00495982">
        <w:rPr>
          <w:rFonts w:ascii="仿宋_GB2312" w:eastAsia="仿宋_GB2312" w:hAnsi="Arial" w:cs="Arial" w:hint="eastAsia"/>
          <w:color w:val="000000"/>
          <w:sz w:val="28"/>
          <w:szCs w:val="28"/>
        </w:rPr>
        <w:t>5</w:t>
      </w:r>
      <w:r w:rsidRPr="00495982">
        <w:rPr>
          <w:rFonts w:ascii="仿宋_GB2312" w:eastAsia="仿宋_GB2312" w:hAnsi="Arial" w:cs="Arial"/>
          <w:color w:val="000000"/>
          <w:sz w:val="28"/>
          <w:szCs w:val="28"/>
        </w:rPr>
        <w:t>.</w:t>
      </w:r>
      <w:r w:rsidR="00D970AD" w:rsidRPr="00495982">
        <w:rPr>
          <w:rFonts w:ascii="仿宋_GB2312" w:eastAsia="仿宋_GB2312" w:hAnsi="Arial" w:cs="Arial" w:hint="eastAsia"/>
          <w:color w:val="000000"/>
          <w:sz w:val="28"/>
          <w:szCs w:val="28"/>
        </w:rPr>
        <w:t>新增被动超标调整规则：因证券期货市场波动、证券发行人合并、资产管理计划规模变动、信用评级变化等管理人之外的因素导致资产管理计划投资不符合本合同或法律、行政法规和中国证监会规定的投资比例和投资限制的，管理人应当在流动性受限资产可出售、可转让或者恢复交易的20个交易日内调整至符合要求。确有特殊事由未能在规定时间内完成调整的，应当按照相关规定及时报告；</w:t>
      </w:r>
    </w:p>
    <w:p w:rsidR="00D970AD" w:rsidRPr="00E62E71" w:rsidRDefault="00D970AD" w:rsidP="00E62E71">
      <w:pPr>
        <w:widowControl/>
        <w:spacing w:line="360" w:lineRule="atLeast"/>
        <w:ind w:firstLineChars="200" w:firstLine="562"/>
        <w:outlineLvl w:val="1"/>
        <w:rPr>
          <w:rFonts w:ascii="仿宋_GB2312" w:eastAsia="仿宋_GB2312" w:hAnsi="Arial" w:cs="Arial"/>
          <w:b/>
          <w:color w:val="000000"/>
          <w:kern w:val="0"/>
          <w:sz w:val="28"/>
          <w:szCs w:val="28"/>
        </w:rPr>
      </w:pPr>
      <w:r w:rsidRPr="00495982">
        <w:rPr>
          <w:rFonts w:ascii="仿宋_GB2312" w:eastAsia="仿宋_GB2312" w:hAnsi="Arial" w:cs="Arial" w:hint="eastAsia"/>
          <w:b/>
          <w:color w:val="000000"/>
          <w:kern w:val="0"/>
          <w:sz w:val="28"/>
          <w:szCs w:val="28"/>
        </w:rPr>
        <w:t>三、本次投资的运作安排</w:t>
      </w:r>
    </w:p>
    <w:p w:rsidR="00D970AD" w:rsidRPr="00E62E71" w:rsidRDefault="00D970AD" w:rsidP="00E62E71">
      <w:pPr>
        <w:spacing w:line="360" w:lineRule="atLeast"/>
        <w:ind w:firstLineChars="200" w:firstLine="560"/>
        <w:rPr>
          <w:rFonts w:ascii="仿宋_GB2312" w:eastAsia="仿宋_GB2312" w:hAnsi="Arial" w:cs="Arial"/>
          <w:color w:val="000000"/>
          <w:sz w:val="28"/>
          <w:szCs w:val="28"/>
        </w:rPr>
      </w:pPr>
      <w:r w:rsidRPr="00E62E71">
        <w:rPr>
          <w:rFonts w:ascii="仿宋_GB2312" w:eastAsia="仿宋_GB2312" w:hAnsi="Arial" w:cs="Arial" w:hint="eastAsia"/>
          <w:color w:val="000000"/>
          <w:sz w:val="28"/>
          <w:szCs w:val="28"/>
        </w:rPr>
        <w:t>本次新增投资信信向荣增强2号的操作，</w:t>
      </w:r>
      <w:r w:rsidRPr="00E62E71">
        <w:rPr>
          <w:rStyle w:val="a5"/>
          <w:rFonts w:ascii="仿宋_GB2312" w:eastAsia="仿宋_GB2312" w:hAnsi="Arial" w:cs="Arial" w:hint="eastAsia"/>
          <w:b w:val="0"/>
          <w:bCs w:val="0"/>
          <w:color w:val="000000"/>
          <w:sz w:val="28"/>
          <w:szCs w:val="28"/>
        </w:rPr>
        <w:t>不触发产品临时开放等相关操作</w:t>
      </w:r>
      <w:r w:rsidRPr="00E62E71">
        <w:rPr>
          <w:rFonts w:ascii="仿宋_GB2312" w:eastAsia="仿宋_GB2312" w:hAnsi="Arial" w:cs="Arial" w:hint="eastAsia"/>
          <w:color w:val="000000"/>
          <w:sz w:val="28"/>
          <w:szCs w:val="28"/>
        </w:rPr>
        <w:t>，不会对委托人的现有持有份额、产品权益及正常申赎安排产生任何影响。本产品的整体投资策略、风险收益特征、运作模式均保持不变。</w:t>
      </w:r>
    </w:p>
    <w:p w:rsidR="007F1407" w:rsidRDefault="00906F8F" w:rsidP="00E62E71">
      <w:pPr>
        <w:spacing w:line="360" w:lineRule="atLeast"/>
        <w:ind w:firstLineChars="200" w:firstLine="560"/>
        <w:rPr>
          <w:rFonts w:ascii="仿宋_GB2312" w:eastAsia="仿宋_GB2312" w:hAnsi="宋体" w:cs="宋体"/>
          <w:kern w:val="0"/>
          <w:sz w:val="28"/>
          <w:szCs w:val="28"/>
        </w:rPr>
      </w:pPr>
      <w:r>
        <w:rPr>
          <w:rFonts w:ascii="仿宋_GB2312" w:eastAsia="仿宋_GB2312" w:hAnsi="Arial" w:cs="Arial" w:hint="eastAsia"/>
          <w:color w:val="000000"/>
          <w:sz w:val="28"/>
          <w:szCs w:val="28"/>
        </w:rPr>
        <w:t>受托人</w:t>
      </w:r>
      <w:bookmarkStart w:id="0" w:name="_GoBack"/>
      <w:bookmarkEnd w:id="0"/>
      <w:r w:rsidR="00D970AD" w:rsidRPr="00E62E71">
        <w:rPr>
          <w:rFonts w:ascii="仿宋_GB2312" w:eastAsia="仿宋_GB2312" w:hAnsi="Arial" w:cs="Arial" w:hint="eastAsia"/>
          <w:color w:val="000000"/>
          <w:sz w:val="28"/>
          <w:szCs w:val="28"/>
        </w:rPr>
        <w:t>将持续做好标的资产的风险监控与投后管理工作，全力维护委托人的合法权益。本公告为产品运作过程中的常规信息披露，</w:t>
      </w:r>
      <w:r w:rsidR="007F1407">
        <w:rPr>
          <w:rFonts w:ascii="仿宋_GB2312" w:eastAsia="仿宋_GB2312" w:hAnsi="Arial" w:cs="Arial" w:hint="eastAsia"/>
          <w:color w:val="000000"/>
          <w:sz w:val="28"/>
          <w:szCs w:val="28"/>
        </w:rPr>
        <w:t>如有任何疑问，</w:t>
      </w:r>
      <w:r w:rsidR="007F1407" w:rsidRPr="00B83BB7">
        <w:rPr>
          <w:rFonts w:ascii="仿宋_GB2312" w:eastAsia="仿宋_GB2312" w:hAnsi="宋体" w:cs="宋体" w:hint="eastAsia"/>
          <w:kern w:val="0"/>
          <w:sz w:val="28"/>
          <w:szCs w:val="28"/>
        </w:rPr>
        <w:t>可以通过400-0855-800电话客服，或发送邮件到个人隐私答疑服务邮箱</w:t>
      </w:r>
      <w:hyperlink r:id="rId7" w:tgtFrame="_blank" w:history="1">
        <w:r w:rsidR="007F1407" w:rsidRPr="00B83BB7">
          <w:rPr>
            <w:rFonts w:ascii="仿宋_GB2312" w:eastAsia="仿宋_GB2312" w:hAnsi="宋体" w:cs="宋体" w:hint="eastAsia"/>
            <w:kern w:val="0"/>
            <w:sz w:val="28"/>
            <w:szCs w:val="28"/>
          </w:rPr>
          <w:t>cxxt@hnchasing.com</w:t>
        </w:r>
      </w:hyperlink>
      <w:r w:rsidR="007F1407" w:rsidRPr="00B83BB7">
        <w:rPr>
          <w:rFonts w:ascii="仿宋_GB2312" w:eastAsia="仿宋_GB2312" w:hAnsi="宋体" w:cs="宋体" w:hint="eastAsia"/>
          <w:kern w:val="0"/>
          <w:sz w:val="28"/>
          <w:szCs w:val="28"/>
        </w:rPr>
        <w:t>，或联系您的专属客户经理与我司联系。</w:t>
      </w:r>
    </w:p>
    <w:p w:rsidR="00E62E71" w:rsidRPr="00E62E71" w:rsidRDefault="00D970AD" w:rsidP="00E62E71">
      <w:pPr>
        <w:spacing w:line="360" w:lineRule="atLeast"/>
        <w:ind w:firstLineChars="200" w:firstLine="560"/>
        <w:rPr>
          <w:rFonts w:ascii="仿宋_GB2312" w:eastAsia="仿宋_GB2312" w:hAnsi="Arial" w:cs="Arial"/>
          <w:color w:val="000000"/>
          <w:sz w:val="28"/>
          <w:szCs w:val="28"/>
        </w:rPr>
      </w:pPr>
      <w:r w:rsidRPr="00E62E71">
        <w:rPr>
          <w:rFonts w:ascii="仿宋_GB2312" w:eastAsia="仿宋_GB2312" w:hAnsi="Arial" w:cs="Arial" w:hint="eastAsia"/>
          <w:color w:val="000000"/>
          <w:sz w:val="28"/>
          <w:szCs w:val="28"/>
        </w:rPr>
        <w:t>特此公告。</w:t>
      </w:r>
    </w:p>
    <w:sectPr w:rsidR="00E62E71" w:rsidRPr="00E62E7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311A" w:rsidRDefault="00D5311A" w:rsidP="004834A3">
      <w:r>
        <w:separator/>
      </w:r>
    </w:p>
  </w:endnote>
  <w:endnote w:type="continuationSeparator" w:id="0">
    <w:p w:rsidR="00D5311A" w:rsidRDefault="00D5311A" w:rsidP="00483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311A" w:rsidRDefault="00D5311A" w:rsidP="004834A3">
      <w:r>
        <w:separator/>
      </w:r>
    </w:p>
  </w:footnote>
  <w:footnote w:type="continuationSeparator" w:id="0">
    <w:p w:rsidR="00D5311A" w:rsidRDefault="00D5311A" w:rsidP="004834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921858"/>
    <w:multiLevelType w:val="hybridMultilevel"/>
    <w:tmpl w:val="1B7E2714"/>
    <w:lvl w:ilvl="0" w:tplc="0409000F">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1" w15:restartNumberingAfterBreak="0">
    <w:nsid w:val="2D5E3585"/>
    <w:multiLevelType w:val="hybridMultilevel"/>
    <w:tmpl w:val="D59410E6"/>
    <w:lvl w:ilvl="0" w:tplc="0409000F">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2" w15:restartNumberingAfterBreak="0">
    <w:nsid w:val="3BA96FA7"/>
    <w:multiLevelType w:val="hybridMultilevel"/>
    <w:tmpl w:val="6060A4F0"/>
    <w:lvl w:ilvl="0" w:tplc="0409000F">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3" w15:restartNumberingAfterBreak="0">
    <w:nsid w:val="432A5F94"/>
    <w:multiLevelType w:val="hybridMultilevel"/>
    <w:tmpl w:val="09FA0F5C"/>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15:restartNumberingAfterBreak="0">
    <w:nsid w:val="44A35BBF"/>
    <w:multiLevelType w:val="multilevel"/>
    <w:tmpl w:val="E54A0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757BD6"/>
    <w:multiLevelType w:val="hybridMultilevel"/>
    <w:tmpl w:val="354E4C76"/>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15:restartNumberingAfterBreak="0">
    <w:nsid w:val="5D6002A7"/>
    <w:multiLevelType w:val="multilevel"/>
    <w:tmpl w:val="E0BC1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0"/>
  </w:num>
  <w:num w:numId="4">
    <w:abstractNumId w:val="2"/>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463"/>
    <w:rsid w:val="002746F8"/>
    <w:rsid w:val="004635F1"/>
    <w:rsid w:val="004834A3"/>
    <w:rsid w:val="00495982"/>
    <w:rsid w:val="00570085"/>
    <w:rsid w:val="005B7895"/>
    <w:rsid w:val="00661252"/>
    <w:rsid w:val="006B07FD"/>
    <w:rsid w:val="007F1407"/>
    <w:rsid w:val="00844242"/>
    <w:rsid w:val="00906F8F"/>
    <w:rsid w:val="00D5311A"/>
    <w:rsid w:val="00D970AD"/>
    <w:rsid w:val="00E62E71"/>
    <w:rsid w:val="00EE4529"/>
    <w:rsid w:val="00F20866"/>
    <w:rsid w:val="00F65463"/>
    <w:rsid w:val="00FB0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EFE43E-93FA-4672-A06E-CC7325E3A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D970AD"/>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D970A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34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34A3"/>
    <w:rPr>
      <w:sz w:val="18"/>
      <w:szCs w:val="18"/>
    </w:rPr>
  </w:style>
  <w:style w:type="paragraph" w:styleId="a4">
    <w:name w:val="footer"/>
    <w:basedOn w:val="a"/>
    <w:link w:val="Char0"/>
    <w:uiPriority w:val="99"/>
    <w:unhideWhenUsed/>
    <w:rsid w:val="004834A3"/>
    <w:pPr>
      <w:tabs>
        <w:tab w:val="center" w:pos="4153"/>
        <w:tab w:val="right" w:pos="8306"/>
      </w:tabs>
      <w:snapToGrid w:val="0"/>
      <w:jc w:val="left"/>
    </w:pPr>
    <w:rPr>
      <w:sz w:val="18"/>
      <w:szCs w:val="18"/>
    </w:rPr>
  </w:style>
  <w:style w:type="character" w:customStyle="1" w:styleId="Char0">
    <w:name w:val="页脚 Char"/>
    <w:basedOn w:val="a0"/>
    <w:link w:val="a4"/>
    <w:uiPriority w:val="99"/>
    <w:rsid w:val="004834A3"/>
    <w:rPr>
      <w:sz w:val="18"/>
      <w:szCs w:val="18"/>
    </w:rPr>
  </w:style>
  <w:style w:type="character" w:customStyle="1" w:styleId="2Char">
    <w:name w:val="标题 2 Char"/>
    <w:basedOn w:val="a0"/>
    <w:link w:val="2"/>
    <w:uiPriority w:val="9"/>
    <w:rsid w:val="00D970AD"/>
    <w:rPr>
      <w:rFonts w:ascii="宋体" w:eastAsia="宋体" w:hAnsi="宋体" w:cs="宋体"/>
      <w:b/>
      <w:bCs/>
      <w:kern w:val="0"/>
      <w:sz w:val="36"/>
      <w:szCs w:val="36"/>
    </w:rPr>
  </w:style>
  <w:style w:type="character" w:styleId="a5">
    <w:name w:val="Strong"/>
    <w:basedOn w:val="a0"/>
    <w:uiPriority w:val="22"/>
    <w:qFormat/>
    <w:rsid w:val="00D970AD"/>
    <w:rPr>
      <w:b/>
      <w:bCs/>
    </w:rPr>
  </w:style>
  <w:style w:type="character" w:customStyle="1" w:styleId="3Char">
    <w:name w:val="标题 3 Char"/>
    <w:basedOn w:val="a0"/>
    <w:link w:val="3"/>
    <w:uiPriority w:val="9"/>
    <w:semiHidden/>
    <w:rsid w:val="00D970AD"/>
    <w:rPr>
      <w:b/>
      <w:bCs/>
      <w:sz w:val="32"/>
      <w:szCs w:val="32"/>
    </w:rPr>
  </w:style>
  <w:style w:type="paragraph" w:styleId="a6">
    <w:name w:val="List Paragraph"/>
    <w:basedOn w:val="a"/>
    <w:uiPriority w:val="34"/>
    <w:qFormat/>
    <w:rsid w:val="00E62E7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636168">
      <w:bodyDiv w:val="1"/>
      <w:marLeft w:val="0"/>
      <w:marRight w:val="0"/>
      <w:marTop w:val="0"/>
      <w:marBottom w:val="0"/>
      <w:divBdr>
        <w:top w:val="none" w:sz="0" w:space="0" w:color="auto"/>
        <w:left w:val="none" w:sz="0" w:space="0" w:color="auto"/>
        <w:bottom w:val="none" w:sz="0" w:space="0" w:color="auto"/>
        <w:right w:val="none" w:sz="0" w:space="0" w:color="auto"/>
      </w:divBdr>
      <w:divsChild>
        <w:div w:id="948003288">
          <w:marLeft w:val="0"/>
          <w:marRight w:val="0"/>
          <w:marTop w:val="0"/>
          <w:marBottom w:val="0"/>
          <w:divBdr>
            <w:top w:val="none" w:sz="0" w:space="0" w:color="auto"/>
            <w:left w:val="none" w:sz="0" w:space="0" w:color="auto"/>
            <w:bottom w:val="none" w:sz="0" w:space="0" w:color="auto"/>
            <w:right w:val="none" w:sz="0" w:space="0" w:color="auto"/>
          </w:divBdr>
        </w:div>
        <w:div w:id="1746489128">
          <w:marLeft w:val="0"/>
          <w:marRight w:val="0"/>
          <w:marTop w:val="0"/>
          <w:marBottom w:val="0"/>
          <w:divBdr>
            <w:top w:val="none" w:sz="0" w:space="0" w:color="auto"/>
            <w:left w:val="none" w:sz="0" w:space="0" w:color="auto"/>
            <w:bottom w:val="none" w:sz="0" w:space="0" w:color="auto"/>
            <w:right w:val="none" w:sz="0" w:space="0" w:color="auto"/>
          </w:divBdr>
        </w:div>
        <w:div w:id="1606888858">
          <w:marLeft w:val="0"/>
          <w:marRight w:val="0"/>
          <w:marTop w:val="0"/>
          <w:marBottom w:val="0"/>
          <w:divBdr>
            <w:top w:val="none" w:sz="0" w:space="0" w:color="auto"/>
            <w:left w:val="none" w:sz="0" w:space="0" w:color="auto"/>
            <w:bottom w:val="none" w:sz="0" w:space="0" w:color="auto"/>
            <w:right w:val="none" w:sz="0" w:space="0" w:color="auto"/>
          </w:divBdr>
        </w:div>
        <w:div w:id="1159426512">
          <w:marLeft w:val="0"/>
          <w:marRight w:val="0"/>
          <w:marTop w:val="0"/>
          <w:marBottom w:val="0"/>
          <w:divBdr>
            <w:top w:val="none" w:sz="0" w:space="0" w:color="auto"/>
            <w:left w:val="none" w:sz="0" w:space="0" w:color="auto"/>
            <w:bottom w:val="none" w:sz="0" w:space="0" w:color="auto"/>
            <w:right w:val="none" w:sz="0" w:space="0" w:color="auto"/>
          </w:divBdr>
          <w:divsChild>
            <w:div w:id="96099126">
              <w:marLeft w:val="0"/>
              <w:marRight w:val="0"/>
              <w:marTop w:val="0"/>
              <w:marBottom w:val="0"/>
              <w:divBdr>
                <w:top w:val="none" w:sz="0" w:space="0" w:color="auto"/>
                <w:left w:val="none" w:sz="0" w:space="0" w:color="auto"/>
                <w:bottom w:val="none" w:sz="0" w:space="0" w:color="auto"/>
                <w:right w:val="none" w:sz="0" w:space="0" w:color="auto"/>
              </w:divBdr>
            </w:div>
          </w:divsChild>
        </w:div>
        <w:div w:id="446853641">
          <w:marLeft w:val="0"/>
          <w:marRight w:val="0"/>
          <w:marTop w:val="0"/>
          <w:marBottom w:val="0"/>
          <w:divBdr>
            <w:top w:val="none" w:sz="0" w:space="0" w:color="auto"/>
            <w:left w:val="none" w:sz="0" w:space="0" w:color="auto"/>
            <w:bottom w:val="none" w:sz="0" w:space="0" w:color="auto"/>
            <w:right w:val="none" w:sz="0" w:space="0" w:color="auto"/>
          </w:divBdr>
        </w:div>
        <w:div w:id="2040204005">
          <w:marLeft w:val="0"/>
          <w:marRight w:val="0"/>
          <w:marTop w:val="0"/>
          <w:marBottom w:val="0"/>
          <w:divBdr>
            <w:top w:val="none" w:sz="0" w:space="0" w:color="auto"/>
            <w:left w:val="none" w:sz="0" w:space="0" w:color="auto"/>
            <w:bottom w:val="none" w:sz="0" w:space="0" w:color="auto"/>
            <w:right w:val="none" w:sz="0" w:space="0" w:color="auto"/>
          </w:divBdr>
        </w:div>
        <w:div w:id="222105547">
          <w:marLeft w:val="0"/>
          <w:marRight w:val="0"/>
          <w:marTop w:val="0"/>
          <w:marBottom w:val="0"/>
          <w:divBdr>
            <w:top w:val="none" w:sz="0" w:space="0" w:color="auto"/>
            <w:left w:val="none" w:sz="0" w:space="0" w:color="auto"/>
            <w:bottom w:val="none" w:sz="0" w:space="0" w:color="auto"/>
            <w:right w:val="none" w:sz="0" w:space="0" w:color="auto"/>
          </w:divBdr>
          <w:divsChild>
            <w:div w:id="1988900721">
              <w:marLeft w:val="0"/>
              <w:marRight w:val="0"/>
              <w:marTop w:val="0"/>
              <w:marBottom w:val="0"/>
              <w:divBdr>
                <w:top w:val="none" w:sz="0" w:space="0" w:color="auto"/>
                <w:left w:val="none" w:sz="0" w:space="0" w:color="auto"/>
                <w:bottom w:val="none" w:sz="0" w:space="0" w:color="auto"/>
                <w:right w:val="none" w:sz="0" w:space="0" w:color="auto"/>
              </w:divBdr>
            </w:div>
          </w:divsChild>
        </w:div>
        <w:div w:id="1917009683">
          <w:marLeft w:val="0"/>
          <w:marRight w:val="0"/>
          <w:marTop w:val="0"/>
          <w:marBottom w:val="0"/>
          <w:divBdr>
            <w:top w:val="none" w:sz="0" w:space="0" w:color="auto"/>
            <w:left w:val="none" w:sz="0" w:space="0" w:color="auto"/>
            <w:bottom w:val="none" w:sz="0" w:space="0" w:color="auto"/>
            <w:right w:val="none" w:sz="0" w:space="0" w:color="auto"/>
          </w:divBdr>
        </w:div>
        <w:div w:id="1435905695">
          <w:marLeft w:val="0"/>
          <w:marRight w:val="0"/>
          <w:marTop w:val="0"/>
          <w:marBottom w:val="0"/>
          <w:divBdr>
            <w:top w:val="none" w:sz="0" w:space="0" w:color="auto"/>
            <w:left w:val="none" w:sz="0" w:space="0" w:color="auto"/>
            <w:bottom w:val="none" w:sz="0" w:space="0" w:color="auto"/>
            <w:right w:val="none" w:sz="0" w:space="0" w:color="auto"/>
          </w:divBdr>
          <w:divsChild>
            <w:div w:id="1563366610">
              <w:marLeft w:val="0"/>
              <w:marRight w:val="0"/>
              <w:marTop w:val="0"/>
              <w:marBottom w:val="0"/>
              <w:divBdr>
                <w:top w:val="none" w:sz="0" w:space="0" w:color="auto"/>
                <w:left w:val="none" w:sz="0" w:space="0" w:color="auto"/>
                <w:bottom w:val="none" w:sz="0" w:space="0" w:color="auto"/>
                <w:right w:val="none" w:sz="0" w:space="0" w:color="auto"/>
              </w:divBdr>
            </w:div>
          </w:divsChild>
        </w:div>
        <w:div w:id="1531336632">
          <w:marLeft w:val="0"/>
          <w:marRight w:val="0"/>
          <w:marTop w:val="0"/>
          <w:marBottom w:val="0"/>
          <w:divBdr>
            <w:top w:val="none" w:sz="0" w:space="0" w:color="auto"/>
            <w:left w:val="none" w:sz="0" w:space="0" w:color="auto"/>
            <w:bottom w:val="none" w:sz="0" w:space="0" w:color="auto"/>
            <w:right w:val="none" w:sz="0" w:space="0" w:color="auto"/>
          </w:divBdr>
          <w:divsChild>
            <w:div w:id="496461914">
              <w:marLeft w:val="0"/>
              <w:marRight w:val="0"/>
              <w:marTop w:val="0"/>
              <w:marBottom w:val="0"/>
              <w:divBdr>
                <w:top w:val="none" w:sz="0" w:space="0" w:color="auto"/>
                <w:left w:val="none" w:sz="0" w:space="0" w:color="auto"/>
                <w:bottom w:val="none" w:sz="0" w:space="0" w:color="auto"/>
                <w:right w:val="none" w:sz="0" w:space="0" w:color="auto"/>
              </w:divBdr>
            </w:div>
          </w:divsChild>
        </w:div>
        <w:div w:id="499778420">
          <w:marLeft w:val="0"/>
          <w:marRight w:val="0"/>
          <w:marTop w:val="0"/>
          <w:marBottom w:val="0"/>
          <w:divBdr>
            <w:top w:val="none" w:sz="0" w:space="0" w:color="auto"/>
            <w:left w:val="none" w:sz="0" w:space="0" w:color="auto"/>
            <w:bottom w:val="none" w:sz="0" w:space="0" w:color="auto"/>
            <w:right w:val="none" w:sz="0" w:space="0" w:color="auto"/>
          </w:divBdr>
          <w:divsChild>
            <w:div w:id="1195388181">
              <w:marLeft w:val="0"/>
              <w:marRight w:val="0"/>
              <w:marTop w:val="0"/>
              <w:marBottom w:val="0"/>
              <w:divBdr>
                <w:top w:val="none" w:sz="0" w:space="0" w:color="auto"/>
                <w:left w:val="none" w:sz="0" w:space="0" w:color="auto"/>
                <w:bottom w:val="none" w:sz="0" w:space="0" w:color="auto"/>
                <w:right w:val="none" w:sz="0" w:space="0" w:color="auto"/>
              </w:divBdr>
            </w:div>
          </w:divsChild>
        </w:div>
        <w:div w:id="1183473227">
          <w:marLeft w:val="0"/>
          <w:marRight w:val="0"/>
          <w:marTop w:val="0"/>
          <w:marBottom w:val="0"/>
          <w:divBdr>
            <w:top w:val="none" w:sz="0" w:space="0" w:color="auto"/>
            <w:left w:val="none" w:sz="0" w:space="0" w:color="auto"/>
            <w:bottom w:val="none" w:sz="0" w:space="0" w:color="auto"/>
            <w:right w:val="none" w:sz="0" w:space="0" w:color="auto"/>
          </w:divBdr>
          <w:divsChild>
            <w:div w:id="212915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8064">
      <w:bodyDiv w:val="1"/>
      <w:marLeft w:val="0"/>
      <w:marRight w:val="0"/>
      <w:marTop w:val="0"/>
      <w:marBottom w:val="0"/>
      <w:divBdr>
        <w:top w:val="none" w:sz="0" w:space="0" w:color="auto"/>
        <w:left w:val="none" w:sz="0" w:space="0" w:color="auto"/>
        <w:bottom w:val="none" w:sz="0" w:space="0" w:color="auto"/>
        <w:right w:val="none" w:sz="0" w:space="0" w:color="auto"/>
      </w:divBdr>
      <w:divsChild>
        <w:div w:id="1282300226">
          <w:marLeft w:val="0"/>
          <w:marRight w:val="0"/>
          <w:marTop w:val="0"/>
          <w:marBottom w:val="0"/>
          <w:divBdr>
            <w:top w:val="none" w:sz="0" w:space="0" w:color="auto"/>
            <w:left w:val="none" w:sz="0" w:space="0" w:color="auto"/>
            <w:bottom w:val="none" w:sz="0" w:space="0" w:color="auto"/>
            <w:right w:val="none" w:sz="0" w:space="0" w:color="auto"/>
          </w:divBdr>
        </w:div>
        <w:div w:id="1517689425">
          <w:marLeft w:val="0"/>
          <w:marRight w:val="0"/>
          <w:marTop w:val="0"/>
          <w:marBottom w:val="0"/>
          <w:divBdr>
            <w:top w:val="none" w:sz="0" w:space="0" w:color="auto"/>
            <w:left w:val="none" w:sz="0" w:space="0" w:color="auto"/>
            <w:bottom w:val="none" w:sz="0" w:space="0" w:color="auto"/>
            <w:right w:val="none" w:sz="0" w:space="0" w:color="auto"/>
          </w:divBdr>
          <w:divsChild>
            <w:div w:id="125910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801918">
      <w:bodyDiv w:val="1"/>
      <w:marLeft w:val="0"/>
      <w:marRight w:val="0"/>
      <w:marTop w:val="0"/>
      <w:marBottom w:val="0"/>
      <w:divBdr>
        <w:top w:val="none" w:sz="0" w:space="0" w:color="auto"/>
        <w:left w:val="none" w:sz="0" w:space="0" w:color="auto"/>
        <w:bottom w:val="none" w:sz="0" w:space="0" w:color="auto"/>
        <w:right w:val="none" w:sz="0" w:space="0" w:color="auto"/>
      </w:divBdr>
      <w:divsChild>
        <w:div w:id="1117604788">
          <w:marLeft w:val="0"/>
          <w:marRight w:val="0"/>
          <w:marTop w:val="0"/>
          <w:marBottom w:val="0"/>
          <w:divBdr>
            <w:top w:val="none" w:sz="0" w:space="0" w:color="auto"/>
            <w:left w:val="none" w:sz="0" w:space="0" w:color="auto"/>
            <w:bottom w:val="none" w:sz="0" w:space="0" w:color="auto"/>
            <w:right w:val="none" w:sz="0" w:space="0" w:color="auto"/>
          </w:divBdr>
        </w:div>
        <w:div w:id="787436820">
          <w:marLeft w:val="0"/>
          <w:marRight w:val="0"/>
          <w:marTop w:val="0"/>
          <w:marBottom w:val="0"/>
          <w:divBdr>
            <w:top w:val="none" w:sz="0" w:space="0" w:color="auto"/>
            <w:left w:val="none" w:sz="0" w:space="0" w:color="auto"/>
            <w:bottom w:val="none" w:sz="0" w:space="0" w:color="auto"/>
            <w:right w:val="none" w:sz="0" w:space="0" w:color="auto"/>
          </w:divBdr>
          <w:divsChild>
            <w:div w:id="1311786894">
              <w:marLeft w:val="0"/>
              <w:marRight w:val="0"/>
              <w:marTop w:val="0"/>
              <w:marBottom w:val="0"/>
              <w:divBdr>
                <w:top w:val="none" w:sz="0" w:space="0" w:color="auto"/>
                <w:left w:val="none" w:sz="0" w:space="0" w:color="auto"/>
                <w:bottom w:val="none" w:sz="0" w:space="0" w:color="auto"/>
                <w:right w:val="none" w:sz="0" w:space="0" w:color="auto"/>
              </w:divBdr>
            </w:div>
          </w:divsChild>
        </w:div>
        <w:div w:id="1170023311">
          <w:marLeft w:val="0"/>
          <w:marRight w:val="0"/>
          <w:marTop w:val="0"/>
          <w:marBottom w:val="0"/>
          <w:divBdr>
            <w:top w:val="none" w:sz="0" w:space="0" w:color="auto"/>
            <w:left w:val="none" w:sz="0" w:space="0" w:color="auto"/>
            <w:bottom w:val="none" w:sz="0" w:space="0" w:color="auto"/>
            <w:right w:val="none" w:sz="0" w:space="0" w:color="auto"/>
          </w:divBdr>
          <w:divsChild>
            <w:div w:id="34212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1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xxt@hnchasi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227</Words>
  <Characters>1295</Characters>
  <Application>Microsoft Office Word</Application>
  <DocSecurity>0</DocSecurity>
  <Lines>10</Lines>
  <Paragraphs>3</Paragraphs>
  <ScaleCrop>false</ScaleCrop>
  <Company/>
  <LinksUpToDate>false</LinksUpToDate>
  <CharactersWithSpaces>1519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汪俊伦</dc:creator>
  <cp:keywords/>
  <dc:description/>
  <cp:lastModifiedBy>汪俊伦</cp:lastModifiedBy>
  <cp:revision>7</cp:revision>
  <cp:lastPrinted>2026-07-08T01:31:00Z</cp:lastPrinted>
  <dcterms:created xsi:type="dcterms:W3CDTF">2026-07-06T10:46:00Z</dcterms:created>
  <dcterms:modified xsi:type="dcterms:W3CDTF">2026-07-08T01:49:00Z</dcterms:modified>
</cp:coreProperties>
</file>