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 w:lineRule="atLeast"/>
        <w:jc w:val="center"/>
        <w:outlineLvl w:val="0"/>
        <w:rPr>
          <w:rFonts w:ascii="宋体" w:hAnsi="宋体"/>
          <w:b/>
          <w:sz w:val="32"/>
          <w:szCs w:val="32"/>
        </w:rPr>
      </w:pPr>
      <w:r>
        <w:rPr>
          <w:rFonts w:hint="eastAsia" w:ascii="宋体" w:hAnsi="宋体"/>
          <w:b/>
          <w:sz w:val="32"/>
          <w:szCs w:val="32"/>
        </w:rPr>
        <w:t>湖南银行理财业务客户权益须知</w:t>
      </w:r>
    </w:p>
    <w:p>
      <w:pPr>
        <w:tabs>
          <w:tab w:val="left" w:pos="0"/>
        </w:tabs>
        <w:rPr>
          <w:rFonts w:ascii="宋体"/>
        </w:rPr>
      </w:pPr>
      <w:r>
        <w:rPr>
          <w:rFonts w:hint="eastAsia" w:ascii="宋体" w:hAnsi="宋体" w:cs="宋体"/>
        </w:rPr>
        <w:t>尊敬的湖南银行理财客户：</w:t>
      </w:r>
    </w:p>
    <w:p>
      <w:pPr>
        <w:pStyle w:val="13"/>
        <w:tabs>
          <w:tab w:val="left" w:pos="0"/>
        </w:tabs>
        <w:rPr>
          <w:rFonts w:ascii="宋体"/>
        </w:rPr>
      </w:pPr>
      <w:r>
        <w:rPr>
          <w:rFonts w:hint="eastAsia" w:ascii="宋体" w:hAnsi="宋体" w:cs="宋体"/>
        </w:rPr>
        <w:t>理财投资在获取收益的同时存在投资风险。为了保护您的合法权益，请在认购/申购理财产品前认真阅读以下内容：</w:t>
      </w:r>
    </w:p>
    <w:p>
      <w:pPr>
        <w:pStyle w:val="13"/>
        <w:tabs>
          <w:tab w:val="left" w:pos="0"/>
        </w:tabs>
        <w:ind w:firstLine="422"/>
        <w:rPr>
          <w:rFonts w:ascii="宋体"/>
          <w:b/>
        </w:rPr>
      </w:pPr>
      <w:r>
        <w:rPr>
          <w:rFonts w:hint="eastAsia" w:ascii="宋体" w:hAnsi="宋体" w:cs="宋体"/>
          <w:b/>
        </w:rPr>
        <w:t>一、客户办理流程</w:t>
      </w:r>
    </w:p>
    <w:p>
      <w:pPr>
        <w:pStyle w:val="13"/>
        <w:tabs>
          <w:tab w:val="left" w:pos="0"/>
        </w:tabs>
        <w:rPr>
          <w:rFonts w:ascii="宋体" w:hAnsi="宋体" w:cs="宋体"/>
        </w:rPr>
      </w:pPr>
      <w:r>
        <w:rPr>
          <w:rFonts w:hint="eastAsia" w:ascii="宋体" w:hAnsi="宋体" w:cs="宋体"/>
        </w:rPr>
        <w:t>（一）个人客户</w:t>
      </w:r>
    </w:p>
    <w:p>
      <w:pPr>
        <w:pStyle w:val="13"/>
        <w:tabs>
          <w:tab w:val="left" w:pos="0"/>
        </w:tabs>
        <w:rPr>
          <w:rFonts w:ascii="宋体"/>
        </w:rPr>
      </w:pPr>
      <w:r>
        <w:rPr>
          <w:rFonts w:hint="eastAsia" w:ascii="宋体" w:hAnsi="宋体" w:cs="宋体"/>
        </w:rPr>
        <w:t>1、已在本行开立Ⅰ类或Ⅱ类个人银行账户；</w:t>
      </w:r>
    </w:p>
    <w:p>
      <w:pPr>
        <w:pStyle w:val="13"/>
        <w:tabs>
          <w:tab w:val="left" w:pos="0"/>
        </w:tabs>
        <w:rPr>
          <w:rFonts w:ascii="宋体"/>
        </w:rPr>
      </w:pPr>
      <w:r>
        <w:rPr>
          <w:rFonts w:hint="eastAsia" w:ascii="宋体" w:hAnsi="宋体" w:cs="宋体"/>
        </w:rPr>
        <w:t>2、接受并完成本行对您的风险承受能力评估，并根据评估结果选择适合的产品；</w:t>
      </w:r>
    </w:p>
    <w:p>
      <w:pPr>
        <w:pStyle w:val="13"/>
        <w:tabs>
          <w:tab w:val="left" w:pos="0"/>
        </w:tabs>
        <w:rPr>
          <w:rFonts w:ascii="宋体"/>
        </w:rPr>
      </w:pPr>
      <w:r>
        <w:rPr>
          <w:rFonts w:hint="eastAsia" w:ascii="宋体" w:hAnsi="宋体" w:cs="宋体"/>
        </w:rPr>
        <w:t>3、仔细阅读本《客户权益须知》《理财产品说明书》《风险揭示书》《湖南银行个人理财产品协议书》及其他销售文件（如有），确定已同意相关内容、充分了解相关风险且并无疑问和异议后，办理理财产品的认购/申购手续；</w:t>
      </w:r>
    </w:p>
    <w:p>
      <w:pPr>
        <w:pStyle w:val="13"/>
        <w:tabs>
          <w:tab w:val="left" w:pos="0"/>
        </w:tabs>
        <w:rPr>
          <w:rFonts w:ascii="宋体"/>
        </w:rPr>
      </w:pPr>
      <w:r>
        <w:rPr>
          <w:rFonts w:hint="eastAsia" w:ascii="宋体" w:hAnsi="宋体" w:cs="宋体"/>
        </w:rPr>
        <w:t>4、对本行营业网点打印或者电子银行显示的交易内容进行确认，签署并提交《湖南银行个人理财产品协议书》等销售文件；</w:t>
      </w:r>
    </w:p>
    <w:p>
      <w:pPr>
        <w:pStyle w:val="13"/>
        <w:tabs>
          <w:tab w:val="left" w:pos="0"/>
        </w:tabs>
        <w:rPr>
          <w:rFonts w:ascii="宋体" w:hAnsi="宋体" w:cs="宋体"/>
        </w:rPr>
      </w:pPr>
      <w:r>
        <w:rPr>
          <w:rFonts w:hint="eastAsia" w:ascii="宋体" w:hAnsi="宋体" w:cs="宋体"/>
        </w:rPr>
        <w:t>5、本行营业网点或者电子银行均可办理理财产品的认购/申购手续，但对于各具体理财产品，本行将自行确定发售渠道。</w:t>
      </w:r>
    </w:p>
    <w:p>
      <w:pPr>
        <w:pStyle w:val="13"/>
        <w:tabs>
          <w:tab w:val="left" w:pos="0"/>
        </w:tabs>
        <w:rPr>
          <w:rFonts w:ascii="宋体" w:hAnsi="宋体" w:cs="宋体"/>
        </w:rPr>
      </w:pPr>
      <w:r>
        <w:rPr>
          <w:rFonts w:hint="eastAsia" w:ascii="宋体" w:hAnsi="宋体" w:cs="宋体"/>
        </w:rPr>
        <w:t>（二）机构客户</w:t>
      </w:r>
    </w:p>
    <w:p>
      <w:pPr>
        <w:pStyle w:val="13"/>
        <w:tabs>
          <w:tab w:val="left" w:pos="0"/>
        </w:tabs>
        <w:rPr>
          <w:rFonts w:ascii="宋体"/>
        </w:rPr>
      </w:pPr>
      <w:r>
        <w:rPr>
          <w:rFonts w:hint="eastAsia" w:ascii="宋体"/>
        </w:rPr>
        <w:t>1、提供本行要求的相关客户资料；</w:t>
      </w:r>
    </w:p>
    <w:p>
      <w:pPr>
        <w:pStyle w:val="13"/>
        <w:tabs>
          <w:tab w:val="left" w:pos="0"/>
        </w:tabs>
        <w:rPr>
          <w:rFonts w:ascii="宋体" w:hAnsi="宋体" w:cs="宋体"/>
        </w:rPr>
      </w:pPr>
      <w:r>
        <w:rPr>
          <w:rFonts w:ascii="宋体"/>
        </w:rPr>
        <w:t>2</w:t>
      </w:r>
      <w:r>
        <w:rPr>
          <w:rFonts w:hint="eastAsia" w:ascii="宋体"/>
        </w:rPr>
        <w:t>、</w:t>
      </w:r>
      <w:r>
        <w:rPr>
          <w:rFonts w:hint="eastAsia" w:ascii="宋体" w:hAnsi="宋体" w:cs="宋体"/>
        </w:rPr>
        <w:t>仔细阅读本《客户权益须知》《理财产品说明书》《风险揭示书》《湖南银行机构理财产品协议书》及其他销售文件（如有），确定已同意相关内容、充分了解相关风险且并无疑问和异议后，办理理财产品的认购/申购手续；</w:t>
      </w:r>
    </w:p>
    <w:p>
      <w:pPr>
        <w:pStyle w:val="13"/>
        <w:tabs>
          <w:tab w:val="left" w:pos="0"/>
        </w:tabs>
        <w:rPr>
          <w:rFonts w:ascii="宋体"/>
        </w:rPr>
      </w:pPr>
      <w:r>
        <w:rPr>
          <w:rFonts w:hint="eastAsia" w:ascii="宋体" w:hAnsi="宋体" w:cs="宋体"/>
        </w:rPr>
        <w:t>3、由客户经办人对相关销售文本显示的交易内容进行确认，签署并提交《湖南银行理财产品协议书》等销售文件。</w:t>
      </w:r>
    </w:p>
    <w:p>
      <w:pPr>
        <w:pStyle w:val="13"/>
        <w:tabs>
          <w:tab w:val="left" w:pos="0"/>
        </w:tabs>
        <w:ind w:firstLine="422"/>
        <w:rPr>
          <w:rFonts w:ascii="宋体"/>
          <w:b/>
        </w:rPr>
      </w:pPr>
      <w:r>
        <w:rPr>
          <w:rFonts w:hint="eastAsia" w:ascii="宋体" w:hAnsi="宋体" w:cs="宋体"/>
          <w:b/>
        </w:rPr>
        <w:t>二、客户风险承受能力评估相关事宜</w:t>
      </w:r>
    </w:p>
    <w:p>
      <w:pPr>
        <w:pStyle w:val="13"/>
        <w:tabs>
          <w:tab w:val="left" w:pos="0"/>
        </w:tabs>
        <w:rPr>
          <w:rFonts w:ascii="宋体" w:hAnsi="宋体" w:cs="宋体"/>
        </w:rPr>
      </w:pPr>
      <w:r>
        <w:rPr>
          <w:rFonts w:hint="eastAsia" w:ascii="宋体" w:hAnsi="宋体" w:cs="宋体"/>
        </w:rPr>
        <w:t>（一）个人客户</w:t>
      </w:r>
    </w:p>
    <w:p>
      <w:pPr>
        <w:pStyle w:val="13"/>
        <w:tabs>
          <w:tab w:val="left" w:pos="0"/>
        </w:tabs>
        <w:rPr>
          <w:rFonts w:ascii="宋体"/>
        </w:rPr>
      </w:pPr>
      <w:r>
        <w:rPr>
          <w:rFonts w:hint="eastAsia" w:ascii="宋体" w:hAnsi="宋体" w:cs="宋体"/>
        </w:rPr>
        <w:t>1、评估场所：首次在本行认购/申购理财产品的，您需亲自至本行营业网点接受风险承受能力评估；此后您可通过本行营业网点或电子银行定期或不定期地完成风险承受能力评估。</w:t>
      </w:r>
    </w:p>
    <w:p>
      <w:pPr>
        <w:pStyle w:val="13"/>
        <w:tabs>
          <w:tab w:val="left" w:pos="0"/>
        </w:tabs>
        <w:rPr>
          <w:rFonts w:ascii="宋体"/>
        </w:rPr>
      </w:pPr>
      <w:r>
        <w:rPr>
          <w:rFonts w:hint="eastAsia" w:ascii="宋体" w:hAnsi="宋体" w:cs="宋体"/>
        </w:rPr>
        <w:t>2、评估流程：填写风险承受能力评估问卷，经您和客户经理双方签字确认和银行签章后，由本行将评估结果录入系统。</w:t>
      </w:r>
    </w:p>
    <w:p>
      <w:pPr>
        <w:pStyle w:val="13"/>
        <w:tabs>
          <w:tab w:val="left" w:pos="142"/>
        </w:tabs>
        <w:rPr>
          <w:rFonts w:ascii="宋体"/>
        </w:rPr>
      </w:pPr>
      <w:r>
        <w:rPr>
          <w:rFonts w:hint="eastAsia" w:ascii="宋体" w:hAnsi="宋体" w:cs="宋体"/>
        </w:rPr>
        <w:t>3、客户风险承受能力评级：本行根据客户的财务状况、投资经验、投资目的、对相关风险的认知和承受能力等因素自行设计评估问卷并确定评估标准后，将客户的风险承受能力分为五级，按照风险承受能力从低到高的顺序依次为：</w:t>
      </w:r>
      <w:r>
        <w:rPr>
          <w:rFonts w:hint="eastAsia" w:ascii="宋体" w:hAnsi="宋体" w:cs="宋体"/>
          <w:b/>
        </w:rPr>
        <w:t>保守型、谨慎型、稳健型、进取型、激进型。</w:t>
      </w:r>
    </w:p>
    <w:p>
      <w:pPr>
        <w:pStyle w:val="13"/>
        <w:tabs>
          <w:tab w:val="left" w:pos="0"/>
        </w:tabs>
        <w:rPr>
          <w:rFonts w:ascii="宋体" w:cs="宋体"/>
        </w:rPr>
      </w:pPr>
      <w:r>
        <w:rPr>
          <w:rFonts w:hint="eastAsia" w:ascii="宋体" w:hAnsi="宋体" w:cs="宋体"/>
        </w:rPr>
        <w:t>4、理财产品风险等级：本行根据自身管理制度和要求及其自行确定的内部标准，将理财产品的风险等级分为五级，按照产品风险从低到高的顺序依次为：</w:t>
      </w:r>
      <w:r>
        <w:rPr>
          <w:rFonts w:hint="eastAsia" w:ascii="宋体" w:hAnsi="宋体" w:cs="宋体"/>
          <w:b/>
        </w:rPr>
        <w:t>低风险、中低风险、中等风险、中高风险和高风险</w:t>
      </w:r>
      <w:r>
        <w:rPr>
          <w:rFonts w:hint="eastAsia" w:ascii="宋体" w:hAnsi="宋体" w:cs="宋体"/>
        </w:rPr>
        <w:t>五类。</w:t>
      </w:r>
    </w:p>
    <w:p>
      <w:pPr>
        <w:pStyle w:val="13"/>
        <w:tabs>
          <w:tab w:val="left" w:pos="0"/>
        </w:tabs>
      </w:pPr>
      <w:r>
        <w:rPr>
          <w:rFonts w:hint="eastAsia" w:ascii="宋体" w:hAnsi="宋体" w:cs="宋体"/>
        </w:rPr>
        <w:t>5、</w:t>
      </w:r>
      <w:r>
        <w:rPr>
          <w:rFonts w:hint="eastAsia"/>
        </w:rPr>
        <w:t>根据理财产品风险等级和客户风险承受能力类型评级不同，理财客户适合购买的产品风险类型亦有不同，具体为向下兼容，如下表所示。</w:t>
      </w:r>
    </w:p>
    <w:tbl>
      <w:tblPr>
        <w:tblStyle w:val="10"/>
        <w:tblW w:w="94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1260"/>
        <w:gridCol w:w="162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5" w:type="dxa"/>
            <w:tcBorders>
              <w:top w:val="single" w:color="auto" w:sz="4" w:space="0"/>
              <w:left w:val="single" w:color="auto" w:sz="4" w:space="0"/>
              <w:bottom w:val="single" w:color="auto" w:sz="4" w:space="0"/>
              <w:right w:val="single" w:color="auto" w:sz="4" w:space="0"/>
            </w:tcBorders>
            <w:vAlign w:val="top"/>
          </w:tcPr>
          <w:p>
            <w:pPr>
              <w:pStyle w:val="12"/>
              <w:spacing w:line="360" w:lineRule="auto"/>
              <w:ind w:firstLine="0" w:firstLineChars="0"/>
              <w:jc w:val="right"/>
              <w:rPr>
                <w:rFonts w:ascii="仿宋_GB2312" w:hAnsi="Calibri"/>
                <w:b/>
                <w:sz w:val="21"/>
                <w:szCs w:val="21"/>
              </w:rPr>
            </w:pPr>
            <w:r>
              <w:rPr>
                <w:rFonts w:hint="eastAsia" w:ascii="宋体" w:hAnsi="宋体" w:eastAsia="宋体" w:cs="宋体"/>
                <w:b/>
                <w:kern w:val="2"/>
                <w:sz w:val="21"/>
                <w:szCs w:val="21"/>
                <w:lang w:val="en-US" w:eastAsia="zh-CN" w:bidi="ar-SA"/>
              </w:rPr>
              <w:pict>
                <v:line id="直接连接符 3" o:spid="_x0000_s1026" o:spt="20" style="position:absolute;left:0pt;margin-left:-4pt;margin-top:1.95pt;height:52.75pt;width:94.95pt;z-index:251658240;mso-width-relative:page;mso-height-relative:page;" fillcolor="#FFFFFF" filled="f" o:preferrelative="t" stroked="t" coordsize="21600,21600">
                  <v:path arrowok="t"/>
                  <v:fill on="f" color2="#FFFFFF" focussize="0,0"/>
                  <v:stroke color="#000000" color2="#FFFFFF" miterlimit="2"/>
                  <v:imagedata gain="65536f" blacklevel="0f" gamma="0" o:title=""/>
                  <o:lock v:ext="edit" position="f" selection="f" grouping="f" rotation="f" cropping="f" text="f" aspectratio="f"/>
                </v:line>
              </w:pict>
            </w:r>
            <w:r>
              <w:rPr>
                <w:rFonts w:hint="eastAsia" w:ascii="宋体" w:hAnsi="宋体" w:cs="宋体"/>
                <w:b/>
                <w:sz w:val="21"/>
                <w:szCs w:val="21"/>
              </w:rPr>
              <w:t>产品风险情况</w:t>
            </w:r>
          </w:p>
          <w:p>
            <w:pPr>
              <w:pStyle w:val="12"/>
              <w:spacing w:line="240" w:lineRule="atLeast"/>
              <w:ind w:firstLine="0" w:firstLineChars="0"/>
              <w:rPr>
                <w:rFonts w:ascii="仿宋_GB2312" w:hAnsi="Calibri"/>
                <w:b/>
                <w:sz w:val="21"/>
                <w:szCs w:val="21"/>
              </w:rPr>
            </w:pPr>
            <w:r>
              <w:rPr>
                <w:rFonts w:hint="eastAsia" w:ascii="宋体" w:hAnsi="宋体" w:cs="宋体"/>
                <w:b/>
                <w:sz w:val="21"/>
                <w:szCs w:val="21"/>
              </w:rPr>
              <w:t>投资者</w:t>
            </w:r>
          </w:p>
          <w:p>
            <w:pPr>
              <w:pStyle w:val="12"/>
              <w:spacing w:line="240" w:lineRule="atLeast"/>
              <w:ind w:firstLine="0" w:firstLineChars="0"/>
              <w:rPr>
                <w:rFonts w:ascii="仿宋_GB2312" w:hAnsi="Calibri"/>
                <w:sz w:val="21"/>
                <w:szCs w:val="21"/>
              </w:rPr>
            </w:pPr>
            <w:r>
              <w:rPr>
                <w:rFonts w:hint="eastAsia" w:ascii="宋体" w:hAnsi="宋体" w:cs="宋体"/>
                <w:b/>
                <w:sz w:val="21"/>
                <w:szCs w:val="21"/>
              </w:rPr>
              <w:t>风险类型</w:t>
            </w:r>
          </w:p>
        </w:tc>
        <w:tc>
          <w:tcPr>
            <w:tcW w:w="1260" w:type="dxa"/>
            <w:tcBorders>
              <w:top w:val="single" w:color="auto" w:sz="4" w:space="0"/>
              <w:left w:val="single" w:color="auto" w:sz="4" w:space="0"/>
              <w:bottom w:val="single" w:color="auto" w:sz="4" w:space="0"/>
              <w:right w:val="single" w:color="auto" w:sz="4" w:space="0"/>
            </w:tcBorders>
            <w:vAlign w:val="center"/>
          </w:tcPr>
          <w:p>
            <w:pPr>
              <w:pStyle w:val="12"/>
              <w:spacing w:line="360" w:lineRule="auto"/>
              <w:ind w:firstLine="0" w:firstLineChars="0"/>
              <w:jc w:val="center"/>
              <w:rPr>
                <w:rFonts w:ascii="仿宋_GB2312" w:hAnsi="Calibri"/>
                <w:sz w:val="21"/>
                <w:szCs w:val="21"/>
              </w:rPr>
            </w:pPr>
            <w:r>
              <w:rPr>
                <w:rFonts w:hint="eastAsia" w:ascii="宋体" w:hAnsi="宋体" w:cs="宋体"/>
                <w:sz w:val="21"/>
                <w:szCs w:val="21"/>
              </w:rPr>
              <w:t>低风险</w:t>
            </w:r>
          </w:p>
        </w:tc>
        <w:tc>
          <w:tcPr>
            <w:tcW w:w="1620" w:type="dxa"/>
            <w:tcBorders>
              <w:top w:val="single" w:color="auto" w:sz="4" w:space="0"/>
              <w:left w:val="single" w:color="auto" w:sz="4" w:space="0"/>
              <w:bottom w:val="single" w:color="auto" w:sz="4" w:space="0"/>
              <w:right w:val="single" w:color="auto" w:sz="4" w:space="0"/>
            </w:tcBorders>
            <w:vAlign w:val="center"/>
          </w:tcPr>
          <w:p>
            <w:pPr>
              <w:pStyle w:val="12"/>
              <w:spacing w:line="360" w:lineRule="auto"/>
              <w:ind w:firstLine="0" w:firstLineChars="0"/>
              <w:jc w:val="center"/>
              <w:rPr>
                <w:rFonts w:ascii="仿宋_GB2312" w:hAnsi="Calibri"/>
                <w:sz w:val="21"/>
                <w:szCs w:val="21"/>
              </w:rPr>
            </w:pPr>
            <w:r>
              <w:rPr>
                <w:rFonts w:hint="eastAsia" w:ascii="宋体" w:hAnsi="宋体" w:cs="宋体"/>
                <w:sz w:val="21"/>
                <w:szCs w:val="21"/>
              </w:rPr>
              <w:t>中低风险</w:t>
            </w:r>
          </w:p>
        </w:tc>
        <w:tc>
          <w:tcPr>
            <w:tcW w:w="1620" w:type="dxa"/>
            <w:tcBorders>
              <w:top w:val="single" w:color="auto" w:sz="4" w:space="0"/>
              <w:left w:val="single" w:color="auto" w:sz="4" w:space="0"/>
              <w:bottom w:val="single" w:color="auto" w:sz="4" w:space="0"/>
              <w:right w:val="single" w:color="auto" w:sz="4" w:space="0"/>
            </w:tcBorders>
            <w:vAlign w:val="center"/>
          </w:tcPr>
          <w:p>
            <w:pPr>
              <w:pStyle w:val="12"/>
              <w:spacing w:line="360" w:lineRule="auto"/>
              <w:ind w:firstLine="0" w:firstLineChars="0"/>
              <w:jc w:val="center"/>
              <w:rPr>
                <w:rFonts w:ascii="仿宋_GB2312" w:hAnsi="Calibri"/>
                <w:sz w:val="21"/>
                <w:szCs w:val="21"/>
              </w:rPr>
            </w:pPr>
            <w:r>
              <w:rPr>
                <w:rFonts w:hint="eastAsia" w:ascii="宋体" w:hAnsi="宋体" w:cs="宋体"/>
                <w:sz w:val="21"/>
                <w:szCs w:val="21"/>
              </w:rPr>
              <w:t>中等风险</w:t>
            </w:r>
          </w:p>
        </w:tc>
        <w:tc>
          <w:tcPr>
            <w:tcW w:w="1620" w:type="dxa"/>
            <w:tcBorders>
              <w:top w:val="single" w:color="auto" w:sz="4" w:space="0"/>
              <w:left w:val="single" w:color="auto" w:sz="4" w:space="0"/>
              <w:bottom w:val="single" w:color="auto" w:sz="4" w:space="0"/>
              <w:right w:val="single" w:color="auto" w:sz="4" w:space="0"/>
            </w:tcBorders>
            <w:vAlign w:val="center"/>
          </w:tcPr>
          <w:p>
            <w:pPr>
              <w:pStyle w:val="12"/>
              <w:spacing w:line="360" w:lineRule="auto"/>
              <w:ind w:firstLine="0" w:firstLineChars="0"/>
              <w:jc w:val="center"/>
              <w:rPr>
                <w:rFonts w:ascii="仿宋_GB2312" w:hAnsi="Calibri"/>
                <w:sz w:val="21"/>
                <w:szCs w:val="21"/>
              </w:rPr>
            </w:pPr>
            <w:r>
              <w:rPr>
                <w:rFonts w:hint="eastAsia" w:ascii="宋体" w:hAnsi="宋体" w:cs="宋体"/>
                <w:sz w:val="21"/>
                <w:szCs w:val="21"/>
              </w:rPr>
              <w:t>中高风险</w:t>
            </w:r>
          </w:p>
        </w:tc>
        <w:tc>
          <w:tcPr>
            <w:tcW w:w="1440" w:type="dxa"/>
            <w:tcBorders>
              <w:top w:val="single" w:color="auto" w:sz="4" w:space="0"/>
              <w:left w:val="single" w:color="auto" w:sz="4" w:space="0"/>
              <w:bottom w:val="single" w:color="auto" w:sz="4" w:space="0"/>
              <w:right w:val="single" w:color="auto" w:sz="4" w:space="0"/>
            </w:tcBorders>
            <w:vAlign w:val="center"/>
          </w:tcPr>
          <w:p>
            <w:pPr>
              <w:pStyle w:val="12"/>
              <w:spacing w:line="360" w:lineRule="auto"/>
              <w:ind w:firstLine="0" w:firstLineChars="0"/>
              <w:jc w:val="center"/>
              <w:rPr>
                <w:rFonts w:ascii="仿宋_GB2312" w:hAnsi="Calibri"/>
                <w:sz w:val="21"/>
                <w:szCs w:val="21"/>
              </w:rPr>
            </w:pPr>
            <w:r>
              <w:rPr>
                <w:rFonts w:hint="eastAsia" w:ascii="宋体" w:hAnsi="宋体" w:cs="宋体"/>
                <w:sz w:val="21"/>
                <w:szCs w:val="21"/>
              </w:rPr>
              <w:t>高风险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5" w:type="dxa"/>
            <w:tcBorders>
              <w:top w:val="single" w:color="auto" w:sz="4" w:space="0"/>
              <w:left w:val="single" w:color="auto" w:sz="4" w:space="0"/>
              <w:bottom w:val="single" w:color="auto" w:sz="4" w:space="0"/>
              <w:right w:val="single" w:color="auto" w:sz="4" w:space="0"/>
            </w:tcBorders>
            <w:vAlign w:val="top"/>
          </w:tcPr>
          <w:p>
            <w:pPr>
              <w:pStyle w:val="12"/>
              <w:spacing w:line="360" w:lineRule="auto"/>
              <w:ind w:firstLine="0" w:firstLineChars="0"/>
              <w:rPr>
                <w:rFonts w:ascii="仿宋_GB2312" w:hAnsi="Calibri"/>
                <w:b/>
                <w:sz w:val="21"/>
                <w:szCs w:val="21"/>
              </w:rPr>
            </w:pPr>
            <w:r>
              <w:rPr>
                <w:rFonts w:hint="eastAsia" w:ascii="宋体" w:hAnsi="宋体" w:cs="宋体"/>
                <w:b/>
                <w:sz w:val="21"/>
                <w:szCs w:val="21"/>
              </w:rPr>
              <w:t>激进型</w:t>
            </w:r>
          </w:p>
        </w:tc>
        <w:tc>
          <w:tcPr>
            <w:tcW w:w="1260" w:type="dxa"/>
            <w:tcBorders>
              <w:top w:val="single" w:color="auto" w:sz="4" w:space="0"/>
              <w:left w:val="single" w:color="auto" w:sz="4" w:space="0"/>
              <w:bottom w:val="single" w:color="auto" w:sz="4" w:space="0"/>
              <w:right w:val="single" w:color="auto" w:sz="4" w:space="0"/>
            </w:tcBorders>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vAlign w:val="top"/>
          </w:tcPr>
          <w:p>
            <w:pPr>
              <w:jc w:val="center"/>
              <w:rPr>
                <w:szCs w:val="21"/>
              </w:rPr>
            </w:pPr>
            <w:r>
              <w:rPr>
                <w:rFonts w:hint="eastAsia" w:ascii="仿宋_GB2312"/>
                <w:szCs w:val="21"/>
              </w:rPr>
              <w:t>适合</w:t>
            </w:r>
          </w:p>
        </w:tc>
        <w:tc>
          <w:tcPr>
            <w:tcW w:w="1440" w:type="dxa"/>
            <w:tcBorders>
              <w:top w:val="single" w:color="auto" w:sz="4" w:space="0"/>
              <w:left w:val="single" w:color="auto" w:sz="4" w:space="0"/>
              <w:bottom w:val="single" w:color="auto" w:sz="4" w:space="0"/>
              <w:right w:val="single" w:color="auto" w:sz="4" w:space="0"/>
            </w:tcBorders>
            <w:vAlign w:val="top"/>
          </w:tcPr>
          <w:p>
            <w:pPr>
              <w:pStyle w:val="12"/>
              <w:spacing w:line="360" w:lineRule="auto"/>
              <w:ind w:right="-122" w:rightChars="-58" w:firstLine="0" w:firstLineChars="0"/>
              <w:jc w:val="center"/>
              <w:rPr>
                <w:rFonts w:ascii="仿宋_GB2312" w:hAnsi="Calibri"/>
                <w:b/>
                <w:sz w:val="21"/>
                <w:szCs w:val="21"/>
              </w:rPr>
            </w:pPr>
            <w:r>
              <w:rPr>
                <w:rFonts w:hint="eastAsia" w:ascii="宋体" w:hAnsi="宋体" w:cs="宋体"/>
                <w:sz w:val="21"/>
                <w:szCs w:val="21"/>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5" w:type="dxa"/>
            <w:tcBorders>
              <w:top w:val="single" w:color="auto" w:sz="4" w:space="0"/>
              <w:left w:val="single" w:color="auto" w:sz="4" w:space="0"/>
              <w:bottom w:val="single" w:color="auto" w:sz="4" w:space="0"/>
              <w:right w:val="single" w:color="auto" w:sz="4" w:space="0"/>
            </w:tcBorders>
            <w:shd w:val="clear" w:color="auto" w:fill="auto"/>
            <w:vAlign w:val="top"/>
          </w:tcPr>
          <w:p>
            <w:pPr>
              <w:pStyle w:val="12"/>
              <w:spacing w:line="360" w:lineRule="auto"/>
              <w:ind w:firstLine="0" w:firstLineChars="0"/>
              <w:rPr>
                <w:rFonts w:ascii="仿宋_GB2312" w:hAnsi="Calibri"/>
                <w:b/>
                <w:sz w:val="21"/>
                <w:szCs w:val="21"/>
              </w:rPr>
            </w:pPr>
            <w:r>
              <w:rPr>
                <w:rFonts w:hint="eastAsia" w:ascii="宋体" w:hAnsi="宋体" w:cs="宋体"/>
                <w:b/>
                <w:sz w:val="21"/>
                <w:szCs w:val="21"/>
              </w:rPr>
              <w:t>进取型</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pPr>
              <w:jc w:val="center"/>
              <w:rPr>
                <w:szCs w:val="21"/>
              </w:rPr>
            </w:pPr>
            <w:r>
              <w:rPr>
                <w:rFonts w:hint="eastAsia" w:ascii="仿宋_GB2312"/>
                <w:szCs w:val="21"/>
              </w:rPr>
              <w:t>适合</w:t>
            </w:r>
          </w:p>
        </w:tc>
        <w:tc>
          <w:tcPr>
            <w:tcW w:w="1440" w:type="dxa"/>
            <w:tcBorders>
              <w:top w:val="single" w:color="auto" w:sz="4" w:space="0"/>
              <w:left w:val="single" w:color="auto" w:sz="4" w:space="0"/>
              <w:bottom w:val="single" w:color="auto" w:sz="4" w:space="0"/>
              <w:right w:val="single" w:color="auto" w:sz="4" w:space="0"/>
            </w:tcBorders>
            <w:shd w:val="clear" w:color="auto" w:fill="E6E6E6"/>
            <w:vAlign w:val="top"/>
          </w:tcPr>
          <w:p>
            <w:pPr>
              <w:jc w:val="center"/>
              <w:rPr>
                <w:rFonts w:ascii="黑体" w:eastAsia="黑体"/>
                <w:szCs w:val="21"/>
              </w:rPr>
            </w:pPr>
            <w:r>
              <w:rPr>
                <w:rFonts w:hint="eastAsia" w:ascii="黑体" w:eastAsia="黑体"/>
                <w:szCs w:val="21"/>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5" w:type="dxa"/>
            <w:tcBorders>
              <w:top w:val="single" w:color="auto" w:sz="4" w:space="0"/>
              <w:left w:val="single" w:color="auto" w:sz="4" w:space="0"/>
              <w:bottom w:val="single" w:color="auto" w:sz="4" w:space="0"/>
              <w:right w:val="single" w:color="auto" w:sz="4" w:space="0"/>
            </w:tcBorders>
            <w:shd w:val="clear" w:color="auto" w:fill="auto"/>
            <w:vAlign w:val="top"/>
          </w:tcPr>
          <w:p>
            <w:pPr>
              <w:pStyle w:val="12"/>
              <w:spacing w:line="360" w:lineRule="auto"/>
              <w:ind w:firstLine="0" w:firstLineChars="0"/>
              <w:rPr>
                <w:rFonts w:ascii="仿宋_GB2312" w:hAnsi="Calibri"/>
                <w:b/>
                <w:sz w:val="21"/>
                <w:szCs w:val="21"/>
              </w:rPr>
            </w:pPr>
            <w:r>
              <w:rPr>
                <w:rFonts w:hint="eastAsia" w:ascii="宋体" w:hAnsi="宋体" w:cs="宋体"/>
                <w:b/>
                <w:sz w:val="21"/>
                <w:szCs w:val="21"/>
              </w:rPr>
              <w:t>稳健型</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shd w:val="clear" w:color="auto" w:fill="E6E6E6"/>
            <w:vAlign w:val="top"/>
          </w:tcPr>
          <w:p>
            <w:pPr>
              <w:jc w:val="center"/>
              <w:rPr>
                <w:szCs w:val="21"/>
              </w:rPr>
            </w:pPr>
            <w:r>
              <w:rPr>
                <w:rFonts w:hint="eastAsia" w:ascii="黑体" w:eastAsia="黑体"/>
                <w:szCs w:val="21"/>
              </w:rPr>
              <w:t>不适合</w:t>
            </w:r>
          </w:p>
        </w:tc>
        <w:tc>
          <w:tcPr>
            <w:tcW w:w="1440" w:type="dxa"/>
            <w:tcBorders>
              <w:top w:val="single" w:color="auto" w:sz="4" w:space="0"/>
              <w:left w:val="single" w:color="auto" w:sz="4" w:space="0"/>
              <w:bottom w:val="single" w:color="auto" w:sz="4" w:space="0"/>
              <w:right w:val="single" w:color="auto" w:sz="4" w:space="0"/>
            </w:tcBorders>
            <w:shd w:val="clear" w:color="auto" w:fill="E6E6E6"/>
            <w:vAlign w:val="top"/>
          </w:tcPr>
          <w:p>
            <w:pPr>
              <w:jc w:val="center"/>
              <w:rPr>
                <w:rFonts w:ascii="黑体" w:eastAsia="黑体"/>
                <w:szCs w:val="21"/>
              </w:rPr>
            </w:pPr>
            <w:r>
              <w:rPr>
                <w:rFonts w:hint="eastAsia" w:ascii="黑体" w:eastAsia="黑体"/>
                <w:szCs w:val="21"/>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5" w:type="dxa"/>
            <w:tcBorders>
              <w:top w:val="single" w:color="auto" w:sz="4" w:space="0"/>
              <w:left w:val="single" w:color="auto" w:sz="4" w:space="0"/>
              <w:bottom w:val="single" w:color="auto" w:sz="4" w:space="0"/>
              <w:right w:val="single" w:color="auto" w:sz="4" w:space="0"/>
            </w:tcBorders>
            <w:shd w:val="clear" w:color="auto" w:fill="auto"/>
            <w:vAlign w:val="top"/>
          </w:tcPr>
          <w:p>
            <w:pPr>
              <w:pStyle w:val="12"/>
              <w:spacing w:line="360" w:lineRule="auto"/>
              <w:ind w:firstLine="0" w:firstLineChars="0"/>
              <w:rPr>
                <w:rFonts w:ascii="仿宋_GB2312" w:hAnsi="Calibri"/>
                <w:b/>
                <w:sz w:val="21"/>
                <w:szCs w:val="21"/>
              </w:rPr>
            </w:pPr>
            <w:r>
              <w:rPr>
                <w:rFonts w:hint="eastAsia" w:ascii="宋体" w:hAnsi="宋体" w:cs="宋体"/>
                <w:b/>
                <w:sz w:val="21"/>
                <w:szCs w:val="21"/>
              </w:rPr>
              <w:t>谨慎型</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shd w:val="clear" w:color="auto" w:fill="E6E6E6"/>
            <w:vAlign w:val="top"/>
          </w:tcPr>
          <w:p>
            <w:pPr>
              <w:jc w:val="center"/>
              <w:rPr>
                <w:szCs w:val="21"/>
              </w:rPr>
            </w:pPr>
            <w:r>
              <w:rPr>
                <w:rFonts w:hint="eastAsia" w:ascii="黑体" w:eastAsia="黑体"/>
                <w:szCs w:val="21"/>
              </w:rPr>
              <w:t>不适合</w:t>
            </w:r>
          </w:p>
        </w:tc>
        <w:tc>
          <w:tcPr>
            <w:tcW w:w="1620" w:type="dxa"/>
            <w:tcBorders>
              <w:top w:val="single" w:color="auto" w:sz="4" w:space="0"/>
              <w:left w:val="single" w:color="auto" w:sz="4" w:space="0"/>
              <w:bottom w:val="single" w:color="auto" w:sz="4" w:space="0"/>
              <w:right w:val="single" w:color="auto" w:sz="4" w:space="0"/>
            </w:tcBorders>
            <w:shd w:val="clear" w:color="auto" w:fill="E6E6E6"/>
            <w:vAlign w:val="top"/>
          </w:tcPr>
          <w:p>
            <w:pPr>
              <w:jc w:val="center"/>
              <w:rPr>
                <w:szCs w:val="21"/>
              </w:rPr>
            </w:pPr>
            <w:r>
              <w:rPr>
                <w:rFonts w:hint="eastAsia" w:ascii="黑体" w:eastAsia="黑体"/>
                <w:szCs w:val="21"/>
              </w:rPr>
              <w:t>不适合</w:t>
            </w:r>
          </w:p>
        </w:tc>
        <w:tc>
          <w:tcPr>
            <w:tcW w:w="1440" w:type="dxa"/>
            <w:tcBorders>
              <w:top w:val="single" w:color="auto" w:sz="4" w:space="0"/>
              <w:left w:val="single" w:color="auto" w:sz="4" w:space="0"/>
              <w:bottom w:val="single" w:color="auto" w:sz="4" w:space="0"/>
              <w:right w:val="single" w:color="auto" w:sz="4" w:space="0"/>
            </w:tcBorders>
            <w:shd w:val="clear" w:color="auto" w:fill="E6E6E6"/>
            <w:vAlign w:val="top"/>
          </w:tcPr>
          <w:p>
            <w:pPr>
              <w:jc w:val="center"/>
              <w:rPr>
                <w:rFonts w:ascii="黑体" w:eastAsia="黑体"/>
                <w:szCs w:val="21"/>
              </w:rPr>
            </w:pPr>
            <w:r>
              <w:rPr>
                <w:rFonts w:hint="eastAsia" w:ascii="黑体" w:eastAsia="黑体"/>
                <w:szCs w:val="21"/>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05" w:type="dxa"/>
            <w:tcBorders>
              <w:top w:val="single" w:color="auto" w:sz="4" w:space="0"/>
              <w:left w:val="single" w:color="auto" w:sz="4" w:space="0"/>
              <w:bottom w:val="single" w:color="auto" w:sz="4" w:space="0"/>
              <w:right w:val="single" w:color="auto" w:sz="4" w:space="0"/>
            </w:tcBorders>
            <w:shd w:val="clear" w:color="auto" w:fill="auto"/>
            <w:vAlign w:val="top"/>
          </w:tcPr>
          <w:p>
            <w:pPr>
              <w:pStyle w:val="12"/>
              <w:spacing w:line="360" w:lineRule="auto"/>
              <w:ind w:firstLine="0" w:firstLineChars="0"/>
              <w:rPr>
                <w:rFonts w:ascii="仿宋_GB2312" w:hAnsi="Calibri"/>
                <w:b/>
                <w:sz w:val="21"/>
                <w:szCs w:val="21"/>
              </w:rPr>
            </w:pPr>
            <w:r>
              <w:rPr>
                <w:rFonts w:hint="eastAsia" w:ascii="宋体" w:hAnsi="宋体" w:cs="宋体"/>
                <w:b/>
                <w:sz w:val="21"/>
                <w:szCs w:val="21"/>
              </w:rPr>
              <w:t>保守型</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pPr>
              <w:jc w:val="center"/>
              <w:rPr>
                <w:szCs w:val="21"/>
              </w:rPr>
            </w:pPr>
            <w:r>
              <w:rPr>
                <w:rFonts w:hint="eastAsia" w:ascii="仿宋_GB2312"/>
                <w:szCs w:val="21"/>
              </w:rPr>
              <w:t>适合</w:t>
            </w:r>
          </w:p>
        </w:tc>
        <w:tc>
          <w:tcPr>
            <w:tcW w:w="1620" w:type="dxa"/>
            <w:tcBorders>
              <w:top w:val="single" w:color="auto" w:sz="4" w:space="0"/>
              <w:left w:val="single" w:color="auto" w:sz="4" w:space="0"/>
              <w:bottom w:val="single" w:color="auto" w:sz="4" w:space="0"/>
              <w:right w:val="single" w:color="auto" w:sz="4" w:space="0"/>
            </w:tcBorders>
            <w:shd w:val="clear" w:color="auto" w:fill="E6E6E6"/>
            <w:vAlign w:val="top"/>
          </w:tcPr>
          <w:p>
            <w:pPr>
              <w:jc w:val="center"/>
              <w:rPr>
                <w:szCs w:val="21"/>
              </w:rPr>
            </w:pPr>
            <w:r>
              <w:rPr>
                <w:rFonts w:hint="eastAsia" w:ascii="黑体" w:eastAsia="黑体"/>
                <w:szCs w:val="21"/>
              </w:rPr>
              <w:t>不适合</w:t>
            </w:r>
          </w:p>
        </w:tc>
        <w:tc>
          <w:tcPr>
            <w:tcW w:w="1620" w:type="dxa"/>
            <w:tcBorders>
              <w:top w:val="single" w:color="auto" w:sz="4" w:space="0"/>
              <w:left w:val="single" w:color="auto" w:sz="4" w:space="0"/>
              <w:bottom w:val="single" w:color="auto" w:sz="4" w:space="0"/>
              <w:right w:val="single" w:color="auto" w:sz="4" w:space="0"/>
            </w:tcBorders>
            <w:shd w:val="clear" w:color="auto" w:fill="E6E6E6"/>
            <w:vAlign w:val="top"/>
          </w:tcPr>
          <w:p>
            <w:pPr>
              <w:jc w:val="center"/>
              <w:rPr>
                <w:szCs w:val="21"/>
              </w:rPr>
            </w:pPr>
            <w:r>
              <w:rPr>
                <w:rFonts w:hint="eastAsia" w:ascii="黑体" w:eastAsia="黑体"/>
                <w:szCs w:val="21"/>
              </w:rPr>
              <w:t>不适合</w:t>
            </w:r>
          </w:p>
        </w:tc>
        <w:tc>
          <w:tcPr>
            <w:tcW w:w="1620" w:type="dxa"/>
            <w:tcBorders>
              <w:top w:val="single" w:color="auto" w:sz="4" w:space="0"/>
              <w:left w:val="single" w:color="auto" w:sz="4" w:space="0"/>
              <w:bottom w:val="single" w:color="auto" w:sz="4" w:space="0"/>
              <w:right w:val="single" w:color="auto" w:sz="4" w:space="0"/>
            </w:tcBorders>
            <w:shd w:val="clear" w:color="auto" w:fill="E6E6E6"/>
            <w:vAlign w:val="top"/>
          </w:tcPr>
          <w:p>
            <w:pPr>
              <w:jc w:val="center"/>
              <w:rPr>
                <w:szCs w:val="21"/>
              </w:rPr>
            </w:pPr>
            <w:r>
              <w:rPr>
                <w:rFonts w:hint="eastAsia" w:ascii="黑体" w:eastAsia="黑体"/>
                <w:szCs w:val="21"/>
              </w:rPr>
              <w:t>不适合</w:t>
            </w:r>
          </w:p>
        </w:tc>
        <w:tc>
          <w:tcPr>
            <w:tcW w:w="1440" w:type="dxa"/>
            <w:tcBorders>
              <w:top w:val="single" w:color="auto" w:sz="4" w:space="0"/>
              <w:left w:val="single" w:color="auto" w:sz="4" w:space="0"/>
              <w:bottom w:val="single" w:color="auto" w:sz="4" w:space="0"/>
              <w:right w:val="single" w:color="auto" w:sz="4" w:space="0"/>
            </w:tcBorders>
            <w:shd w:val="clear" w:color="auto" w:fill="E6E6E6"/>
            <w:vAlign w:val="top"/>
          </w:tcPr>
          <w:p>
            <w:pPr>
              <w:jc w:val="center"/>
              <w:rPr>
                <w:rFonts w:ascii="黑体" w:eastAsia="黑体"/>
                <w:szCs w:val="21"/>
              </w:rPr>
            </w:pPr>
            <w:r>
              <w:rPr>
                <w:rFonts w:hint="eastAsia" w:ascii="黑体" w:eastAsia="黑体"/>
                <w:szCs w:val="21"/>
              </w:rPr>
              <w:t>不适合</w:t>
            </w:r>
          </w:p>
        </w:tc>
      </w:tr>
    </w:tbl>
    <w:p>
      <w:pPr>
        <w:pStyle w:val="13"/>
        <w:tabs>
          <w:tab w:val="left" w:pos="0"/>
        </w:tabs>
        <w:rPr>
          <w:rFonts w:ascii="宋体" w:cs="宋体"/>
        </w:rPr>
      </w:pPr>
      <w:r>
        <w:rPr>
          <w:rFonts w:hint="eastAsia" w:ascii="宋体" w:hAnsi="宋体" w:cs="宋体"/>
        </w:rPr>
        <w:t>6、如果您超过一年未在本行进行风险承受能力评估，或者发生影响您自身风险承受能力的情况，请在再次认购/申购理财产品前主动要求进行风险承受能力评估或接受本行对您再次进行风险承受能力评估。</w:t>
      </w:r>
    </w:p>
    <w:p>
      <w:pPr>
        <w:pStyle w:val="13"/>
        <w:tabs>
          <w:tab w:val="left" w:pos="0"/>
        </w:tabs>
        <w:rPr>
          <w:rFonts w:ascii="宋体" w:hAnsi="宋体" w:cs="宋体"/>
        </w:rPr>
      </w:pPr>
      <w:r>
        <w:rPr>
          <w:rFonts w:hint="eastAsia" w:ascii="宋体" w:hAnsi="宋体" w:cs="宋体"/>
        </w:rPr>
        <w:t>7、如果客户的风险类型不适合购买某款理财产品，则销售人员不得向客户销售该款产品。</w:t>
      </w:r>
    </w:p>
    <w:p>
      <w:pPr>
        <w:pStyle w:val="13"/>
        <w:tabs>
          <w:tab w:val="left" w:pos="0"/>
        </w:tabs>
        <w:rPr>
          <w:rFonts w:ascii="宋体" w:hAnsi="宋体" w:cs="宋体"/>
        </w:rPr>
      </w:pPr>
      <w:r>
        <w:rPr>
          <w:rFonts w:hint="eastAsia" w:ascii="宋体" w:hAnsi="宋体" w:cs="宋体"/>
        </w:rPr>
        <w:t>（二）机构客户</w:t>
      </w:r>
    </w:p>
    <w:p>
      <w:pPr>
        <w:pStyle w:val="13"/>
        <w:tabs>
          <w:tab w:val="left" w:pos="0"/>
        </w:tabs>
        <w:rPr>
          <w:rFonts w:ascii="宋体" w:cs="宋体"/>
        </w:rPr>
      </w:pPr>
      <w:r>
        <w:rPr>
          <w:rFonts w:hint="eastAsia" w:ascii="宋体" w:hAnsi="宋体" w:cs="宋体"/>
        </w:rPr>
        <w:t xml:space="preserve"> 机构客户请根据自身的财务状况、投资经验、投资目标、风险认知、风险判断及其他因素综合考量理财产品的投资风险及自身的风险承受能力，本行不对其进行风险承受能力评估。</w:t>
      </w:r>
    </w:p>
    <w:p>
      <w:pPr>
        <w:pStyle w:val="13"/>
        <w:tabs>
          <w:tab w:val="left" w:pos="0"/>
        </w:tabs>
        <w:ind w:firstLine="422"/>
        <w:rPr>
          <w:rFonts w:ascii="宋体"/>
          <w:b/>
        </w:rPr>
      </w:pPr>
      <w:r>
        <w:rPr>
          <w:rFonts w:hint="eastAsia" w:ascii="宋体" w:hAnsi="宋体" w:cs="宋体"/>
          <w:b/>
        </w:rPr>
        <w:t>三、信息披露的方式、内容和频率</w:t>
      </w:r>
    </w:p>
    <w:p>
      <w:pPr>
        <w:pStyle w:val="13"/>
        <w:tabs>
          <w:tab w:val="left" w:pos="0"/>
        </w:tabs>
        <w:rPr>
          <w:rFonts w:ascii="宋体" w:hAnsi="宋体" w:cs="宋体"/>
        </w:rPr>
      </w:pPr>
      <w:r>
        <w:rPr>
          <w:rFonts w:hint="eastAsia" w:ascii="宋体" w:hAnsi="宋体" w:cs="宋体"/>
        </w:rPr>
        <w:t>（一）本行将在本行官方网站发布公告或通过本行营业网点发布公告进行信息披露。本行通过以上渠道进行信息披露的，视为已适当履行信息披露义务。</w:t>
      </w:r>
    </w:p>
    <w:p>
      <w:pPr>
        <w:pStyle w:val="13"/>
        <w:tabs>
          <w:tab w:val="left" w:pos="0"/>
        </w:tabs>
        <w:rPr>
          <w:rFonts w:ascii="宋体" w:hAnsi="宋体" w:cs="宋体"/>
        </w:rPr>
      </w:pPr>
      <w:r>
        <w:rPr>
          <w:rFonts w:hint="eastAsia" w:ascii="宋体" w:hAnsi="宋体" w:cs="宋体"/>
        </w:rPr>
        <w:t>如本行认为需要直接联系客户的，本行亦可选择向客户在《湖南银行个人理财产品协议书》或者《湖南银行机构理财产品协议书》中填列的联系方式或者有效变更的联系方式发出书面通知或短信。</w:t>
      </w:r>
    </w:p>
    <w:p>
      <w:pPr>
        <w:pStyle w:val="13"/>
        <w:tabs>
          <w:tab w:val="left" w:pos="0"/>
        </w:tabs>
        <w:rPr>
          <w:rFonts w:ascii="宋体"/>
        </w:rPr>
      </w:pPr>
      <w:r>
        <w:rPr>
          <w:rFonts w:hint="eastAsia" w:ascii="宋体" w:hAnsi="宋体" w:cs="宋体"/>
        </w:rPr>
        <w:t>具体信息披露渠道遵循《湖南银行个人理财产品协议书》或者《湖南银行机构理财产品协议书》的约定</w:t>
      </w:r>
      <w:r>
        <w:rPr>
          <w:rFonts w:ascii="宋体" w:hAnsi="宋体" w:cs="宋体"/>
        </w:rPr>
        <w:t>,</w:t>
      </w:r>
      <w:r>
        <w:rPr>
          <w:rFonts w:hint="eastAsia" w:ascii="宋体" w:hAnsi="宋体" w:cs="宋体"/>
        </w:rPr>
        <w:t>若几个渠道公布信息不一致的，以本行官方网站发布的公告为准。信息披露的渠道如需变更，本行将通过官方网站公告的形式告知。</w:t>
      </w:r>
    </w:p>
    <w:p>
      <w:pPr>
        <w:pStyle w:val="13"/>
        <w:tabs>
          <w:tab w:val="left" w:pos="0"/>
        </w:tabs>
        <w:rPr>
          <w:rFonts w:ascii="宋体" w:hAnsi="宋体" w:cs="宋体"/>
        </w:rPr>
      </w:pPr>
      <w:r>
        <w:rPr>
          <w:rFonts w:hint="eastAsia" w:ascii="宋体" w:hAnsi="宋体" w:cs="宋体"/>
        </w:rPr>
        <w:t>（二）信息披露的内容和频率</w:t>
      </w:r>
    </w:p>
    <w:p>
      <w:pPr>
        <w:pStyle w:val="13"/>
        <w:tabs>
          <w:tab w:val="left" w:pos="0"/>
        </w:tabs>
        <w:rPr>
          <w:rFonts w:ascii="宋体" w:hAnsi="宋体" w:cs="宋体"/>
        </w:rPr>
      </w:pPr>
      <w:r>
        <w:rPr>
          <w:rFonts w:hint="eastAsia" w:ascii="宋体"/>
        </w:rPr>
        <w:t>具体信息详见《理财产品说明书》。</w:t>
      </w:r>
    </w:p>
    <w:p>
      <w:pPr>
        <w:pStyle w:val="13"/>
        <w:tabs>
          <w:tab w:val="left" w:pos="0"/>
        </w:tabs>
        <w:ind w:firstLine="422"/>
        <w:rPr>
          <w:rFonts w:ascii="宋体"/>
          <w:b/>
        </w:rPr>
      </w:pPr>
      <w:r>
        <w:rPr>
          <w:rFonts w:hint="eastAsia" w:ascii="宋体" w:hAnsi="宋体" w:cs="宋体"/>
          <w:b/>
        </w:rPr>
        <w:t>四、客户投诉的方式和程序</w:t>
      </w:r>
    </w:p>
    <w:p>
      <w:pPr>
        <w:pStyle w:val="13"/>
        <w:tabs>
          <w:tab w:val="left" w:pos="0"/>
        </w:tabs>
        <w:rPr>
          <w:rFonts w:ascii="宋体"/>
        </w:rPr>
      </w:pPr>
      <w:r>
        <w:rPr>
          <w:rFonts w:hint="eastAsia" w:ascii="宋体" w:hAnsi="宋体" w:cs="宋体"/>
        </w:rPr>
        <w:t>如您对本行理财产品或服务有任何疑问、意见或建议，均可联系本行理财业务人员或反馈至本行营业网点，也可致电本行客户服务热线：（0731）96599。</w:t>
      </w:r>
    </w:p>
    <w:p>
      <w:pPr>
        <w:pStyle w:val="13"/>
        <w:tabs>
          <w:tab w:val="left" w:pos="0"/>
        </w:tabs>
        <w:ind w:firstLine="422"/>
        <w:rPr>
          <w:rFonts w:ascii="宋体"/>
          <w:b/>
        </w:rPr>
      </w:pPr>
      <w:r>
        <w:rPr>
          <w:rFonts w:hint="eastAsia" w:ascii="宋体" w:hAnsi="宋体" w:cs="宋体"/>
          <w:b/>
        </w:rPr>
        <w:t>五、本行联系方式</w:t>
      </w:r>
    </w:p>
    <w:p>
      <w:pPr>
        <w:pStyle w:val="13"/>
        <w:tabs>
          <w:tab w:val="left" w:pos="0"/>
        </w:tabs>
        <w:rPr>
          <w:rFonts w:ascii="宋体"/>
        </w:rPr>
      </w:pPr>
      <w:r>
        <w:rPr>
          <w:rFonts w:hint="eastAsia" w:ascii="宋体" w:hAnsi="宋体" w:cs="宋体"/>
        </w:rPr>
        <w:t>网址：</w:t>
      </w:r>
      <w:r>
        <w:rPr>
          <w:rStyle w:val="8"/>
          <w:rFonts w:hint="eastAsia"/>
          <w:color w:val="auto"/>
          <w:lang w:val="en-US" w:eastAsia="zh-CN"/>
        </w:rPr>
        <w:t>www.hunan-bank.com</w:t>
      </w:r>
      <w:r>
        <w:rPr>
          <w:rFonts w:hint="eastAsia" w:ascii="宋体" w:hAnsi="宋体" w:cs="宋体"/>
        </w:rPr>
        <w:t xml:space="preserve">  客户服务热线：（0731）96599</w:t>
      </w:r>
    </w:p>
    <w:p>
      <w:pPr>
        <w:pStyle w:val="13"/>
        <w:tabs>
          <w:tab w:val="left" w:pos="0"/>
        </w:tabs>
        <w:rPr>
          <w:rFonts w:ascii="宋体" w:cs="宋体"/>
        </w:rPr>
      </w:pPr>
      <w:r>
        <w:rPr>
          <w:rFonts w:hint="eastAsia" w:ascii="宋体" w:cs="宋体"/>
        </w:rPr>
        <w:t>联系地址：</w:t>
      </w:r>
      <w:r>
        <w:rPr>
          <w:rFonts w:hint="eastAsia" w:ascii="宋体" w:cs="宋体"/>
          <w:lang w:eastAsia="zh-CN"/>
        </w:rPr>
        <w:t>湖南省长沙市天心区湘江中路二段</w:t>
      </w:r>
      <w:r>
        <w:rPr>
          <w:rFonts w:hint="eastAsia" w:ascii="宋体" w:cs="宋体"/>
          <w:lang w:val="en-US" w:eastAsia="zh-CN"/>
        </w:rPr>
        <w:t>210号</w:t>
      </w:r>
      <w:r>
        <w:rPr>
          <w:rFonts w:ascii="宋体" w:cs="宋体"/>
        </w:rPr>
        <w:t xml:space="preserve">   </w:t>
      </w:r>
      <w:r>
        <w:rPr>
          <w:rFonts w:hint="eastAsia" w:ascii="宋体" w:cs="宋体"/>
        </w:rPr>
        <w:t>邮编：410004</w:t>
      </w:r>
    </w:p>
    <w:p>
      <w:pPr>
        <w:pStyle w:val="13"/>
        <w:tabs>
          <w:tab w:val="left" w:pos="0"/>
        </w:tabs>
        <w:rPr>
          <w:rFonts w:ascii="宋体" w:cs="宋体"/>
        </w:rPr>
      </w:pPr>
    </w:p>
    <w:p>
      <w:pPr>
        <w:pStyle w:val="13"/>
        <w:tabs>
          <w:tab w:val="left" w:pos="0"/>
        </w:tabs>
        <w:rPr>
          <w:rFonts w:ascii="宋体"/>
        </w:rPr>
      </w:pPr>
      <w:r>
        <w:rPr>
          <w:rFonts w:hint="eastAsia" w:ascii="宋体" w:hAnsi="宋体" w:cs="宋体"/>
        </w:rPr>
        <w:t>本须知涉及的本行服务内容和流程等如有变化，本行将按照相关理财产品销售文件约定的信息披露方式进行告知。</w:t>
      </w:r>
    </w:p>
    <w:p>
      <w:pPr>
        <w:pStyle w:val="13"/>
        <w:tabs>
          <w:tab w:val="left" w:pos="0"/>
        </w:tabs>
        <w:ind w:firstLine="422" w:firstLineChars="201"/>
        <w:jc w:val="right"/>
        <w:rPr>
          <w:rFonts w:ascii="宋体" w:hAnsi="宋体" w:cs="宋体"/>
        </w:rPr>
      </w:pPr>
      <w:r>
        <w:rPr>
          <w:rFonts w:hint="eastAsia" w:ascii="宋体" w:hAnsi="宋体" w:cs="宋体"/>
        </w:rPr>
        <w:t>湖南银行股份有限公司</w:t>
      </w:r>
    </w:p>
    <w:p>
      <w:pPr>
        <w:pStyle w:val="13"/>
        <w:tabs>
          <w:tab w:val="left" w:pos="0"/>
        </w:tabs>
        <w:ind w:firstLine="422" w:firstLineChars="201"/>
        <w:jc w:val="right"/>
        <w:rPr>
          <w:rFonts w:ascii="宋体" w:hAnsi="宋体" w:cs="宋体"/>
        </w:rPr>
      </w:pPr>
    </w:p>
    <w:p>
      <w:pPr>
        <w:pStyle w:val="13"/>
        <w:tabs>
          <w:tab w:val="left" w:pos="0"/>
        </w:tabs>
        <w:ind w:firstLine="422" w:firstLineChars="201"/>
        <w:jc w:val="right"/>
        <w:rPr>
          <w:rFonts w:ascii="宋体"/>
        </w:rPr>
      </w:pPr>
      <w:bookmarkStart w:id="0" w:name="_GoBack"/>
      <w:bookmarkEnd w:id="0"/>
    </w:p>
    <w:tbl>
      <w:tblPr>
        <w:tblStyle w:val="10"/>
        <w:tblW w:w="90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9" w:type="dxa"/>
            <w:tcBorders>
              <w:top w:val="single" w:color="auto" w:sz="4" w:space="0"/>
              <w:left w:val="single" w:color="auto" w:sz="4" w:space="0"/>
              <w:bottom w:val="single" w:color="auto" w:sz="4" w:space="0"/>
              <w:right w:val="single" w:color="auto" w:sz="4" w:space="0"/>
            </w:tcBorders>
            <w:vAlign w:val="top"/>
          </w:tcPr>
          <w:p>
            <w:pPr>
              <w:pStyle w:val="13"/>
              <w:tabs>
                <w:tab w:val="left" w:pos="0"/>
              </w:tabs>
              <w:ind w:firstLine="424" w:firstLineChars="201"/>
              <w:rPr>
                <w:rFonts w:ascii="宋体"/>
                <w:b/>
              </w:rPr>
            </w:pPr>
            <w:r>
              <w:rPr>
                <w:rFonts w:hint="eastAsia" w:ascii="宋体" w:hAnsi="宋体" w:cs="宋体"/>
                <w:b/>
              </w:rPr>
              <w:t>客户确认：客户已阅读本权益须知，清楚了解并知悉理财投资的办理流程、风险承受能力评估、信息披露、投诉及联系方式等相关事宜，已不存在任何疑问或异议。</w:t>
            </w:r>
          </w:p>
          <w:p>
            <w:pPr>
              <w:pStyle w:val="13"/>
              <w:tabs>
                <w:tab w:val="left" w:pos="0"/>
              </w:tabs>
              <w:ind w:firstLine="422" w:firstLineChars="201"/>
              <w:rPr>
                <w:rFonts w:ascii="宋体"/>
              </w:rPr>
            </w:pPr>
          </w:p>
          <w:p>
            <w:pPr>
              <w:pStyle w:val="13"/>
              <w:tabs>
                <w:tab w:val="left" w:pos="0"/>
              </w:tabs>
              <w:ind w:right="420" w:firstLine="5775" w:firstLineChars="2750"/>
              <w:rPr>
                <w:rFonts w:ascii="宋体" w:hAnsi="宋体" w:cs="宋体"/>
              </w:rPr>
            </w:pPr>
            <w:r>
              <w:rPr>
                <w:rFonts w:hint="eastAsia" w:ascii="宋体" w:hAnsi="宋体" w:cs="宋体"/>
              </w:rPr>
              <w:t>客户签字（盖公章）：</w:t>
            </w:r>
          </w:p>
          <w:p>
            <w:pPr>
              <w:pStyle w:val="13"/>
              <w:tabs>
                <w:tab w:val="left" w:pos="0"/>
              </w:tabs>
              <w:ind w:right="420" w:firstLine="6405" w:firstLineChars="3050"/>
              <w:rPr>
                <w:rFonts w:ascii="宋体" w:hAnsi="宋体" w:cs="宋体"/>
              </w:rPr>
            </w:pPr>
          </w:p>
          <w:p>
            <w:pPr>
              <w:pStyle w:val="13"/>
              <w:tabs>
                <w:tab w:val="left" w:pos="0"/>
              </w:tabs>
              <w:ind w:right="420" w:firstLine="5775" w:firstLineChars="2750"/>
              <w:rPr>
                <w:rFonts w:ascii="宋体"/>
              </w:rPr>
            </w:pPr>
            <w:r>
              <w:rPr>
                <w:rFonts w:ascii="宋体" w:hAnsi="宋体" w:cs="宋体"/>
              </w:rPr>
              <w:t>时间</w:t>
            </w:r>
            <w:r>
              <w:rPr>
                <w:rFonts w:hint="eastAsia" w:ascii="宋体" w:hAnsi="宋体" w:cs="宋体"/>
              </w:rPr>
              <w:t>：     年    月    日</w:t>
            </w:r>
          </w:p>
        </w:tc>
      </w:tr>
    </w:tbl>
    <w:p/>
    <w:p>
      <w:pPr>
        <w:pStyle w:val="13"/>
        <w:tabs>
          <w:tab w:val="left" w:pos="0"/>
        </w:tabs>
        <w:ind w:firstLine="422" w:firstLineChars="201"/>
        <w:rPr>
          <w:rFonts w:ascii="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5ECB7B760000434E" w:val=" "/>
  </w:docVars>
  <w:rsids>
    <w:rsidRoot w:val="00360857"/>
    <w:rsid w:val="00012694"/>
    <w:rsid w:val="0001302E"/>
    <w:rsid w:val="0001333E"/>
    <w:rsid w:val="00015ECE"/>
    <w:rsid w:val="00025D76"/>
    <w:rsid w:val="00037F52"/>
    <w:rsid w:val="00041731"/>
    <w:rsid w:val="00044388"/>
    <w:rsid w:val="0004648C"/>
    <w:rsid w:val="00061E68"/>
    <w:rsid w:val="00064D2C"/>
    <w:rsid w:val="00073827"/>
    <w:rsid w:val="00074EDC"/>
    <w:rsid w:val="000852CD"/>
    <w:rsid w:val="00087229"/>
    <w:rsid w:val="000A44CB"/>
    <w:rsid w:val="000A6D01"/>
    <w:rsid w:val="000C09EF"/>
    <w:rsid w:val="000C2428"/>
    <w:rsid w:val="000C5FD5"/>
    <w:rsid w:val="000D4684"/>
    <w:rsid w:val="000D5BBC"/>
    <w:rsid w:val="000E2855"/>
    <w:rsid w:val="000E715D"/>
    <w:rsid w:val="000E790C"/>
    <w:rsid w:val="000F3355"/>
    <w:rsid w:val="001141F5"/>
    <w:rsid w:val="00120793"/>
    <w:rsid w:val="00146427"/>
    <w:rsid w:val="00150E7A"/>
    <w:rsid w:val="0015395E"/>
    <w:rsid w:val="0016026F"/>
    <w:rsid w:val="00161164"/>
    <w:rsid w:val="001622C3"/>
    <w:rsid w:val="001740CF"/>
    <w:rsid w:val="0018108B"/>
    <w:rsid w:val="00186B0B"/>
    <w:rsid w:val="00196BE4"/>
    <w:rsid w:val="001A2088"/>
    <w:rsid w:val="001A2230"/>
    <w:rsid w:val="001A58C9"/>
    <w:rsid w:val="001A6C77"/>
    <w:rsid w:val="001D282A"/>
    <w:rsid w:val="001D413D"/>
    <w:rsid w:val="001D5DC1"/>
    <w:rsid w:val="001E6EDE"/>
    <w:rsid w:val="001E754C"/>
    <w:rsid w:val="0020259A"/>
    <w:rsid w:val="0022049D"/>
    <w:rsid w:val="00221C12"/>
    <w:rsid w:val="0022494A"/>
    <w:rsid w:val="00226D83"/>
    <w:rsid w:val="00231935"/>
    <w:rsid w:val="00252FAA"/>
    <w:rsid w:val="00257A6D"/>
    <w:rsid w:val="0026216C"/>
    <w:rsid w:val="0026251E"/>
    <w:rsid w:val="00271AA2"/>
    <w:rsid w:val="002730AB"/>
    <w:rsid w:val="00273341"/>
    <w:rsid w:val="002843CB"/>
    <w:rsid w:val="00286380"/>
    <w:rsid w:val="00290647"/>
    <w:rsid w:val="00292209"/>
    <w:rsid w:val="00292563"/>
    <w:rsid w:val="0029317F"/>
    <w:rsid w:val="002A32D3"/>
    <w:rsid w:val="002A74C5"/>
    <w:rsid w:val="002A7840"/>
    <w:rsid w:val="002B1B96"/>
    <w:rsid w:val="002B66FF"/>
    <w:rsid w:val="002C1260"/>
    <w:rsid w:val="002D2EDE"/>
    <w:rsid w:val="002D3E19"/>
    <w:rsid w:val="002D4156"/>
    <w:rsid w:val="002D5B14"/>
    <w:rsid w:val="002E4732"/>
    <w:rsid w:val="002E60C8"/>
    <w:rsid w:val="00302210"/>
    <w:rsid w:val="0031643F"/>
    <w:rsid w:val="00317056"/>
    <w:rsid w:val="003228E1"/>
    <w:rsid w:val="003248CB"/>
    <w:rsid w:val="00331EE9"/>
    <w:rsid w:val="003335BC"/>
    <w:rsid w:val="00333F15"/>
    <w:rsid w:val="003357CA"/>
    <w:rsid w:val="0035002E"/>
    <w:rsid w:val="003572E0"/>
    <w:rsid w:val="00360857"/>
    <w:rsid w:val="00366DBB"/>
    <w:rsid w:val="003839DB"/>
    <w:rsid w:val="00384563"/>
    <w:rsid w:val="00384E8B"/>
    <w:rsid w:val="0038754F"/>
    <w:rsid w:val="00387FBB"/>
    <w:rsid w:val="003A0960"/>
    <w:rsid w:val="003A6245"/>
    <w:rsid w:val="003B35B7"/>
    <w:rsid w:val="003B6E33"/>
    <w:rsid w:val="003C1CB6"/>
    <w:rsid w:val="003C273F"/>
    <w:rsid w:val="003D37CF"/>
    <w:rsid w:val="003D4B27"/>
    <w:rsid w:val="003E265F"/>
    <w:rsid w:val="003E73A2"/>
    <w:rsid w:val="003F2F45"/>
    <w:rsid w:val="003F3BFC"/>
    <w:rsid w:val="003F60FD"/>
    <w:rsid w:val="0040115F"/>
    <w:rsid w:val="00406339"/>
    <w:rsid w:val="004122C6"/>
    <w:rsid w:val="0041797E"/>
    <w:rsid w:val="00425123"/>
    <w:rsid w:val="0042642D"/>
    <w:rsid w:val="00427731"/>
    <w:rsid w:val="00432E60"/>
    <w:rsid w:val="00434527"/>
    <w:rsid w:val="0044145F"/>
    <w:rsid w:val="00445849"/>
    <w:rsid w:val="00446BC2"/>
    <w:rsid w:val="00451831"/>
    <w:rsid w:val="00466675"/>
    <w:rsid w:val="00476CF6"/>
    <w:rsid w:val="0048202A"/>
    <w:rsid w:val="00487A5E"/>
    <w:rsid w:val="004A7E51"/>
    <w:rsid w:val="004B2A1D"/>
    <w:rsid w:val="004B42CC"/>
    <w:rsid w:val="004C00F8"/>
    <w:rsid w:val="004C269B"/>
    <w:rsid w:val="004C5C3E"/>
    <w:rsid w:val="004D494A"/>
    <w:rsid w:val="004D7BAA"/>
    <w:rsid w:val="004E027E"/>
    <w:rsid w:val="004F35B0"/>
    <w:rsid w:val="0050114C"/>
    <w:rsid w:val="0050657B"/>
    <w:rsid w:val="00514A03"/>
    <w:rsid w:val="0051646C"/>
    <w:rsid w:val="00522356"/>
    <w:rsid w:val="00524652"/>
    <w:rsid w:val="005255B5"/>
    <w:rsid w:val="005301EC"/>
    <w:rsid w:val="00530BB5"/>
    <w:rsid w:val="00535325"/>
    <w:rsid w:val="00547AC9"/>
    <w:rsid w:val="00552322"/>
    <w:rsid w:val="0056239E"/>
    <w:rsid w:val="005715AB"/>
    <w:rsid w:val="00571642"/>
    <w:rsid w:val="00572218"/>
    <w:rsid w:val="0059381F"/>
    <w:rsid w:val="005A1812"/>
    <w:rsid w:val="005D2606"/>
    <w:rsid w:val="005D35F3"/>
    <w:rsid w:val="005D4905"/>
    <w:rsid w:val="005F03C2"/>
    <w:rsid w:val="00611C36"/>
    <w:rsid w:val="00615C65"/>
    <w:rsid w:val="00620B5C"/>
    <w:rsid w:val="006213A2"/>
    <w:rsid w:val="00654CCA"/>
    <w:rsid w:val="006606DF"/>
    <w:rsid w:val="00667DBD"/>
    <w:rsid w:val="00693591"/>
    <w:rsid w:val="0069563B"/>
    <w:rsid w:val="006A0F1C"/>
    <w:rsid w:val="006C6F20"/>
    <w:rsid w:val="006C7928"/>
    <w:rsid w:val="006D29B2"/>
    <w:rsid w:val="006D5B14"/>
    <w:rsid w:val="006D63BD"/>
    <w:rsid w:val="006D79EB"/>
    <w:rsid w:val="006E2819"/>
    <w:rsid w:val="006F760A"/>
    <w:rsid w:val="00703DB7"/>
    <w:rsid w:val="00713780"/>
    <w:rsid w:val="00721666"/>
    <w:rsid w:val="00736259"/>
    <w:rsid w:val="00740974"/>
    <w:rsid w:val="00742E4E"/>
    <w:rsid w:val="00747173"/>
    <w:rsid w:val="00747699"/>
    <w:rsid w:val="00772DB3"/>
    <w:rsid w:val="00775273"/>
    <w:rsid w:val="0078104D"/>
    <w:rsid w:val="007A04AA"/>
    <w:rsid w:val="007A3279"/>
    <w:rsid w:val="007A49C9"/>
    <w:rsid w:val="007A4D27"/>
    <w:rsid w:val="007B0FF5"/>
    <w:rsid w:val="007B1ED6"/>
    <w:rsid w:val="007B33D5"/>
    <w:rsid w:val="007D2056"/>
    <w:rsid w:val="007F4CD1"/>
    <w:rsid w:val="0080729B"/>
    <w:rsid w:val="008269EE"/>
    <w:rsid w:val="00832644"/>
    <w:rsid w:val="008345EB"/>
    <w:rsid w:val="00835A71"/>
    <w:rsid w:val="00836DBD"/>
    <w:rsid w:val="00850FA2"/>
    <w:rsid w:val="0085445C"/>
    <w:rsid w:val="00866495"/>
    <w:rsid w:val="0086797C"/>
    <w:rsid w:val="008701C9"/>
    <w:rsid w:val="00875044"/>
    <w:rsid w:val="00877B33"/>
    <w:rsid w:val="008A26D9"/>
    <w:rsid w:val="008A53F3"/>
    <w:rsid w:val="008B1838"/>
    <w:rsid w:val="008C184E"/>
    <w:rsid w:val="008C2C43"/>
    <w:rsid w:val="008C3284"/>
    <w:rsid w:val="008D02AA"/>
    <w:rsid w:val="008D449D"/>
    <w:rsid w:val="008D50FD"/>
    <w:rsid w:val="008E2D4B"/>
    <w:rsid w:val="008F5E0F"/>
    <w:rsid w:val="009027E9"/>
    <w:rsid w:val="00907989"/>
    <w:rsid w:val="00910E60"/>
    <w:rsid w:val="00911F14"/>
    <w:rsid w:val="0091607A"/>
    <w:rsid w:val="009173DD"/>
    <w:rsid w:val="00925B10"/>
    <w:rsid w:val="00925BA6"/>
    <w:rsid w:val="00926218"/>
    <w:rsid w:val="00926C8A"/>
    <w:rsid w:val="00931206"/>
    <w:rsid w:val="00933344"/>
    <w:rsid w:val="00937416"/>
    <w:rsid w:val="00950E04"/>
    <w:rsid w:val="00957F2F"/>
    <w:rsid w:val="00967DCE"/>
    <w:rsid w:val="009735A6"/>
    <w:rsid w:val="00976F04"/>
    <w:rsid w:val="009802A9"/>
    <w:rsid w:val="00980A48"/>
    <w:rsid w:val="00980C8C"/>
    <w:rsid w:val="00990E0E"/>
    <w:rsid w:val="009962FC"/>
    <w:rsid w:val="009C1B0A"/>
    <w:rsid w:val="009C3C92"/>
    <w:rsid w:val="009D40C3"/>
    <w:rsid w:val="009E6A75"/>
    <w:rsid w:val="009F19E3"/>
    <w:rsid w:val="00A0240C"/>
    <w:rsid w:val="00A06676"/>
    <w:rsid w:val="00A07233"/>
    <w:rsid w:val="00A10D51"/>
    <w:rsid w:val="00A1431E"/>
    <w:rsid w:val="00A202E8"/>
    <w:rsid w:val="00A23FFA"/>
    <w:rsid w:val="00A26C62"/>
    <w:rsid w:val="00A315A3"/>
    <w:rsid w:val="00A505C4"/>
    <w:rsid w:val="00A53EA7"/>
    <w:rsid w:val="00A55B8E"/>
    <w:rsid w:val="00A568C2"/>
    <w:rsid w:val="00A56CAD"/>
    <w:rsid w:val="00A64DA0"/>
    <w:rsid w:val="00A66B67"/>
    <w:rsid w:val="00A76325"/>
    <w:rsid w:val="00A948D7"/>
    <w:rsid w:val="00AA6B43"/>
    <w:rsid w:val="00AB260A"/>
    <w:rsid w:val="00AB582D"/>
    <w:rsid w:val="00AB6E8B"/>
    <w:rsid w:val="00AC2146"/>
    <w:rsid w:val="00AC3B74"/>
    <w:rsid w:val="00AD0658"/>
    <w:rsid w:val="00AE0B28"/>
    <w:rsid w:val="00AE1FB1"/>
    <w:rsid w:val="00AE217E"/>
    <w:rsid w:val="00AF0ABA"/>
    <w:rsid w:val="00AF12FD"/>
    <w:rsid w:val="00AF6BB1"/>
    <w:rsid w:val="00AF6F88"/>
    <w:rsid w:val="00B02C54"/>
    <w:rsid w:val="00B06F7F"/>
    <w:rsid w:val="00B079BB"/>
    <w:rsid w:val="00B174B4"/>
    <w:rsid w:val="00B30AFF"/>
    <w:rsid w:val="00B37EBB"/>
    <w:rsid w:val="00B5526C"/>
    <w:rsid w:val="00B55E9C"/>
    <w:rsid w:val="00B56777"/>
    <w:rsid w:val="00B87B1C"/>
    <w:rsid w:val="00B90BB7"/>
    <w:rsid w:val="00B94F55"/>
    <w:rsid w:val="00BB3446"/>
    <w:rsid w:val="00BB57E4"/>
    <w:rsid w:val="00BC2EF9"/>
    <w:rsid w:val="00BC445E"/>
    <w:rsid w:val="00BC65B8"/>
    <w:rsid w:val="00BC7358"/>
    <w:rsid w:val="00BD1CB2"/>
    <w:rsid w:val="00BD6BC1"/>
    <w:rsid w:val="00BE5EB0"/>
    <w:rsid w:val="00C02081"/>
    <w:rsid w:val="00C023D9"/>
    <w:rsid w:val="00C105A0"/>
    <w:rsid w:val="00C152E4"/>
    <w:rsid w:val="00C40285"/>
    <w:rsid w:val="00C6146D"/>
    <w:rsid w:val="00C61890"/>
    <w:rsid w:val="00C64C1B"/>
    <w:rsid w:val="00C663E2"/>
    <w:rsid w:val="00C66DD2"/>
    <w:rsid w:val="00C77BC0"/>
    <w:rsid w:val="00CA4E5B"/>
    <w:rsid w:val="00CA5135"/>
    <w:rsid w:val="00CC77BB"/>
    <w:rsid w:val="00CD0CE6"/>
    <w:rsid w:val="00CE0B5D"/>
    <w:rsid w:val="00D057AB"/>
    <w:rsid w:val="00D10CD2"/>
    <w:rsid w:val="00D16683"/>
    <w:rsid w:val="00D36F09"/>
    <w:rsid w:val="00D4093A"/>
    <w:rsid w:val="00D459AB"/>
    <w:rsid w:val="00D604B1"/>
    <w:rsid w:val="00D61E54"/>
    <w:rsid w:val="00D64494"/>
    <w:rsid w:val="00D6526C"/>
    <w:rsid w:val="00D74D46"/>
    <w:rsid w:val="00D7642C"/>
    <w:rsid w:val="00DA06F6"/>
    <w:rsid w:val="00DA0854"/>
    <w:rsid w:val="00DB296D"/>
    <w:rsid w:val="00DB4595"/>
    <w:rsid w:val="00DB4B24"/>
    <w:rsid w:val="00DB6A76"/>
    <w:rsid w:val="00DC4BEB"/>
    <w:rsid w:val="00DD30DD"/>
    <w:rsid w:val="00DE3D9F"/>
    <w:rsid w:val="00DF703A"/>
    <w:rsid w:val="00E02929"/>
    <w:rsid w:val="00E05CF6"/>
    <w:rsid w:val="00E305A6"/>
    <w:rsid w:val="00E34D58"/>
    <w:rsid w:val="00E36F98"/>
    <w:rsid w:val="00E41740"/>
    <w:rsid w:val="00E4551E"/>
    <w:rsid w:val="00E459BB"/>
    <w:rsid w:val="00E5381A"/>
    <w:rsid w:val="00E6077F"/>
    <w:rsid w:val="00E639FA"/>
    <w:rsid w:val="00E81A8B"/>
    <w:rsid w:val="00E875F5"/>
    <w:rsid w:val="00E90745"/>
    <w:rsid w:val="00EA09AD"/>
    <w:rsid w:val="00EA5BB1"/>
    <w:rsid w:val="00EC03A6"/>
    <w:rsid w:val="00ED5217"/>
    <w:rsid w:val="00ED6038"/>
    <w:rsid w:val="00EF505C"/>
    <w:rsid w:val="00F05B60"/>
    <w:rsid w:val="00F11F46"/>
    <w:rsid w:val="00F14FA6"/>
    <w:rsid w:val="00F261E5"/>
    <w:rsid w:val="00F26403"/>
    <w:rsid w:val="00F32562"/>
    <w:rsid w:val="00F503A2"/>
    <w:rsid w:val="00F541D4"/>
    <w:rsid w:val="00F65646"/>
    <w:rsid w:val="00F73536"/>
    <w:rsid w:val="00F81C32"/>
    <w:rsid w:val="00F917DC"/>
    <w:rsid w:val="00F96AD2"/>
    <w:rsid w:val="00FC04AE"/>
    <w:rsid w:val="00FC08E0"/>
    <w:rsid w:val="00FC3921"/>
    <w:rsid w:val="00FC49BD"/>
    <w:rsid w:val="00FC5997"/>
    <w:rsid w:val="00FD3CD8"/>
    <w:rsid w:val="00FF3FA3"/>
    <w:rsid w:val="00FF4603"/>
    <w:rsid w:val="0645267D"/>
    <w:rsid w:val="0F4F065F"/>
    <w:rsid w:val="1E387AD8"/>
    <w:rsid w:val="1EC05F9E"/>
    <w:rsid w:val="237F4268"/>
    <w:rsid w:val="2A607159"/>
    <w:rsid w:val="32347E05"/>
    <w:rsid w:val="33FC39EB"/>
    <w:rsid w:val="342669F9"/>
    <w:rsid w:val="50542F20"/>
    <w:rsid w:val="574A3984"/>
    <w:rsid w:val="6B033A72"/>
    <w:rsid w:val="70C27921"/>
    <w:rsid w:val="70D70E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unhideWhenUsed/>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2"/>
    <w:unhideWhenUsed/>
    <w:uiPriority w:val="99"/>
    <w:rPr>
      <w:b/>
      <w:bCs/>
    </w:rPr>
  </w:style>
  <w:style w:type="paragraph" w:styleId="3">
    <w:name w:val="annotation text"/>
    <w:basedOn w:val="1"/>
    <w:link w:val="19"/>
    <w:unhideWhenUsed/>
    <w:uiPriority w:val="99"/>
    <w:pPr>
      <w:jc w:val="left"/>
    </w:pPr>
  </w:style>
  <w:style w:type="paragraph" w:styleId="4">
    <w:name w:val="Balloon Text"/>
    <w:basedOn w:val="1"/>
    <w:link w:val="20"/>
    <w:unhideWhenUsed/>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uiPriority w:val="0"/>
    <w:rPr>
      <w:rFonts w:cs="Times New Roman"/>
      <w:color w:val="0000FF"/>
      <w:u w:val="single"/>
    </w:rPr>
  </w:style>
  <w:style w:type="character" w:styleId="9">
    <w:name w:val="annotation reference"/>
    <w:basedOn w:val="7"/>
    <w:unhideWhenUsed/>
    <w:uiPriority w:val="99"/>
    <w:rPr>
      <w:sz w:val="21"/>
      <w:szCs w:val="21"/>
    </w:rPr>
  </w:style>
  <w:style w:type="table" w:styleId="11">
    <w:name w:val="Table Grid"/>
    <w:basedOn w:val="10"/>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正文文本缩进1"/>
    <w:basedOn w:val="1"/>
    <w:link w:val="21"/>
    <w:uiPriority w:val="0"/>
    <w:pPr>
      <w:ind w:firstLine="560" w:firstLineChars="200"/>
    </w:pPr>
    <w:rPr>
      <w:sz w:val="24"/>
    </w:rPr>
  </w:style>
  <w:style w:type="paragraph" w:customStyle="1" w:styleId="13">
    <w:name w:val="列出段落1"/>
    <w:basedOn w:val="1"/>
    <w:uiPriority w:val="0"/>
    <w:pPr>
      <w:ind w:firstLine="420" w:firstLineChars="200"/>
    </w:pPr>
    <w:rPr>
      <w:rFonts w:ascii="Times New Roman" w:hAnsi="Times New Roman" w:eastAsia="宋体" w:cs="Times New Roman"/>
      <w:szCs w:val="21"/>
    </w:rPr>
  </w:style>
  <w:style w:type="paragraph" w:customStyle="1" w:styleId="14">
    <w:name w:val="修订1"/>
    <w:hidden/>
    <w:semiHidden/>
    <w:uiPriority w:val="99"/>
    <w:rPr>
      <w:rFonts w:ascii="Calibri" w:hAnsi="Calibri" w:eastAsia="宋体" w:cs="黑体"/>
      <w:kern w:val="2"/>
      <w:sz w:val="21"/>
      <w:szCs w:val="22"/>
      <w:lang w:val="en-US" w:eastAsia="zh-CN" w:bidi="ar-SA"/>
    </w:rPr>
  </w:style>
  <w:style w:type="paragraph" w:customStyle="1" w:styleId="15">
    <w:name w:val="List Paragraph"/>
    <w:basedOn w:val="1"/>
    <w:qFormat/>
    <w:uiPriority w:val="34"/>
    <w:pPr>
      <w:ind w:firstLine="420" w:firstLineChars="200"/>
    </w:pPr>
  </w:style>
  <w:style w:type="paragraph" w:customStyle="1" w:styleId="16">
    <w:name w:val="Revision"/>
    <w:hidden/>
    <w:unhideWhenUsed/>
    <w:uiPriority w:val="99"/>
    <w:rPr>
      <w:rFonts w:ascii="Calibri" w:hAnsi="Calibri" w:eastAsia="宋体" w:cs="黑体"/>
      <w:kern w:val="2"/>
      <w:sz w:val="21"/>
      <w:szCs w:val="22"/>
      <w:lang w:val="en-US" w:eastAsia="zh-CN" w:bidi="ar-SA"/>
    </w:rPr>
  </w:style>
  <w:style w:type="character" w:customStyle="1" w:styleId="17">
    <w:name w:val="页眉 Char"/>
    <w:basedOn w:val="7"/>
    <w:link w:val="6"/>
    <w:qFormat/>
    <w:uiPriority w:val="99"/>
    <w:rPr>
      <w:sz w:val="18"/>
      <w:szCs w:val="18"/>
    </w:rPr>
  </w:style>
  <w:style w:type="character" w:customStyle="1" w:styleId="18">
    <w:name w:val="页脚 Char"/>
    <w:basedOn w:val="7"/>
    <w:link w:val="5"/>
    <w:uiPriority w:val="99"/>
    <w:rPr>
      <w:sz w:val="18"/>
      <w:szCs w:val="18"/>
    </w:rPr>
  </w:style>
  <w:style w:type="character" w:customStyle="1" w:styleId="19">
    <w:name w:val="批注文字 Char"/>
    <w:basedOn w:val="7"/>
    <w:link w:val="3"/>
    <w:uiPriority w:val="99"/>
  </w:style>
  <w:style w:type="character" w:customStyle="1" w:styleId="20">
    <w:name w:val="批注框文本 Char"/>
    <w:basedOn w:val="7"/>
    <w:link w:val="4"/>
    <w:semiHidden/>
    <w:qFormat/>
    <w:uiPriority w:val="99"/>
    <w:rPr>
      <w:sz w:val="18"/>
      <w:szCs w:val="18"/>
    </w:rPr>
  </w:style>
  <w:style w:type="character" w:customStyle="1" w:styleId="21">
    <w:name w:val="Body Text Indent Char1"/>
    <w:link w:val="12"/>
    <w:uiPriority w:val="0"/>
    <w:rPr>
      <w:sz w:val="24"/>
    </w:rPr>
  </w:style>
  <w:style w:type="character" w:customStyle="1" w:styleId="22">
    <w:name w:val="批注主题 Char"/>
    <w:basedOn w:val="19"/>
    <w:link w:val="2"/>
    <w:semiHidden/>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Pages>
  <Words>324</Words>
  <Characters>1852</Characters>
  <Lines>15</Lines>
  <Paragraphs>4</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2020-05-25T08:02:00Z</dcterms:created>
  <dc:creator>曹红娣</dc:creator>
  <cp:lastModifiedBy>liuningyi</cp:lastModifiedBy>
  <dcterms:modified xsi:type="dcterms:W3CDTF">2022-11-16T01:17:31Z</dcterms:modified>
  <dc:title>华融湘江银行湖南银行理财业务客户权益须知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