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82F14">
      <w:pPr>
        <w:spacing w:line="400" w:lineRule="exact"/>
        <w:jc w:val="center"/>
        <w:rPr>
          <w:rFonts w:ascii="黑体" w:hAnsi="黑体" w:eastAsia="黑体"/>
          <w:b/>
          <w:color w:val="000000"/>
          <w:sz w:val="36"/>
          <w:szCs w:val="36"/>
        </w:rPr>
      </w:pPr>
      <w:r>
        <w:rPr>
          <w:rFonts w:hint="eastAsia" w:ascii="黑体" w:hAnsi="黑体" w:eastAsia="黑体"/>
          <w:b/>
          <w:color w:val="000000"/>
          <w:sz w:val="36"/>
          <w:szCs w:val="36"/>
        </w:rPr>
        <w:t>宁银理财有限责任公司产品投资者权益须知</w:t>
      </w:r>
    </w:p>
    <w:p w14:paraId="2162FAB8">
      <w:pPr>
        <w:spacing w:line="400" w:lineRule="exact"/>
        <w:jc w:val="center"/>
        <w:rPr>
          <w:rFonts w:ascii="宋体" w:hAnsi="宋体"/>
          <w:color w:val="000000"/>
          <w:sz w:val="28"/>
          <w:szCs w:val="28"/>
        </w:rPr>
      </w:pPr>
      <w:r>
        <w:rPr>
          <w:rFonts w:hint="eastAsia" w:ascii="宋体" w:hAnsi="宋体"/>
          <w:b/>
          <w:sz w:val="24"/>
        </w:rPr>
        <w:t>（</w:t>
      </w:r>
      <w:r>
        <w:rPr>
          <w:rFonts w:ascii="宋体" w:hAnsi="宋体"/>
          <w:b/>
          <w:sz w:val="24"/>
        </w:rPr>
        <w:t>202601</w:t>
      </w:r>
      <w:r>
        <w:rPr>
          <w:rFonts w:hint="eastAsia" w:ascii="宋体" w:hAnsi="宋体"/>
          <w:b/>
          <w:sz w:val="24"/>
        </w:rPr>
        <w:t>版）</w:t>
      </w:r>
    </w:p>
    <w:p w14:paraId="6D392069">
      <w:pPr>
        <w:spacing w:line="312" w:lineRule="auto"/>
        <w:rPr>
          <w:rFonts w:ascii="宋体" w:hAnsi="宋体"/>
          <w:color w:val="000000"/>
          <w:sz w:val="24"/>
        </w:rPr>
      </w:pPr>
    </w:p>
    <w:p w14:paraId="439D457E">
      <w:pPr>
        <w:spacing w:line="312" w:lineRule="auto"/>
        <w:rPr>
          <w:rFonts w:ascii="宋体" w:hAnsi="宋体"/>
          <w:color w:val="000000"/>
          <w:sz w:val="24"/>
        </w:rPr>
      </w:pPr>
      <w:r>
        <w:rPr>
          <w:rFonts w:hint="eastAsia" w:ascii="宋体" w:hAnsi="宋体"/>
          <w:color w:val="000000"/>
          <w:sz w:val="24"/>
        </w:rPr>
        <w:t>尊敬的投资者：</w:t>
      </w:r>
    </w:p>
    <w:p w14:paraId="037FDB9A">
      <w:pPr>
        <w:spacing w:line="312" w:lineRule="auto"/>
        <w:ind w:firstLine="480" w:firstLineChars="200"/>
        <w:rPr>
          <w:rFonts w:ascii="宋体" w:hAnsi="宋体"/>
          <w:color w:val="000000"/>
          <w:sz w:val="24"/>
        </w:rPr>
      </w:pPr>
      <w:r>
        <w:rPr>
          <w:rFonts w:hint="eastAsia" w:ascii="宋体" w:hAnsi="宋体"/>
          <w:color w:val="000000"/>
          <w:sz w:val="24"/>
        </w:rPr>
        <w:t>购买宁银理财有限</w:t>
      </w:r>
      <w:r>
        <w:rPr>
          <w:rFonts w:ascii="宋体" w:hAnsi="宋体"/>
          <w:color w:val="000000"/>
          <w:sz w:val="24"/>
        </w:rPr>
        <w:t>责任公司（</w:t>
      </w:r>
      <w:r>
        <w:rPr>
          <w:rFonts w:hint="eastAsia" w:ascii="宋体" w:hAnsi="宋体"/>
          <w:color w:val="000000"/>
          <w:sz w:val="24"/>
        </w:rPr>
        <w:t>下称“宁银理财”或“本公司”</w:t>
      </w:r>
      <w:r>
        <w:rPr>
          <w:rFonts w:ascii="宋体" w:hAnsi="宋体"/>
          <w:color w:val="000000"/>
          <w:sz w:val="24"/>
        </w:rPr>
        <w:t>）</w:t>
      </w:r>
      <w:r>
        <w:rPr>
          <w:rFonts w:hint="eastAsia" w:ascii="宋体" w:hAnsi="宋体"/>
          <w:color w:val="000000"/>
          <w:sz w:val="24"/>
        </w:rPr>
        <w:t>发行的</w:t>
      </w:r>
      <w:r>
        <w:rPr>
          <w:rFonts w:ascii="宋体" w:hAnsi="宋体"/>
          <w:color w:val="000000"/>
          <w:sz w:val="24"/>
        </w:rPr>
        <w:t>理财</w:t>
      </w:r>
      <w:r>
        <w:rPr>
          <w:rFonts w:hint="eastAsia" w:ascii="宋体" w:hAnsi="宋体"/>
          <w:color w:val="000000"/>
          <w:sz w:val="24"/>
        </w:rPr>
        <w:t>产品，有机会获取投资收益，同时也存在一定投资风险，为了保护您的合法权益，请在购买之前认真阅读以下内容：</w:t>
      </w:r>
    </w:p>
    <w:p w14:paraId="5B185AD7">
      <w:pPr>
        <w:spacing w:line="312" w:lineRule="auto"/>
        <w:ind w:firstLine="482" w:firstLineChars="200"/>
        <w:rPr>
          <w:rFonts w:ascii="宋体" w:hAnsi="宋体"/>
          <w:b/>
          <w:bCs/>
          <w:color w:val="000000"/>
          <w:sz w:val="24"/>
        </w:rPr>
      </w:pPr>
      <w:r>
        <w:rPr>
          <w:rFonts w:hint="eastAsia" w:ascii="宋体" w:hAnsi="宋体"/>
          <w:b/>
          <w:bCs/>
          <w:color w:val="000000"/>
          <w:sz w:val="24"/>
        </w:rPr>
        <w:t>一、理财产品办理流程</w:t>
      </w:r>
    </w:p>
    <w:p w14:paraId="5061D746">
      <w:pPr>
        <w:spacing w:line="312" w:lineRule="auto"/>
        <w:ind w:firstLine="480" w:firstLineChars="200"/>
        <w:rPr>
          <w:rFonts w:ascii="宋体" w:hAnsi="宋体"/>
          <w:color w:val="000000"/>
          <w:sz w:val="24"/>
        </w:rPr>
      </w:pPr>
      <w:r>
        <w:rPr>
          <w:rFonts w:hint="eastAsia" w:ascii="宋体" w:hAnsi="宋体"/>
          <w:color w:val="000000"/>
          <w:sz w:val="24"/>
        </w:rPr>
        <w:t>投资者可通过宁银理财或代理销售机构的营业网点</w:t>
      </w:r>
      <w:r>
        <w:rPr>
          <w:rFonts w:ascii="宋体" w:hAnsi="宋体"/>
          <w:color w:val="000000"/>
          <w:sz w:val="24"/>
        </w:rPr>
        <w:t>、</w:t>
      </w:r>
      <w:r>
        <w:rPr>
          <w:rFonts w:hint="eastAsia" w:ascii="宋体" w:hAnsi="宋体"/>
          <w:color w:val="000000"/>
          <w:sz w:val="24"/>
        </w:rPr>
        <w:t>客服</w:t>
      </w:r>
      <w:r>
        <w:rPr>
          <w:rFonts w:ascii="宋体" w:hAnsi="宋体"/>
          <w:color w:val="000000"/>
          <w:sz w:val="24"/>
        </w:rPr>
        <w:t>电话</w:t>
      </w:r>
      <w:r>
        <w:rPr>
          <w:rFonts w:hint="eastAsia" w:ascii="宋体" w:hAnsi="宋体"/>
          <w:color w:val="000000"/>
          <w:sz w:val="24"/>
        </w:rPr>
        <w:t>、电子渠道</w:t>
      </w:r>
      <w:r>
        <w:rPr>
          <w:rFonts w:ascii="宋体" w:hAnsi="宋体"/>
          <w:color w:val="000000"/>
          <w:sz w:val="24"/>
        </w:rPr>
        <w:t>等</w:t>
      </w:r>
      <w:r>
        <w:rPr>
          <w:rFonts w:hint="eastAsia" w:ascii="宋体" w:hAnsi="宋体"/>
          <w:color w:val="000000"/>
          <w:sz w:val="24"/>
        </w:rPr>
        <w:t>途径</w:t>
      </w:r>
      <w:r>
        <w:rPr>
          <w:rFonts w:ascii="宋体" w:hAnsi="宋体"/>
          <w:color w:val="000000"/>
          <w:sz w:val="24"/>
        </w:rPr>
        <w:t>了解</w:t>
      </w:r>
      <w:r>
        <w:rPr>
          <w:rFonts w:hint="eastAsia" w:ascii="宋体" w:hAnsi="宋体"/>
          <w:color w:val="000000"/>
          <w:sz w:val="24"/>
        </w:rPr>
        <w:t>本公司理财产品购买方式、收费标准及方式等，通过《理财产品说明书》</w:t>
      </w:r>
      <w:r>
        <w:rPr>
          <w:rFonts w:ascii="宋体" w:hAnsi="宋体"/>
          <w:color w:val="000000"/>
          <w:sz w:val="24"/>
        </w:rPr>
        <w:t>了解产品要素</w:t>
      </w:r>
      <w:r>
        <w:rPr>
          <w:rFonts w:hint="eastAsia" w:ascii="宋体" w:hAnsi="宋体"/>
          <w:color w:val="000000"/>
          <w:sz w:val="24"/>
        </w:rPr>
        <w:t>。</w:t>
      </w:r>
    </w:p>
    <w:p w14:paraId="548C8B38">
      <w:pPr>
        <w:spacing w:line="312" w:lineRule="auto"/>
        <w:ind w:firstLine="480" w:firstLineChars="200"/>
        <w:rPr>
          <w:rFonts w:ascii="宋体" w:hAnsi="宋体"/>
          <w:color w:val="000000"/>
          <w:sz w:val="24"/>
        </w:rPr>
      </w:pPr>
      <w:r>
        <w:rPr>
          <w:rFonts w:hint="eastAsia" w:ascii="宋体" w:hAnsi="宋体"/>
          <w:color w:val="000000"/>
          <w:sz w:val="24"/>
        </w:rPr>
        <w:t>普通投资者在宁银理财直销渠道购买理财产品时，需填写《宁银理财投资者风险承受能力评估书》，了解自身风险承受能力评估情况。普通投资者在代理销售机构购买理财产品时，风险承受能力评估由代理销售机构负责，应按照代理销售机构的要求进行投资者风险承受能力评估。</w:t>
      </w:r>
    </w:p>
    <w:p w14:paraId="2EC5C7AD">
      <w:pPr>
        <w:spacing w:line="312" w:lineRule="auto"/>
        <w:ind w:firstLine="480" w:firstLineChars="200"/>
        <w:rPr>
          <w:rFonts w:ascii="宋体" w:hAnsi="宋体"/>
          <w:color w:val="000000"/>
          <w:sz w:val="24"/>
        </w:rPr>
      </w:pPr>
      <w:r>
        <w:rPr>
          <w:rFonts w:hint="eastAsia" w:ascii="宋体" w:hAnsi="宋体"/>
          <w:color w:val="000000"/>
          <w:sz w:val="24"/>
        </w:rPr>
        <w:t>在</w:t>
      </w:r>
      <w:r>
        <w:rPr>
          <w:rFonts w:ascii="宋体" w:hAnsi="宋体"/>
          <w:color w:val="000000"/>
          <w:sz w:val="24"/>
        </w:rPr>
        <w:t>决定购买前，</w:t>
      </w:r>
      <w:r>
        <w:rPr>
          <w:rFonts w:hint="eastAsia" w:ascii="宋体" w:hAnsi="宋体"/>
          <w:color w:val="000000"/>
          <w:sz w:val="24"/>
        </w:rPr>
        <w:t>投资者</w:t>
      </w:r>
      <w:r>
        <w:rPr>
          <w:rFonts w:ascii="宋体" w:hAnsi="宋体"/>
          <w:color w:val="000000"/>
          <w:sz w:val="24"/>
        </w:rPr>
        <w:t>还需</w:t>
      </w:r>
      <w:r>
        <w:rPr>
          <w:rFonts w:hint="eastAsia" w:ascii="宋体" w:hAnsi="宋体"/>
          <w:color w:val="000000"/>
          <w:sz w:val="24"/>
        </w:rPr>
        <w:t>阅读并签署具体理财产品销售文件，包括但不限于《理财产品说明书》、《风险揭示书》、《销售（代理销售）协议书》（通过代理销售机构销售的，文件具体名称以代理销售机构为准，下同）、《投资协议书》、《投资者权益须知》，并抄录风险确认语句。</w:t>
      </w:r>
    </w:p>
    <w:p w14:paraId="7489F3A3">
      <w:pPr>
        <w:spacing w:line="312" w:lineRule="auto"/>
        <w:ind w:firstLine="482" w:firstLineChars="200"/>
        <w:rPr>
          <w:rFonts w:ascii="宋体" w:hAnsi="宋体"/>
          <w:b/>
          <w:bCs/>
          <w:color w:val="000000"/>
          <w:sz w:val="24"/>
        </w:rPr>
      </w:pPr>
      <w:r>
        <w:rPr>
          <w:rFonts w:hint="eastAsia" w:ascii="宋体" w:hAnsi="宋体"/>
          <w:b/>
          <w:bCs/>
          <w:color w:val="000000"/>
          <w:sz w:val="24"/>
        </w:rPr>
        <w:t>二、普通投资者风险承受能力评估</w:t>
      </w:r>
    </w:p>
    <w:p w14:paraId="6B54B277">
      <w:pPr>
        <w:spacing w:line="312" w:lineRule="auto"/>
        <w:ind w:firstLine="480" w:firstLineChars="200"/>
        <w:rPr>
          <w:rFonts w:ascii="宋体" w:hAnsi="宋体"/>
          <w:color w:val="000000"/>
          <w:sz w:val="24"/>
        </w:rPr>
      </w:pPr>
      <w:r>
        <w:rPr>
          <w:rFonts w:hint="eastAsia" w:ascii="宋体" w:hAnsi="宋体"/>
          <w:color w:val="000000"/>
          <w:sz w:val="24"/>
        </w:rPr>
        <w:t>普通投资者在宁银理财或代理销售机构首次购买理财产品前，需进行风险承受能力评估。超过</w:t>
      </w:r>
      <w:r>
        <w:rPr>
          <w:rFonts w:ascii="宋体" w:hAnsi="宋体"/>
          <w:color w:val="000000"/>
          <w:sz w:val="24"/>
        </w:rPr>
        <w:t>一年未进行风险承受能力</w:t>
      </w:r>
      <w:r>
        <w:rPr>
          <w:rFonts w:hint="eastAsia" w:ascii="宋体" w:hAnsi="宋体"/>
          <w:color w:val="000000"/>
          <w:sz w:val="24"/>
        </w:rPr>
        <w:t>评估或</w:t>
      </w:r>
      <w:r>
        <w:rPr>
          <w:rFonts w:ascii="宋体" w:hAnsi="宋体"/>
          <w:color w:val="000000"/>
          <w:sz w:val="24"/>
        </w:rPr>
        <w:t>发生可能影响自身风险承受能力情况的投资者，再次购买理财产品前，应当</w:t>
      </w:r>
      <w:r>
        <w:rPr>
          <w:rFonts w:hint="eastAsia" w:ascii="宋体" w:hAnsi="宋体"/>
          <w:color w:val="000000"/>
          <w:sz w:val="24"/>
        </w:rPr>
        <w:t>在宁银理财或代理销售机构重新完成</w:t>
      </w:r>
      <w:r>
        <w:rPr>
          <w:rFonts w:ascii="宋体" w:hAnsi="宋体"/>
          <w:color w:val="000000"/>
          <w:sz w:val="24"/>
        </w:rPr>
        <w:t>风险承受能力评估。</w:t>
      </w:r>
    </w:p>
    <w:p w14:paraId="2B4F81FB">
      <w:pPr>
        <w:spacing w:line="312" w:lineRule="auto"/>
        <w:ind w:firstLine="480" w:firstLineChars="200"/>
        <w:rPr>
          <w:rFonts w:ascii="宋体" w:hAnsi="宋体"/>
          <w:color w:val="000000"/>
          <w:sz w:val="24"/>
        </w:rPr>
      </w:pPr>
      <w:r>
        <w:rPr>
          <w:rFonts w:hint="eastAsia" w:ascii="宋体" w:hAnsi="宋体"/>
          <w:color w:val="000000"/>
          <w:sz w:val="24"/>
        </w:rPr>
        <w:t>对于</w:t>
      </w:r>
      <w:r>
        <w:rPr>
          <w:rFonts w:ascii="宋体" w:hAnsi="宋体"/>
          <w:color w:val="000000"/>
          <w:sz w:val="24"/>
        </w:rPr>
        <w:t>通过</w:t>
      </w:r>
      <w:r>
        <w:rPr>
          <w:rFonts w:hint="eastAsia" w:ascii="宋体" w:hAnsi="宋体"/>
          <w:color w:val="000000"/>
          <w:sz w:val="24"/>
        </w:rPr>
        <w:t>《宁银理财投资者风险承受能力评估书》进行</w:t>
      </w:r>
      <w:r>
        <w:rPr>
          <w:rFonts w:ascii="宋体" w:hAnsi="宋体"/>
          <w:color w:val="000000"/>
          <w:sz w:val="24"/>
        </w:rPr>
        <w:t>风险</w:t>
      </w:r>
      <w:r>
        <w:rPr>
          <w:rFonts w:hint="eastAsia" w:ascii="宋体" w:hAnsi="宋体"/>
          <w:color w:val="000000"/>
          <w:sz w:val="24"/>
        </w:rPr>
        <w:t>承受</w:t>
      </w:r>
      <w:r>
        <w:rPr>
          <w:rFonts w:ascii="宋体" w:hAnsi="宋体"/>
          <w:color w:val="000000"/>
          <w:sz w:val="24"/>
        </w:rPr>
        <w:t>能力评估的投资者，</w:t>
      </w:r>
      <w:r>
        <w:rPr>
          <w:rFonts w:hint="eastAsia" w:ascii="宋体" w:hAnsi="宋体"/>
          <w:color w:val="000000"/>
          <w:sz w:val="24"/>
        </w:rPr>
        <w:t>风险承受能力可分为5级，由低至高分别为保守型（可以承担低风险而作风谨慎类型的投资者</w:t>
      </w:r>
      <w:r>
        <w:rPr>
          <w:rFonts w:ascii="宋体" w:hAnsi="宋体"/>
          <w:color w:val="000000"/>
          <w:sz w:val="24"/>
        </w:rPr>
        <w:t>）</w:t>
      </w:r>
      <w:r>
        <w:rPr>
          <w:rFonts w:hint="eastAsia" w:ascii="宋体" w:hAnsi="宋体"/>
          <w:color w:val="000000"/>
          <w:sz w:val="24"/>
        </w:rPr>
        <w:t>、稳健型（可以承担低至中低风险类型的投资者</w:t>
      </w:r>
      <w:r>
        <w:rPr>
          <w:rFonts w:ascii="宋体" w:hAnsi="宋体"/>
          <w:color w:val="000000"/>
          <w:sz w:val="24"/>
        </w:rPr>
        <w:t>）</w:t>
      </w:r>
      <w:r>
        <w:rPr>
          <w:rFonts w:hint="eastAsia" w:ascii="宋体" w:hAnsi="宋体"/>
          <w:color w:val="000000"/>
          <w:sz w:val="24"/>
        </w:rPr>
        <w:t>、平衡型（可以承担中等风险类型的投资者</w:t>
      </w:r>
      <w:r>
        <w:rPr>
          <w:rFonts w:ascii="宋体" w:hAnsi="宋体"/>
          <w:color w:val="000000"/>
          <w:sz w:val="24"/>
        </w:rPr>
        <w:t>）</w:t>
      </w:r>
      <w:r>
        <w:rPr>
          <w:rFonts w:hint="eastAsia" w:ascii="宋体" w:hAnsi="宋体"/>
          <w:color w:val="000000"/>
          <w:sz w:val="24"/>
        </w:rPr>
        <w:t>、成长型（可以承担中等至中高风险类型的投资者</w:t>
      </w:r>
      <w:r>
        <w:rPr>
          <w:rFonts w:ascii="宋体" w:hAnsi="宋体"/>
          <w:color w:val="000000"/>
          <w:sz w:val="24"/>
        </w:rPr>
        <w:t>）</w:t>
      </w:r>
      <w:r>
        <w:rPr>
          <w:rFonts w:hint="eastAsia" w:ascii="宋体" w:hAnsi="宋体"/>
          <w:color w:val="000000"/>
          <w:sz w:val="24"/>
        </w:rPr>
        <w:t>、进取型（可以承受高风险类型的投资者</w:t>
      </w:r>
      <w:r>
        <w:rPr>
          <w:rFonts w:ascii="宋体" w:hAnsi="宋体"/>
          <w:color w:val="000000"/>
          <w:sz w:val="24"/>
        </w:rPr>
        <w:t>）</w:t>
      </w:r>
      <w:r>
        <w:rPr>
          <w:rFonts w:hint="eastAsia" w:ascii="宋体" w:hAnsi="宋体"/>
          <w:color w:val="000000"/>
          <w:sz w:val="24"/>
        </w:rPr>
        <w:t>。投资者应购买与风险级别相匹配的理财产品，匹配</w:t>
      </w:r>
      <w:r>
        <w:rPr>
          <w:rFonts w:ascii="宋体" w:hAnsi="宋体"/>
          <w:color w:val="000000"/>
          <w:sz w:val="24"/>
        </w:rPr>
        <w:t>情况见下表：</w:t>
      </w:r>
    </w:p>
    <w:tbl>
      <w:tblPr>
        <w:tblStyle w:val="8"/>
        <w:tblW w:w="864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4252"/>
        <w:gridCol w:w="2552"/>
      </w:tblGrid>
      <w:tr w14:paraId="6A89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243A52AD">
            <w:pPr>
              <w:spacing w:line="312" w:lineRule="auto"/>
              <w:rPr>
                <w:rFonts w:ascii="宋体" w:hAnsi="宋体"/>
                <w:color w:val="000000"/>
                <w:szCs w:val="21"/>
              </w:rPr>
            </w:pPr>
            <w:r>
              <w:rPr>
                <w:rFonts w:hint="eastAsia" w:ascii="宋体" w:hAnsi="宋体"/>
                <w:color w:val="000000"/>
                <w:szCs w:val="21"/>
              </w:rPr>
              <w:t>产品风险等级</w:t>
            </w:r>
          </w:p>
        </w:tc>
        <w:tc>
          <w:tcPr>
            <w:tcW w:w="4252" w:type="dxa"/>
          </w:tcPr>
          <w:p w14:paraId="6C827E2D">
            <w:pPr>
              <w:spacing w:line="312" w:lineRule="auto"/>
              <w:rPr>
                <w:rFonts w:ascii="宋体" w:hAnsi="宋体"/>
                <w:color w:val="000000"/>
                <w:szCs w:val="21"/>
              </w:rPr>
            </w:pPr>
            <w:r>
              <w:rPr>
                <w:rFonts w:hint="eastAsia" w:ascii="宋体" w:hAnsi="宋体"/>
                <w:color w:val="000000"/>
                <w:szCs w:val="21"/>
              </w:rPr>
              <w:t>产品</w:t>
            </w:r>
            <w:r>
              <w:rPr>
                <w:rFonts w:ascii="宋体" w:hAnsi="宋体"/>
                <w:color w:val="000000"/>
                <w:szCs w:val="21"/>
              </w:rPr>
              <w:t>风险</w:t>
            </w:r>
            <w:r>
              <w:rPr>
                <w:rFonts w:hint="eastAsia" w:ascii="宋体" w:hAnsi="宋体"/>
                <w:color w:val="000000"/>
                <w:szCs w:val="21"/>
              </w:rPr>
              <w:t>评级说明</w:t>
            </w:r>
          </w:p>
        </w:tc>
        <w:tc>
          <w:tcPr>
            <w:tcW w:w="2552" w:type="dxa"/>
          </w:tcPr>
          <w:p w14:paraId="652F818D">
            <w:pPr>
              <w:spacing w:line="312" w:lineRule="auto"/>
              <w:rPr>
                <w:rFonts w:ascii="宋体" w:hAnsi="宋体"/>
                <w:color w:val="000000"/>
                <w:szCs w:val="21"/>
              </w:rPr>
            </w:pPr>
            <w:r>
              <w:rPr>
                <w:rFonts w:hint="eastAsia" w:ascii="宋体" w:hAnsi="宋体"/>
                <w:color w:val="000000"/>
                <w:szCs w:val="21"/>
              </w:rPr>
              <w:t>目标投资者</w:t>
            </w:r>
          </w:p>
        </w:tc>
      </w:tr>
      <w:tr w14:paraId="6F92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48350CD3">
            <w:pPr>
              <w:spacing w:line="312" w:lineRule="auto"/>
              <w:rPr>
                <w:rFonts w:ascii="宋体" w:hAnsi="宋体"/>
                <w:color w:val="000000"/>
                <w:szCs w:val="21"/>
              </w:rPr>
            </w:pPr>
            <w:r>
              <w:rPr>
                <w:rFonts w:hint="eastAsia" w:ascii="宋体" w:hAnsi="宋体"/>
                <w:color w:val="000000"/>
                <w:szCs w:val="21"/>
              </w:rPr>
              <w:t>低风险产品</w:t>
            </w:r>
          </w:p>
          <w:p w14:paraId="3639DC23">
            <w:pPr>
              <w:spacing w:line="312" w:lineRule="auto"/>
              <w:rPr>
                <w:rFonts w:ascii="宋体" w:hAnsi="宋体"/>
                <w:color w:val="000000"/>
                <w:szCs w:val="21"/>
              </w:rPr>
            </w:pPr>
            <w:r>
              <w:rPr>
                <w:rFonts w:hint="eastAsia" w:ascii="宋体" w:hAnsi="宋体"/>
                <w:color w:val="000000"/>
                <w:szCs w:val="21"/>
              </w:rPr>
              <w:t>（</w:t>
            </w:r>
            <w:r>
              <w:rPr>
                <w:rFonts w:ascii="宋体" w:hAnsi="宋体"/>
                <w:color w:val="000000"/>
                <w:szCs w:val="21"/>
              </w:rPr>
              <w:t>PR1</w:t>
            </w:r>
            <w:r>
              <w:rPr>
                <w:rFonts w:hint="eastAsia" w:ascii="宋体" w:hAnsi="宋体"/>
                <w:color w:val="000000"/>
                <w:szCs w:val="21"/>
              </w:rPr>
              <w:t>）</w:t>
            </w:r>
          </w:p>
        </w:tc>
        <w:tc>
          <w:tcPr>
            <w:tcW w:w="4252" w:type="dxa"/>
          </w:tcPr>
          <w:p w14:paraId="64BEEA41">
            <w:pPr>
              <w:spacing w:line="312" w:lineRule="auto"/>
              <w:rPr>
                <w:rFonts w:ascii="宋体" w:hAnsi="宋体"/>
                <w:color w:val="000000"/>
                <w:szCs w:val="21"/>
              </w:rPr>
            </w:pPr>
            <w:r>
              <w:rPr>
                <w:rFonts w:hint="eastAsia" w:ascii="宋体" w:hAnsi="宋体"/>
                <w:color w:val="000000"/>
                <w:szCs w:val="21"/>
              </w:rPr>
              <w:t>理财产品的总体风险程度很低，宁银理财不承诺本金的完全保障，净值波动很小。宁银理财对于产品本金的正常兑付有较为充分的把握。</w:t>
            </w:r>
          </w:p>
        </w:tc>
        <w:tc>
          <w:tcPr>
            <w:tcW w:w="2552" w:type="dxa"/>
          </w:tcPr>
          <w:p w14:paraId="0B2D9AA8">
            <w:pPr>
              <w:spacing w:line="312" w:lineRule="auto"/>
              <w:rPr>
                <w:rFonts w:ascii="宋体" w:hAnsi="宋体" w:eastAsia="仿宋_GB2312" w:cs="仿宋_GB2312"/>
                <w:color w:val="000000"/>
                <w:kern w:val="0"/>
                <w:szCs w:val="21"/>
              </w:rPr>
            </w:pPr>
            <w:r>
              <w:rPr>
                <w:rFonts w:hint="eastAsia" w:ascii="宋体" w:hAnsi="宋体"/>
                <w:color w:val="000000"/>
                <w:szCs w:val="21"/>
              </w:rPr>
              <w:t>经宁银理财普通投资者风险承受能力评估为保守型、稳健型、平衡型、成长型、进取型的投资者</w:t>
            </w:r>
          </w:p>
        </w:tc>
      </w:tr>
      <w:tr w14:paraId="68C9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6CDF4B33">
            <w:pPr>
              <w:spacing w:line="312" w:lineRule="auto"/>
              <w:rPr>
                <w:rFonts w:ascii="宋体" w:hAnsi="宋体"/>
                <w:color w:val="000000"/>
                <w:szCs w:val="21"/>
              </w:rPr>
            </w:pPr>
            <w:r>
              <w:rPr>
                <w:rFonts w:hint="eastAsia" w:ascii="宋体" w:hAnsi="宋体"/>
                <w:color w:val="000000"/>
                <w:szCs w:val="21"/>
              </w:rPr>
              <w:t>中低风险产品（</w:t>
            </w:r>
            <w:r>
              <w:rPr>
                <w:rFonts w:ascii="宋体" w:hAnsi="宋体"/>
                <w:color w:val="000000"/>
                <w:szCs w:val="21"/>
              </w:rPr>
              <w:t>PR2</w:t>
            </w:r>
            <w:r>
              <w:rPr>
                <w:rFonts w:hint="eastAsia" w:ascii="宋体" w:hAnsi="宋体"/>
                <w:color w:val="000000"/>
                <w:szCs w:val="21"/>
              </w:rPr>
              <w:t>）</w:t>
            </w:r>
          </w:p>
        </w:tc>
        <w:tc>
          <w:tcPr>
            <w:tcW w:w="4252" w:type="dxa"/>
          </w:tcPr>
          <w:p w14:paraId="4D54DE2F">
            <w:pPr>
              <w:spacing w:line="312" w:lineRule="auto"/>
              <w:rPr>
                <w:rFonts w:ascii="宋体" w:hAnsi="宋体"/>
                <w:color w:val="000000"/>
                <w:szCs w:val="21"/>
              </w:rPr>
            </w:pPr>
            <w:r>
              <w:rPr>
                <w:rFonts w:hint="eastAsia" w:ascii="宋体" w:hAnsi="宋体"/>
                <w:color w:val="000000"/>
                <w:szCs w:val="21"/>
              </w:rPr>
              <w:t>理财产品的总体风险程度较低，宁银理财不承诺本金保障，净值波动较小。虽然存在一些可能对产品本金安全产生不利影响的因素，但产品本金出现损失的可能性较小。</w:t>
            </w:r>
            <w:r>
              <w:rPr>
                <w:rFonts w:ascii="宋体" w:hAnsi="宋体"/>
                <w:color w:val="000000"/>
                <w:szCs w:val="21"/>
              </w:rPr>
              <w:t xml:space="preserve"> </w:t>
            </w:r>
          </w:p>
        </w:tc>
        <w:tc>
          <w:tcPr>
            <w:tcW w:w="2552" w:type="dxa"/>
          </w:tcPr>
          <w:p w14:paraId="4BDC9840">
            <w:pPr>
              <w:spacing w:line="312" w:lineRule="auto"/>
              <w:rPr>
                <w:rFonts w:ascii="宋体" w:hAnsi="宋体"/>
                <w:color w:val="000000"/>
                <w:szCs w:val="21"/>
              </w:rPr>
            </w:pPr>
            <w:r>
              <w:rPr>
                <w:rFonts w:hint="eastAsia" w:ascii="宋体" w:hAnsi="宋体"/>
                <w:color w:val="000000"/>
                <w:szCs w:val="21"/>
              </w:rPr>
              <w:t>经宁银理财普通投资者风险承受能力评估为为稳健型、平衡型、成长型、进取型的投资者</w:t>
            </w:r>
          </w:p>
        </w:tc>
      </w:tr>
      <w:tr w14:paraId="7D3A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1C180124">
            <w:pPr>
              <w:spacing w:line="312" w:lineRule="auto"/>
              <w:rPr>
                <w:rFonts w:ascii="宋体" w:hAnsi="宋体"/>
                <w:color w:val="000000"/>
                <w:szCs w:val="21"/>
              </w:rPr>
            </w:pPr>
            <w:r>
              <w:rPr>
                <w:rFonts w:hint="eastAsia" w:ascii="宋体" w:hAnsi="宋体"/>
                <w:color w:val="000000"/>
                <w:szCs w:val="21"/>
              </w:rPr>
              <w:t>中风险产品</w:t>
            </w:r>
          </w:p>
          <w:p w14:paraId="5FF08643">
            <w:pPr>
              <w:spacing w:line="312" w:lineRule="auto"/>
              <w:rPr>
                <w:rFonts w:ascii="宋体" w:hAnsi="宋体"/>
                <w:color w:val="000000"/>
                <w:szCs w:val="21"/>
              </w:rPr>
            </w:pPr>
            <w:r>
              <w:rPr>
                <w:rFonts w:hint="eastAsia" w:ascii="宋体" w:hAnsi="宋体"/>
                <w:color w:val="000000"/>
                <w:szCs w:val="21"/>
              </w:rPr>
              <w:t>（</w:t>
            </w:r>
            <w:r>
              <w:rPr>
                <w:rFonts w:ascii="宋体" w:hAnsi="宋体"/>
                <w:color w:val="000000"/>
                <w:szCs w:val="21"/>
              </w:rPr>
              <w:t>PR3</w:t>
            </w:r>
            <w:r>
              <w:rPr>
                <w:rFonts w:hint="eastAsia" w:ascii="宋体" w:hAnsi="宋体"/>
                <w:color w:val="000000"/>
                <w:szCs w:val="21"/>
              </w:rPr>
              <w:t>）</w:t>
            </w:r>
          </w:p>
        </w:tc>
        <w:tc>
          <w:tcPr>
            <w:tcW w:w="4252" w:type="dxa"/>
          </w:tcPr>
          <w:p w14:paraId="295B9D6B">
            <w:pPr>
              <w:spacing w:line="312" w:lineRule="auto"/>
              <w:rPr>
                <w:rFonts w:ascii="宋体" w:hAnsi="宋体"/>
                <w:color w:val="000000"/>
                <w:szCs w:val="21"/>
              </w:rPr>
            </w:pPr>
            <w:r>
              <w:rPr>
                <w:rFonts w:hint="eastAsia" w:ascii="宋体" w:hAnsi="宋体"/>
                <w:color w:val="000000"/>
                <w:szCs w:val="21"/>
              </w:rPr>
              <w:t>理财产品的总体风险程度适中，宁银理财不承诺本金保障，净值随投资的市场表现波动较明显，产品本金出现损失的可能性不容忽视。</w:t>
            </w:r>
            <w:r>
              <w:rPr>
                <w:rFonts w:ascii="宋体" w:hAnsi="宋体"/>
                <w:color w:val="000000"/>
                <w:szCs w:val="21"/>
              </w:rPr>
              <w:t xml:space="preserve"> </w:t>
            </w:r>
          </w:p>
        </w:tc>
        <w:tc>
          <w:tcPr>
            <w:tcW w:w="2552" w:type="dxa"/>
          </w:tcPr>
          <w:p w14:paraId="3AB2ECFC">
            <w:pPr>
              <w:spacing w:line="312" w:lineRule="auto"/>
              <w:rPr>
                <w:rFonts w:ascii="宋体" w:hAnsi="宋体"/>
                <w:color w:val="000000"/>
                <w:szCs w:val="21"/>
              </w:rPr>
            </w:pPr>
            <w:r>
              <w:rPr>
                <w:rFonts w:hint="eastAsia" w:ascii="宋体" w:hAnsi="宋体"/>
                <w:color w:val="000000"/>
                <w:szCs w:val="21"/>
              </w:rPr>
              <w:t>经宁银理财普通投资者风险承受能力评估为平衡型、成长型、进取型的投资者</w:t>
            </w:r>
          </w:p>
        </w:tc>
      </w:tr>
      <w:tr w14:paraId="3125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41CC04EA">
            <w:pPr>
              <w:spacing w:line="312" w:lineRule="auto"/>
              <w:rPr>
                <w:rFonts w:ascii="宋体" w:hAnsi="宋体"/>
                <w:color w:val="000000"/>
                <w:szCs w:val="21"/>
              </w:rPr>
            </w:pPr>
            <w:r>
              <w:rPr>
                <w:rFonts w:hint="eastAsia" w:ascii="宋体" w:hAnsi="宋体"/>
                <w:color w:val="000000"/>
                <w:szCs w:val="21"/>
              </w:rPr>
              <w:t>中</w:t>
            </w:r>
            <w:r>
              <w:rPr>
                <w:rFonts w:ascii="宋体" w:hAnsi="宋体"/>
                <w:color w:val="000000"/>
                <w:szCs w:val="21"/>
              </w:rPr>
              <w:t>高</w:t>
            </w:r>
            <w:r>
              <w:rPr>
                <w:rFonts w:hint="eastAsia" w:ascii="宋体" w:hAnsi="宋体"/>
                <w:color w:val="000000"/>
                <w:szCs w:val="21"/>
              </w:rPr>
              <w:t>风险产品（</w:t>
            </w:r>
            <w:r>
              <w:rPr>
                <w:rFonts w:ascii="宋体" w:hAnsi="宋体"/>
                <w:color w:val="000000"/>
                <w:szCs w:val="21"/>
              </w:rPr>
              <w:t>PR4</w:t>
            </w:r>
            <w:r>
              <w:rPr>
                <w:rFonts w:hint="eastAsia" w:ascii="宋体" w:hAnsi="宋体"/>
                <w:color w:val="000000"/>
                <w:szCs w:val="21"/>
              </w:rPr>
              <w:t>）</w:t>
            </w:r>
          </w:p>
        </w:tc>
        <w:tc>
          <w:tcPr>
            <w:tcW w:w="4252" w:type="dxa"/>
          </w:tcPr>
          <w:p w14:paraId="4AE559C0">
            <w:pPr>
              <w:spacing w:line="312" w:lineRule="auto"/>
              <w:rPr>
                <w:rFonts w:ascii="宋体" w:hAnsi="宋体"/>
                <w:color w:val="000000"/>
                <w:szCs w:val="21"/>
              </w:rPr>
            </w:pPr>
            <w:r>
              <w:rPr>
                <w:rFonts w:hint="eastAsia" w:ascii="宋体" w:hAnsi="宋体"/>
                <w:color w:val="000000"/>
                <w:szCs w:val="21"/>
              </w:rPr>
              <w:t>理财产品的总体风险程度较高，宁银理财不承诺本金保障，净值随投资的市场表现波动明显，产品本金出现损失的可能性较高。</w:t>
            </w:r>
            <w:r>
              <w:rPr>
                <w:rFonts w:ascii="宋体" w:hAnsi="宋体"/>
                <w:color w:val="000000"/>
                <w:szCs w:val="21"/>
              </w:rPr>
              <w:t xml:space="preserve"> </w:t>
            </w:r>
          </w:p>
        </w:tc>
        <w:tc>
          <w:tcPr>
            <w:tcW w:w="2552" w:type="dxa"/>
          </w:tcPr>
          <w:p w14:paraId="5BB1054C">
            <w:pPr>
              <w:spacing w:line="312" w:lineRule="auto"/>
              <w:rPr>
                <w:rFonts w:ascii="宋体" w:hAnsi="宋体"/>
                <w:color w:val="000000"/>
                <w:szCs w:val="21"/>
              </w:rPr>
            </w:pPr>
            <w:r>
              <w:rPr>
                <w:rFonts w:hint="eastAsia" w:ascii="宋体" w:hAnsi="宋体"/>
                <w:color w:val="000000"/>
                <w:szCs w:val="21"/>
              </w:rPr>
              <w:t>经宁银理财普通投资者风险承受能力评估为成长型、进取型的投资者</w:t>
            </w:r>
          </w:p>
        </w:tc>
      </w:tr>
      <w:tr w14:paraId="72A5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7757500C">
            <w:pPr>
              <w:spacing w:line="312" w:lineRule="auto"/>
              <w:rPr>
                <w:rFonts w:ascii="宋体" w:hAnsi="宋体"/>
                <w:color w:val="000000"/>
                <w:szCs w:val="21"/>
              </w:rPr>
            </w:pPr>
            <w:r>
              <w:rPr>
                <w:rFonts w:hint="eastAsia" w:ascii="宋体" w:hAnsi="宋体"/>
                <w:color w:val="000000"/>
                <w:szCs w:val="21"/>
              </w:rPr>
              <w:t>高风险产品</w:t>
            </w:r>
          </w:p>
          <w:p w14:paraId="6BA6D7C4">
            <w:pPr>
              <w:spacing w:line="312" w:lineRule="auto"/>
              <w:rPr>
                <w:rFonts w:ascii="宋体" w:hAnsi="宋体"/>
                <w:color w:val="000000"/>
                <w:szCs w:val="21"/>
              </w:rPr>
            </w:pPr>
            <w:r>
              <w:rPr>
                <w:rFonts w:hint="eastAsia" w:ascii="宋体" w:hAnsi="宋体"/>
                <w:color w:val="000000"/>
                <w:szCs w:val="21"/>
              </w:rPr>
              <w:t>（</w:t>
            </w:r>
            <w:r>
              <w:rPr>
                <w:rFonts w:ascii="宋体" w:hAnsi="宋体"/>
                <w:color w:val="000000"/>
                <w:szCs w:val="21"/>
              </w:rPr>
              <w:t>PR5</w:t>
            </w:r>
            <w:r>
              <w:rPr>
                <w:rFonts w:hint="eastAsia" w:ascii="宋体" w:hAnsi="宋体"/>
                <w:color w:val="000000"/>
                <w:szCs w:val="21"/>
              </w:rPr>
              <w:t>）</w:t>
            </w:r>
          </w:p>
        </w:tc>
        <w:tc>
          <w:tcPr>
            <w:tcW w:w="4252" w:type="dxa"/>
          </w:tcPr>
          <w:p w14:paraId="7AB05A55">
            <w:pPr>
              <w:spacing w:line="312" w:lineRule="auto"/>
              <w:rPr>
                <w:rFonts w:ascii="宋体" w:hAnsi="宋体"/>
                <w:color w:val="000000"/>
                <w:szCs w:val="21"/>
              </w:rPr>
            </w:pPr>
            <w:r>
              <w:rPr>
                <w:rFonts w:hint="eastAsia" w:ascii="宋体" w:hAnsi="宋体"/>
                <w:color w:val="000000"/>
                <w:szCs w:val="21"/>
              </w:rPr>
              <w:t>理财产品的总体风险程度高，宁银理财不承诺本金保障，净值随投资的市场表现波动明显，产品本金出现损失的可能性很高，产品本金蒙受全部损失的可能性不容忽视。</w:t>
            </w:r>
            <w:r>
              <w:rPr>
                <w:rFonts w:ascii="宋体" w:hAnsi="宋体"/>
                <w:color w:val="000000"/>
                <w:szCs w:val="21"/>
              </w:rPr>
              <w:t xml:space="preserve"> </w:t>
            </w:r>
          </w:p>
        </w:tc>
        <w:tc>
          <w:tcPr>
            <w:tcW w:w="2552" w:type="dxa"/>
          </w:tcPr>
          <w:p w14:paraId="5A8670E1">
            <w:pPr>
              <w:spacing w:line="312" w:lineRule="auto"/>
              <w:rPr>
                <w:rFonts w:ascii="宋体" w:hAnsi="宋体"/>
                <w:color w:val="000000"/>
                <w:szCs w:val="21"/>
              </w:rPr>
            </w:pPr>
            <w:r>
              <w:rPr>
                <w:rFonts w:hint="eastAsia" w:ascii="宋体" w:hAnsi="宋体"/>
                <w:color w:val="000000"/>
                <w:szCs w:val="21"/>
              </w:rPr>
              <w:t>经宁银理财普通投资者风险承受能力评估为进取型的投资者</w:t>
            </w:r>
          </w:p>
        </w:tc>
      </w:tr>
    </w:tbl>
    <w:p w14:paraId="49AC129C">
      <w:pPr>
        <w:spacing w:line="312" w:lineRule="auto"/>
        <w:ind w:firstLine="480" w:firstLineChars="200"/>
        <w:rPr>
          <w:rFonts w:ascii="宋体" w:hAnsi="宋体"/>
          <w:color w:val="000000"/>
          <w:sz w:val="24"/>
        </w:rPr>
      </w:pPr>
      <w:r>
        <w:rPr>
          <w:rFonts w:hint="eastAsia" w:ascii="宋体" w:hAnsi="宋体"/>
          <w:color w:val="000000"/>
          <w:sz w:val="24"/>
        </w:rPr>
        <w:t>对于</w:t>
      </w:r>
      <w:r>
        <w:rPr>
          <w:rFonts w:ascii="宋体" w:hAnsi="宋体"/>
          <w:color w:val="000000"/>
          <w:sz w:val="24"/>
        </w:rPr>
        <w:t>通过</w:t>
      </w:r>
      <w:r>
        <w:rPr>
          <w:rFonts w:hint="eastAsia" w:ascii="宋体" w:hAnsi="宋体"/>
          <w:sz w:val="24"/>
        </w:rPr>
        <w:t>代理销售</w:t>
      </w:r>
      <w:r>
        <w:rPr>
          <w:rFonts w:hint="eastAsia" w:ascii="宋体" w:hAnsi="宋体"/>
          <w:color w:val="000000"/>
          <w:sz w:val="24"/>
        </w:rPr>
        <w:t>机构进行</w:t>
      </w:r>
      <w:r>
        <w:rPr>
          <w:rFonts w:ascii="宋体" w:hAnsi="宋体"/>
          <w:color w:val="000000"/>
          <w:sz w:val="24"/>
        </w:rPr>
        <w:t>风险</w:t>
      </w:r>
      <w:r>
        <w:rPr>
          <w:rFonts w:hint="eastAsia" w:ascii="宋体" w:hAnsi="宋体"/>
          <w:color w:val="000000"/>
          <w:sz w:val="24"/>
        </w:rPr>
        <w:t>承受能力</w:t>
      </w:r>
      <w:r>
        <w:rPr>
          <w:rFonts w:ascii="宋体" w:hAnsi="宋体"/>
          <w:color w:val="000000"/>
          <w:sz w:val="24"/>
        </w:rPr>
        <w:t>评估的投资者，</w:t>
      </w:r>
      <w:r>
        <w:rPr>
          <w:rFonts w:hint="eastAsia" w:ascii="宋体" w:hAnsi="宋体"/>
          <w:sz w:val="24"/>
        </w:rPr>
        <w:t>风险承受能力等级以代理销售机构的评估结果为准</w:t>
      </w:r>
      <w:r>
        <w:rPr>
          <w:rFonts w:ascii="宋体" w:hAnsi="宋体"/>
          <w:color w:val="000000"/>
          <w:sz w:val="24"/>
        </w:rPr>
        <w:t>。</w:t>
      </w:r>
    </w:p>
    <w:p w14:paraId="6952BDEA">
      <w:pPr>
        <w:spacing w:line="312" w:lineRule="auto"/>
        <w:ind w:firstLine="482" w:firstLineChars="200"/>
        <w:rPr>
          <w:rFonts w:ascii="宋体" w:hAnsi="宋体"/>
          <w:b/>
          <w:bCs/>
          <w:color w:val="000000"/>
          <w:sz w:val="24"/>
        </w:rPr>
      </w:pPr>
      <w:r>
        <w:rPr>
          <w:rFonts w:hint="eastAsia" w:ascii="宋体" w:hAnsi="宋体"/>
          <w:b/>
          <w:bCs/>
          <w:color w:val="000000"/>
          <w:sz w:val="24"/>
        </w:rPr>
        <w:t>三、信息披露</w:t>
      </w:r>
    </w:p>
    <w:p w14:paraId="264CB2A5">
      <w:pPr>
        <w:spacing w:line="312" w:lineRule="auto"/>
        <w:ind w:firstLine="480" w:firstLineChars="200"/>
        <w:rPr>
          <w:rFonts w:ascii="宋体" w:hAnsi="宋体"/>
          <w:color w:val="000000"/>
          <w:sz w:val="24"/>
        </w:rPr>
      </w:pPr>
      <w:r>
        <w:rPr>
          <w:rFonts w:hint="eastAsia" w:ascii="宋体" w:hAnsi="宋体"/>
          <w:color w:val="000000"/>
          <w:sz w:val="24"/>
        </w:rPr>
        <w:t xml:space="preserve">宁银理财将于理财产品募集期间、存续期间和终止时，通过本公司网站（ </w:t>
      </w:r>
      <w:r>
        <w:rPr>
          <w:rFonts w:hint="eastAsia" w:ascii="宋体" w:hAnsi="宋体"/>
          <w:color w:val="000000"/>
          <w:sz w:val="24"/>
          <w:lang w:val="en-US" w:eastAsia="zh-CN"/>
        </w:rPr>
        <w:t>www.wmbnb.com</w:t>
      </w:r>
      <w:bookmarkStart w:id="0" w:name="_GoBack"/>
      <w:bookmarkEnd w:id="0"/>
      <w:r>
        <w:rPr>
          <w:rFonts w:ascii="宋体" w:hAnsi="宋体"/>
          <w:color w:val="000000"/>
          <w:sz w:val="24"/>
        </w:rPr>
        <w:t xml:space="preserve"> </w:t>
      </w:r>
      <w:r>
        <w:rPr>
          <w:rFonts w:hint="eastAsia" w:ascii="宋体" w:hAnsi="宋体"/>
          <w:color w:val="000000"/>
          <w:sz w:val="24"/>
        </w:rPr>
        <w:t>）、相关产品代理销售机构官方渠道或其他适当的方式进行信息披露（具体产品</w:t>
      </w:r>
      <w:r>
        <w:rPr>
          <w:rFonts w:ascii="宋体" w:hAnsi="宋体"/>
          <w:color w:val="000000"/>
          <w:sz w:val="24"/>
        </w:rPr>
        <w:t>的</w:t>
      </w:r>
      <w:r>
        <w:rPr>
          <w:rFonts w:hint="eastAsia" w:ascii="宋体" w:hAnsi="宋体"/>
          <w:color w:val="000000"/>
          <w:sz w:val="24"/>
        </w:rPr>
        <w:t>信息披露方式、频率等规则见</w:t>
      </w:r>
      <w:r>
        <w:rPr>
          <w:rFonts w:hint="eastAsia" w:ascii="宋体" w:hAnsi="宋体"/>
          <w:sz w:val="24"/>
        </w:rPr>
        <w:t>《理财产品说明书》</w:t>
      </w:r>
      <w:r>
        <w:rPr>
          <w:rFonts w:hint="eastAsia" w:ascii="宋体" w:hAnsi="宋体"/>
          <w:color w:val="000000"/>
          <w:sz w:val="24"/>
        </w:rPr>
        <w:t>）。</w:t>
      </w:r>
      <w:r>
        <w:rPr>
          <w:rFonts w:hint="eastAsia" w:ascii="宋体" w:hAnsi="宋体"/>
          <w:b/>
          <w:bCs/>
          <w:color w:val="000000"/>
          <w:sz w:val="24"/>
        </w:rPr>
        <w:t>宁银理财或代理销售机构通过理财产品销售文件约定方式披露信息后，视为宁银理财已向投资者完全履行信息披露义务，投资者应依据理财产品销售文件的约定，及时通过宁银理财网站、客服热线或相关产品代理销售机构官方渠道进行查询。</w:t>
      </w:r>
    </w:p>
    <w:p w14:paraId="676E2859">
      <w:pPr>
        <w:spacing w:line="312" w:lineRule="auto"/>
        <w:ind w:firstLine="482" w:firstLineChars="200"/>
        <w:rPr>
          <w:rFonts w:ascii="宋体" w:hAnsi="宋体"/>
          <w:b/>
          <w:bCs/>
          <w:color w:val="000000"/>
          <w:sz w:val="24"/>
        </w:rPr>
      </w:pPr>
      <w:r>
        <w:rPr>
          <w:rFonts w:hint="eastAsia" w:ascii="宋体" w:hAnsi="宋体"/>
          <w:b/>
          <w:bCs/>
          <w:color w:val="000000"/>
          <w:sz w:val="24"/>
        </w:rPr>
        <w:t>四、投资者信息管理</w:t>
      </w:r>
    </w:p>
    <w:p w14:paraId="080ED852">
      <w:pPr>
        <w:spacing w:line="360" w:lineRule="auto"/>
        <w:ind w:firstLine="482" w:firstLineChars="200"/>
        <w:rPr>
          <w:rFonts w:ascii="宋体" w:hAnsi="宋体"/>
          <w:sz w:val="24"/>
        </w:rPr>
      </w:pPr>
      <w:r>
        <w:rPr>
          <w:rFonts w:ascii="宋体" w:hAnsi="宋体"/>
          <w:b/>
          <w:sz w:val="24"/>
        </w:rPr>
        <w:t>基于</w:t>
      </w:r>
      <w:r>
        <w:rPr>
          <w:rFonts w:hint="eastAsia" w:ascii="宋体" w:hAnsi="宋体"/>
          <w:b/>
          <w:color w:val="000000"/>
          <w:sz w:val="24"/>
        </w:rPr>
        <w:t>宁银理财</w:t>
      </w:r>
      <w:r>
        <w:rPr>
          <w:rFonts w:ascii="宋体" w:hAnsi="宋体"/>
          <w:b/>
          <w:sz w:val="24"/>
        </w:rPr>
        <w:t>履行</w:t>
      </w:r>
      <w:r>
        <w:rPr>
          <w:rFonts w:hint="eastAsia" w:ascii="宋体" w:hAnsi="宋体"/>
          <w:b/>
          <w:sz w:val="24"/>
        </w:rPr>
        <w:t>理财产品销售文件所载明的各项义务</w:t>
      </w:r>
      <w:r>
        <w:rPr>
          <w:rFonts w:ascii="宋体" w:hAnsi="宋体"/>
          <w:b/>
          <w:sz w:val="24"/>
        </w:rPr>
        <w:t>、进行服务管理和风险管理、报送监管信息</w:t>
      </w:r>
      <w:r>
        <w:rPr>
          <w:rFonts w:hint="eastAsia" w:ascii="宋体" w:hAnsi="宋体"/>
          <w:b/>
          <w:sz w:val="24"/>
        </w:rPr>
        <w:t>、</w:t>
      </w:r>
      <w:r>
        <w:rPr>
          <w:rFonts w:ascii="宋体" w:hAnsi="宋体"/>
          <w:b/>
          <w:sz w:val="24"/>
        </w:rPr>
        <w:t>履行反洗钱、</w:t>
      </w:r>
      <w:r>
        <w:rPr>
          <w:rFonts w:hint="eastAsia" w:ascii="宋体" w:hAnsi="宋体"/>
          <w:b/>
          <w:sz w:val="24"/>
        </w:rPr>
        <w:t>反恐怖融资、非居民金融账户涉税信息尽职调查、</w:t>
      </w:r>
      <w:r>
        <w:rPr>
          <w:rFonts w:ascii="宋体" w:hAnsi="宋体"/>
          <w:b/>
          <w:sz w:val="24"/>
        </w:rPr>
        <w:t>投资者资质审核和销售适当性等法律法规和监管要求的义务</w:t>
      </w:r>
      <w:r>
        <w:rPr>
          <w:rFonts w:hint="eastAsia" w:ascii="宋体" w:hAnsi="宋体"/>
          <w:b/>
          <w:sz w:val="24"/>
        </w:rPr>
        <w:t>的</w:t>
      </w:r>
      <w:r>
        <w:rPr>
          <w:rFonts w:ascii="宋体" w:hAnsi="宋体"/>
          <w:b/>
          <w:sz w:val="24"/>
        </w:rPr>
        <w:t>需要，</w:t>
      </w:r>
      <w:r>
        <w:rPr>
          <w:rFonts w:hint="eastAsia" w:ascii="宋体" w:hAnsi="宋体"/>
          <w:b/>
          <w:sz w:val="24"/>
        </w:rPr>
        <w:t>您授权</w:t>
      </w:r>
      <w:r>
        <w:rPr>
          <w:rFonts w:hint="eastAsia" w:ascii="宋体" w:hAnsi="宋体"/>
          <w:b/>
          <w:color w:val="000000"/>
          <w:sz w:val="24"/>
        </w:rPr>
        <w:t>宁银理财</w:t>
      </w:r>
      <w:r>
        <w:rPr>
          <w:rFonts w:ascii="宋体" w:hAnsi="宋体"/>
          <w:b/>
          <w:sz w:val="24"/>
        </w:rPr>
        <w:t>在业务办理或履行过程中</w:t>
      </w:r>
      <w:r>
        <w:rPr>
          <w:rFonts w:hint="eastAsia" w:ascii="宋体" w:hAnsi="宋体"/>
          <w:b/>
          <w:sz w:val="24"/>
        </w:rPr>
        <w:t>直接或通过代理销售机构间接获取并报送、处理投资者或投资者相关人员的个人信息，</w:t>
      </w:r>
      <w:r>
        <w:rPr>
          <w:rFonts w:hint="eastAsia" w:ascii="宋体" w:hAnsi="宋体"/>
          <w:b/>
          <w:bCs/>
          <w:color w:val="000000" w:themeColor="text1"/>
          <w:sz w:val="24"/>
          <w14:textFill>
            <w14:solidFill>
              <w14:schemeClr w14:val="tx1"/>
            </w14:solidFill>
          </w14:textFill>
        </w:rPr>
        <w:t>处理方式为收集、存储、使用、加工、传输、提供等，个人信息包括姓名、性别、国籍或地区、职业、联系方式、地址、身份证件信息等</w:t>
      </w:r>
      <w:r>
        <w:rPr>
          <w:rFonts w:hint="eastAsia" w:ascii="宋体" w:hAnsi="宋体"/>
          <w:b/>
          <w:sz w:val="24"/>
        </w:rPr>
        <w:t>身份信息，</w:t>
      </w:r>
      <w:r>
        <w:rPr>
          <w:rFonts w:hint="eastAsia" w:ascii="宋体" w:hAnsi="宋体"/>
          <w:b/>
          <w:bCs/>
          <w:color w:val="000000" w:themeColor="text1"/>
          <w:sz w:val="24"/>
          <w14:textFill>
            <w14:solidFill>
              <w14:schemeClr w14:val="tx1"/>
            </w14:solidFill>
          </w14:textFill>
        </w:rPr>
        <w:t>理财账户、银行账户等</w:t>
      </w:r>
      <w:r>
        <w:rPr>
          <w:rFonts w:hint="eastAsia" w:ascii="宋体" w:hAnsi="宋体"/>
          <w:b/>
          <w:sz w:val="24"/>
        </w:rPr>
        <w:t>账户信息，</w:t>
      </w:r>
      <w:r>
        <w:rPr>
          <w:rFonts w:hint="eastAsia" w:ascii="宋体" w:hAnsi="宋体"/>
          <w:b/>
          <w:bCs/>
          <w:color w:val="000000" w:themeColor="text1"/>
          <w:sz w:val="24"/>
          <w14:textFill>
            <w14:solidFill>
              <w14:schemeClr w14:val="tx1"/>
            </w14:solidFill>
          </w14:textFill>
        </w:rPr>
        <w:t>风险承受能力等级、理财产品交易时间等金融交易信息，</w:t>
      </w:r>
      <w:r>
        <w:rPr>
          <w:rFonts w:hint="eastAsia" w:ascii="宋体" w:hAnsi="宋体"/>
          <w:b/>
          <w:sz w:val="24"/>
        </w:rPr>
        <w:t>持有理财产品信息等财产信息</w:t>
      </w:r>
      <w:r>
        <w:rPr>
          <w:rFonts w:hint="eastAsia" w:ascii="宋体" w:hAnsi="宋体"/>
          <w:b/>
          <w:bCs/>
          <w:color w:val="000000" w:themeColor="text1"/>
          <w:sz w:val="24"/>
          <w14:textFill>
            <w14:solidFill>
              <w14:schemeClr w14:val="tx1"/>
            </w14:solidFill>
          </w14:textFill>
        </w:rPr>
        <w:t>，及法律法规、监管要求或行业自律准则规定的其他信息</w:t>
      </w:r>
      <w:r>
        <w:rPr>
          <w:rFonts w:hint="eastAsia" w:ascii="宋体" w:hAnsi="宋体"/>
          <w:b/>
          <w:sz w:val="24"/>
        </w:rPr>
        <w:t>；在宁银理财履行相关法律法规、监管规定的义务及有权机关要求的情况下，授权宁银理财向银行业理财登记托管中心、监管机构及其他有权机关报送或提供上述信息；</w:t>
      </w:r>
      <w:r>
        <w:rPr>
          <w:rFonts w:ascii="宋体" w:hAnsi="宋体"/>
          <w:b/>
          <w:sz w:val="24"/>
        </w:rPr>
        <w:t>在</w:t>
      </w:r>
      <w:r>
        <w:rPr>
          <w:rFonts w:hint="eastAsia" w:ascii="宋体" w:hAnsi="宋体"/>
          <w:b/>
          <w:color w:val="000000"/>
          <w:sz w:val="24"/>
        </w:rPr>
        <w:t>宁银理财</w:t>
      </w:r>
      <w:r>
        <w:rPr>
          <w:rFonts w:ascii="宋体" w:hAnsi="宋体"/>
          <w:b/>
          <w:sz w:val="24"/>
        </w:rPr>
        <w:t>办理本协议项下相关事项所必需的情形下，</w:t>
      </w:r>
      <w:r>
        <w:rPr>
          <w:rFonts w:hint="eastAsia" w:ascii="宋体" w:hAnsi="宋体"/>
          <w:b/>
          <w:sz w:val="24"/>
        </w:rPr>
        <w:t>授权宁银理财</w:t>
      </w:r>
      <w:r>
        <w:rPr>
          <w:rFonts w:ascii="宋体" w:hAnsi="宋体"/>
          <w:b/>
          <w:sz w:val="24"/>
        </w:rPr>
        <w:t>向</w:t>
      </w:r>
      <w:r>
        <w:rPr>
          <w:rFonts w:hint="eastAsia" w:ascii="宋体" w:hAnsi="宋体"/>
          <w:b/>
          <w:color w:val="000000"/>
          <w:sz w:val="24"/>
        </w:rPr>
        <w:t>宁银理财</w:t>
      </w:r>
      <w:r>
        <w:rPr>
          <w:rFonts w:ascii="宋体" w:hAnsi="宋体"/>
          <w:b/>
          <w:sz w:val="24"/>
        </w:rPr>
        <w:t>集团成员、服务机构及其他</w:t>
      </w:r>
      <w:r>
        <w:rPr>
          <w:rFonts w:hint="eastAsia" w:ascii="宋体" w:hAnsi="宋体"/>
          <w:b/>
          <w:color w:val="000000"/>
          <w:sz w:val="24"/>
        </w:rPr>
        <w:t>宁银理财</w:t>
      </w:r>
      <w:r>
        <w:rPr>
          <w:rFonts w:ascii="宋体" w:hAnsi="宋体"/>
          <w:b/>
          <w:sz w:val="24"/>
        </w:rPr>
        <w:t>认为必要的业务合作机构（包括但不限于代理销售机构</w:t>
      </w:r>
      <w:r>
        <w:rPr>
          <w:rFonts w:hint="eastAsia" w:ascii="宋体" w:hAnsi="宋体"/>
          <w:b/>
          <w:sz w:val="24"/>
        </w:rPr>
        <w:t>、清算服务机构</w:t>
      </w:r>
      <w:r>
        <w:rPr>
          <w:rFonts w:hint="eastAsia" w:ascii="宋体" w:hAnsi="宋体"/>
          <w:b/>
          <w:bCs/>
          <w:color w:val="000000" w:themeColor="text1"/>
          <w:sz w:val="24"/>
          <w14:textFill>
            <w14:solidFill>
              <w14:schemeClr w14:val="tx1"/>
            </w14:solidFill>
          </w14:textFill>
        </w:rPr>
        <w:t>等</w:t>
      </w:r>
      <w:r>
        <w:rPr>
          <w:rFonts w:ascii="宋体" w:hAnsi="宋体"/>
          <w:b/>
          <w:sz w:val="24"/>
        </w:rPr>
        <w:t>）提供</w:t>
      </w:r>
      <w:r>
        <w:rPr>
          <w:rFonts w:hint="eastAsia" w:ascii="宋体" w:hAnsi="宋体"/>
          <w:b/>
          <w:color w:val="000000"/>
          <w:sz w:val="24"/>
        </w:rPr>
        <w:t>宁银理财</w:t>
      </w:r>
      <w:r>
        <w:rPr>
          <w:rFonts w:ascii="宋体" w:hAnsi="宋体"/>
          <w:b/>
          <w:sz w:val="24"/>
        </w:rPr>
        <w:t>获取的</w:t>
      </w:r>
      <w:r>
        <w:rPr>
          <w:rFonts w:hint="eastAsia" w:ascii="宋体" w:hAnsi="宋体"/>
          <w:b/>
          <w:sz w:val="24"/>
        </w:rPr>
        <w:t>上述投资者</w:t>
      </w:r>
      <w:r>
        <w:rPr>
          <w:rFonts w:ascii="宋体" w:hAnsi="宋体"/>
          <w:b/>
          <w:sz w:val="24"/>
        </w:rPr>
        <w:t>信息，</w:t>
      </w:r>
      <w:r>
        <w:rPr>
          <w:rFonts w:hint="eastAsia" w:ascii="宋体" w:hAnsi="宋体"/>
          <w:b/>
          <w:sz w:val="24"/>
        </w:rPr>
        <w:t>授权使用时限与提供前述服务及履行相关法律法规和监管要求义务的必要时限一致。</w:t>
      </w:r>
      <w:r>
        <w:rPr>
          <w:rFonts w:ascii="宋体" w:hAnsi="宋体"/>
          <w:b/>
          <w:sz w:val="24"/>
        </w:rPr>
        <w:t>接收信息的上述第三方将为处理本协议项下事务之目的接触并按照</w:t>
      </w:r>
      <w:r>
        <w:rPr>
          <w:rFonts w:hint="eastAsia" w:ascii="宋体" w:hAnsi="宋体"/>
          <w:b/>
          <w:color w:val="000000"/>
          <w:sz w:val="24"/>
        </w:rPr>
        <w:t>宁银理财</w:t>
      </w:r>
      <w:r>
        <w:rPr>
          <w:rFonts w:ascii="宋体" w:hAnsi="宋体"/>
          <w:b/>
          <w:sz w:val="24"/>
        </w:rPr>
        <w:t>的业务需要</w:t>
      </w:r>
      <w:r>
        <w:rPr>
          <w:rFonts w:hint="eastAsia" w:ascii="宋体" w:hAnsi="宋体"/>
          <w:b/>
          <w:sz w:val="24"/>
        </w:rPr>
        <w:t>处理投资者</w:t>
      </w:r>
      <w:r>
        <w:rPr>
          <w:rFonts w:ascii="宋体" w:hAnsi="宋体"/>
          <w:b/>
          <w:sz w:val="24"/>
        </w:rPr>
        <w:t>信息</w:t>
      </w:r>
      <w:r>
        <w:rPr>
          <w:rFonts w:hint="eastAsia" w:ascii="宋体" w:hAnsi="宋体"/>
          <w:b/>
          <w:sz w:val="24"/>
        </w:rPr>
        <w:t>，处理方式</w:t>
      </w:r>
      <w:r>
        <w:rPr>
          <w:rFonts w:hint="eastAsia" w:ascii="宋体" w:hAnsi="宋体"/>
          <w:b/>
          <w:bCs/>
          <w:color w:val="000000" w:themeColor="text1"/>
          <w:sz w:val="24"/>
          <w14:textFill>
            <w14:solidFill>
              <w14:schemeClr w14:val="tx1"/>
            </w14:solidFill>
          </w14:textFill>
        </w:rPr>
        <w:t>包括但不限于存储、使用、加工、传输、提供等</w:t>
      </w:r>
      <w:r>
        <w:rPr>
          <w:rFonts w:ascii="宋体" w:hAnsi="宋体"/>
          <w:b/>
          <w:sz w:val="24"/>
        </w:rPr>
        <w:t>。</w:t>
      </w:r>
      <w:r>
        <w:rPr>
          <w:rFonts w:hint="eastAsia" w:ascii="宋体" w:hAnsi="宋体"/>
          <w:b/>
          <w:sz w:val="24"/>
        </w:rPr>
        <w:t>上述约定的</w:t>
      </w:r>
      <w:r>
        <w:rPr>
          <w:rFonts w:hint="eastAsia" w:ascii="宋体" w:hAnsi="宋体"/>
          <w:b/>
          <w:bCs/>
          <w:color w:val="000000" w:themeColor="text1"/>
          <w:sz w:val="24"/>
          <w14:textFill>
            <w14:solidFill>
              <w14:schemeClr w14:val="tx1"/>
            </w14:solidFill>
          </w14:textFill>
        </w:rPr>
        <w:t>个人信息包括投资者或投资者相关人员的敏感个人信息，敏感个人信息一旦泄露或非法使用，容易导致投资者或投资者相关人员的人格尊严受到侵害或者人身、财产安全受到危害。</w:t>
      </w:r>
      <w:r>
        <w:rPr>
          <w:rFonts w:hint="eastAsia" w:ascii="宋体" w:hAnsi="宋体"/>
          <w:b/>
          <w:color w:val="000000"/>
          <w:sz w:val="24"/>
        </w:rPr>
        <w:t>宁银理财</w:t>
      </w:r>
      <w:r>
        <w:rPr>
          <w:rFonts w:hint="eastAsia" w:ascii="宋体" w:hAnsi="宋体"/>
          <w:b/>
          <w:sz w:val="24"/>
        </w:rPr>
        <w:t>承诺，宁银理财</w:t>
      </w:r>
      <w:r>
        <w:rPr>
          <w:rFonts w:ascii="宋体" w:hAnsi="宋体"/>
          <w:b/>
          <w:bCs/>
          <w:color w:val="000000" w:themeColor="text1"/>
          <w:sz w:val="24"/>
          <w14:textFill>
            <w14:solidFill>
              <w14:schemeClr w14:val="tx1"/>
            </w14:solidFill>
          </w14:textFill>
        </w:rPr>
        <w:t>及</w:t>
      </w:r>
      <w:r>
        <w:rPr>
          <w:rFonts w:hint="eastAsia" w:ascii="宋体" w:hAnsi="宋体"/>
          <w:b/>
          <w:bCs/>
          <w:color w:val="000000" w:themeColor="text1"/>
          <w:sz w:val="24"/>
          <w14:textFill>
            <w14:solidFill>
              <w14:schemeClr w14:val="tx1"/>
            </w14:solidFill>
          </w14:textFill>
        </w:rPr>
        <w:t>第三方</w:t>
      </w:r>
      <w:r>
        <w:rPr>
          <w:rFonts w:ascii="宋体" w:hAnsi="宋体"/>
          <w:b/>
          <w:bCs/>
          <w:color w:val="000000" w:themeColor="text1"/>
          <w:sz w:val="24"/>
          <w14:textFill>
            <w14:solidFill>
              <w14:schemeClr w14:val="tx1"/>
            </w14:solidFill>
          </w14:textFill>
        </w:rPr>
        <w:t>业务合作机构</w:t>
      </w:r>
      <w:r>
        <w:rPr>
          <w:rFonts w:hint="eastAsia" w:ascii="宋体" w:hAnsi="宋体"/>
          <w:b/>
          <w:bCs/>
          <w:color w:val="000000" w:themeColor="text1"/>
          <w:sz w:val="24"/>
          <w14:textFill>
            <w14:solidFill>
              <w14:schemeClr w14:val="tx1"/>
            </w14:solidFill>
          </w14:textFill>
        </w:rPr>
        <w:t>基于上述目的处理个人信息（包括</w:t>
      </w:r>
      <w:r>
        <w:rPr>
          <w:rFonts w:ascii="宋体" w:hAnsi="宋体"/>
          <w:b/>
          <w:bCs/>
          <w:color w:val="000000" w:themeColor="text1"/>
          <w:sz w:val="24"/>
          <w14:textFill>
            <w14:solidFill>
              <w14:schemeClr w14:val="tx1"/>
            </w14:solidFill>
          </w14:textFill>
        </w:rPr>
        <w:t>敏感个人信息）</w:t>
      </w:r>
      <w:r>
        <w:rPr>
          <w:rFonts w:hint="eastAsia" w:ascii="宋体" w:hAnsi="宋体"/>
          <w:b/>
          <w:bCs/>
          <w:color w:val="000000" w:themeColor="text1"/>
          <w:sz w:val="24"/>
          <w14:textFill>
            <w14:solidFill>
              <w14:schemeClr w14:val="tx1"/>
            </w14:solidFill>
          </w14:textFill>
        </w:rPr>
        <w:t>为提供服务或满足合规要求所必须，宁银理财</w:t>
      </w:r>
      <w:r>
        <w:rPr>
          <w:rFonts w:hint="eastAsia" w:ascii="宋体" w:hAnsi="宋体"/>
          <w:b/>
          <w:sz w:val="24"/>
        </w:rPr>
        <w:t>将向有关第三方明确其保护投资者信息的职责并要求第三方承担相应保密义务，严格按照</w:t>
      </w:r>
      <w:r>
        <w:rPr>
          <w:rFonts w:hint="eastAsia" w:ascii="宋体" w:hAnsi="宋体"/>
          <w:b/>
          <w:bCs/>
          <w:color w:val="000000" w:themeColor="text1"/>
          <w:sz w:val="24"/>
          <w14:textFill>
            <w14:solidFill>
              <w14:schemeClr w14:val="tx1"/>
            </w14:solidFill>
          </w14:textFill>
        </w:rPr>
        <w:t>相关法律法规及上述约定开展信息处理行为并采取安全保护措施</w:t>
      </w:r>
      <w:r>
        <w:rPr>
          <w:rFonts w:hint="eastAsia" w:ascii="宋体" w:hAnsi="宋体"/>
          <w:b/>
          <w:sz w:val="24"/>
        </w:rPr>
        <w:t>。宁银理财将妥善保管投资者理财产品销售相关资料，保管年限不低于《中华人民共和国反洗钱法》、《理财公司理财产品销售管理暂行办法》等法律法规及监管规定的年限；超出必要保管期限后，宁银理财、销售机构及其他第三方合作机构（如有）将及时删除投资者的档案（包括以电子化形式以及纸质文本形式保管的投资者个人信息）。</w:t>
      </w:r>
      <w:r>
        <w:rPr>
          <w:rFonts w:hint="eastAsia" w:ascii="宋体" w:hAnsi="宋体"/>
          <w:b/>
          <w:bCs/>
          <w:color w:val="000000" w:themeColor="text1"/>
          <w:sz w:val="24"/>
          <w14:textFill>
            <w14:solidFill>
              <w14:schemeClr w14:val="tx1"/>
            </w14:solidFill>
          </w14:textFill>
        </w:rPr>
        <w:t>如您对第三方机构处理您的个人信息活动有疑问或要求，您可以通过《理财产品说明书》、第三方机构的官方网站（如有）、第三方机构的官方公众号（如有）等渠道获取相应的联系方式以行使您的个人信息权利，或者直接联系我们。</w:t>
      </w:r>
    </w:p>
    <w:p w14:paraId="3C8D6A2D">
      <w:pPr>
        <w:spacing w:line="312" w:lineRule="auto"/>
        <w:ind w:firstLine="482" w:firstLineChars="200"/>
        <w:outlineLvl w:val="0"/>
        <w:rPr>
          <w:rFonts w:ascii="宋体" w:hAnsi="宋体"/>
          <w:b/>
          <w:bCs/>
          <w:color w:val="000000"/>
          <w:sz w:val="24"/>
        </w:rPr>
      </w:pPr>
      <w:r>
        <w:rPr>
          <w:rFonts w:hint="eastAsia" w:ascii="宋体" w:hAnsi="宋体"/>
          <w:b/>
          <w:bCs/>
          <w:color w:val="000000"/>
          <w:sz w:val="24"/>
        </w:rPr>
        <w:t>五、投诉及建议</w:t>
      </w:r>
    </w:p>
    <w:p w14:paraId="182F1685">
      <w:pPr>
        <w:spacing w:line="312" w:lineRule="auto"/>
        <w:ind w:firstLine="482" w:firstLineChars="200"/>
        <w:rPr>
          <w:rFonts w:ascii="宋体" w:hAnsi="宋体"/>
          <w:b/>
          <w:color w:val="000000"/>
          <w:sz w:val="24"/>
        </w:rPr>
      </w:pPr>
      <w:r>
        <w:rPr>
          <w:rFonts w:hint="eastAsia" w:ascii="宋体" w:hAnsi="宋体"/>
          <w:b/>
          <w:color w:val="000000"/>
          <w:sz w:val="24"/>
        </w:rPr>
        <w:t>若您对本理财产品有任何投诉或建议，请拨打宁银理财客服热线、拨打代理销售机构客服热线或反馈至代理销售机构营业网点，宁银理财或代理销售机构将对您所反映的情况和建议作及时的处理和反馈。</w:t>
      </w:r>
    </w:p>
    <w:p w14:paraId="617F9B72">
      <w:pPr>
        <w:spacing w:line="312" w:lineRule="auto"/>
        <w:ind w:firstLine="482" w:firstLineChars="200"/>
        <w:rPr>
          <w:rFonts w:ascii="宋体" w:hAnsi="宋体"/>
          <w:b/>
          <w:bCs/>
          <w:color w:val="000000"/>
          <w:sz w:val="24"/>
        </w:rPr>
      </w:pPr>
      <w:r>
        <w:rPr>
          <w:rFonts w:hint="eastAsia" w:ascii="宋体" w:hAnsi="宋体"/>
          <w:b/>
          <w:bCs/>
          <w:color w:val="000000"/>
          <w:sz w:val="24"/>
        </w:rPr>
        <w:t>六</w:t>
      </w:r>
      <w:r>
        <w:rPr>
          <w:rFonts w:ascii="宋体" w:hAnsi="宋体"/>
          <w:b/>
          <w:bCs/>
          <w:color w:val="000000"/>
          <w:sz w:val="24"/>
        </w:rPr>
        <w:t>、</w:t>
      </w:r>
      <w:r>
        <w:rPr>
          <w:rFonts w:hint="eastAsia" w:ascii="宋体" w:hAnsi="宋体"/>
          <w:b/>
          <w:bCs/>
          <w:color w:val="000000"/>
          <w:sz w:val="24"/>
        </w:rPr>
        <w:t>宁银理财</w:t>
      </w:r>
      <w:r>
        <w:rPr>
          <w:rFonts w:ascii="宋体" w:hAnsi="宋体"/>
          <w:b/>
          <w:bCs/>
          <w:color w:val="000000"/>
          <w:sz w:val="24"/>
        </w:rPr>
        <w:t>联络方式</w:t>
      </w:r>
    </w:p>
    <w:p w14:paraId="777B47EA">
      <w:pPr>
        <w:spacing w:line="312" w:lineRule="auto"/>
        <w:ind w:firstLine="1200" w:firstLineChars="500"/>
        <w:rPr>
          <w:rFonts w:ascii="宋体" w:hAnsi="宋体"/>
          <w:color w:val="000000"/>
          <w:sz w:val="24"/>
        </w:rPr>
      </w:pPr>
      <w:r>
        <w:rPr>
          <w:rFonts w:hint="eastAsia" w:ascii="宋体" w:hAnsi="宋体"/>
          <w:color w:val="000000"/>
          <w:sz w:val="24"/>
        </w:rPr>
        <w:t>客服</w:t>
      </w:r>
      <w:r>
        <w:rPr>
          <w:rFonts w:ascii="宋体" w:hAnsi="宋体"/>
          <w:color w:val="000000"/>
          <w:sz w:val="24"/>
        </w:rPr>
        <w:t>热线</w:t>
      </w:r>
      <w:r>
        <w:rPr>
          <w:rFonts w:hint="eastAsia" w:ascii="宋体" w:hAnsi="宋体"/>
          <w:color w:val="000000"/>
          <w:sz w:val="24"/>
        </w:rPr>
        <w:t>：400-099-5574</w:t>
      </w:r>
    </w:p>
    <w:p w14:paraId="4F82E49A">
      <w:pPr>
        <w:spacing w:line="312" w:lineRule="auto"/>
        <w:ind w:firstLine="1200" w:firstLineChars="500"/>
        <w:rPr>
          <w:rFonts w:ascii="宋体" w:hAnsi="宋体"/>
          <w:color w:val="000000"/>
          <w:sz w:val="24"/>
        </w:rPr>
      </w:pPr>
      <w:r>
        <w:rPr>
          <w:rFonts w:hint="eastAsia" w:ascii="宋体" w:hAnsi="宋体"/>
          <w:color w:val="000000"/>
          <w:sz w:val="24"/>
        </w:rPr>
        <w:t>官方网站</w:t>
      </w:r>
      <w:r>
        <w:rPr>
          <w:rFonts w:ascii="宋体" w:hAnsi="宋体"/>
          <w:color w:val="000000"/>
          <w:sz w:val="24"/>
        </w:rPr>
        <w:t>：</w:t>
      </w:r>
      <w:r>
        <w:rPr>
          <w:rFonts w:hint="eastAsia" w:ascii="宋体" w:hAnsi="宋体"/>
          <w:color w:val="000000"/>
          <w:sz w:val="24"/>
        </w:rPr>
        <w:t>www.wmbnb.com</w:t>
      </w:r>
    </w:p>
    <w:p w14:paraId="6B88C6E1">
      <w:pPr>
        <w:spacing w:line="312" w:lineRule="auto"/>
        <w:ind w:firstLine="480"/>
        <w:rPr>
          <w:b/>
          <w:bCs/>
          <w:sz w:val="24"/>
        </w:rPr>
      </w:pPr>
      <w:r>
        <w:rPr>
          <w:rFonts w:hint="eastAsia"/>
          <w:b/>
          <w:bCs/>
          <w:sz w:val="24"/>
        </w:rPr>
        <w:t>七、代理销售机构联络方式</w:t>
      </w:r>
    </w:p>
    <w:p w14:paraId="794284E5">
      <w:pPr>
        <w:autoSpaceDE w:val="0"/>
        <w:autoSpaceDN w:val="0"/>
        <w:adjustRightInd w:val="0"/>
        <w:ind w:left="361" w:leftChars="172" w:firstLine="249" w:firstLineChars="104"/>
        <w:jc w:val="left"/>
        <w:rPr>
          <w:rFonts w:ascii="宋体" w:hAnsi="宋体"/>
          <w:color w:val="000000"/>
          <w:sz w:val="24"/>
          <w:u w:val="single"/>
        </w:rPr>
      </w:pPr>
      <w:r>
        <w:rPr>
          <w:rFonts w:hint="eastAsia" w:ascii="宋体" w:hAnsi="宋体"/>
          <w:color w:val="000000"/>
          <w:sz w:val="24"/>
        </w:rPr>
        <w:t>代理销售机构联系方式详见《理财产品说明书》</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7529895"/>
    </w:sdtPr>
    <w:sdtContent>
      <w:p w14:paraId="21611ECD">
        <w:pPr>
          <w:pStyle w:val="4"/>
          <w:jc w:val="center"/>
        </w:pPr>
        <w:r>
          <w:fldChar w:fldCharType="begin"/>
        </w:r>
        <w:r>
          <w:instrText xml:space="preserve">PAGE   \* MERGEFORMAT</w:instrText>
        </w:r>
        <w:r>
          <w:fldChar w:fldCharType="separate"/>
        </w:r>
        <w:r>
          <w:rPr>
            <w:lang w:val="zh-CN"/>
          </w:rPr>
          <w:t>-</w:t>
        </w:r>
        <w:r>
          <w:t xml:space="preserve"> 2 -</w:t>
        </w:r>
        <w:r>
          <w:fldChar w:fldCharType="end"/>
        </w:r>
      </w:p>
    </w:sdtContent>
  </w:sdt>
  <w:p w14:paraId="25E7729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225"/>
    <w:rsid w:val="000060D4"/>
    <w:rsid w:val="00014226"/>
    <w:rsid w:val="00014553"/>
    <w:rsid w:val="0001663F"/>
    <w:rsid w:val="00050121"/>
    <w:rsid w:val="00063346"/>
    <w:rsid w:val="00065630"/>
    <w:rsid w:val="000666CA"/>
    <w:rsid w:val="00067DC2"/>
    <w:rsid w:val="00071BD1"/>
    <w:rsid w:val="0007487B"/>
    <w:rsid w:val="00090B7E"/>
    <w:rsid w:val="000957EE"/>
    <w:rsid w:val="000A2A37"/>
    <w:rsid w:val="000D07A6"/>
    <w:rsid w:val="000D35D2"/>
    <w:rsid w:val="000E7E94"/>
    <w:rsid w:val="000F11B4"/>
    <w:rsid w:val="000F2ADB"/>
    <w:rsid w:val="0010651E"/>
    <w:rsid w:val="00114F07"/>
    <w:rsid w:val="00120481"/>
    <w:rsid w:val="0012673E"/>
    <w:rsid w:val="00152C4E"/>
    <w:rsid w:val="00155282"/>
    <w:rsid w:val="001613B6"/>
    <w:rsid w:val="00167CF2"/>
    <w:rsid w:val="001713A1"/>
    <w:rsid w:val="00181C26"/>
    <w:rsid w:val="001A52D7"/>
    <w:rsid w:val="001A5AF1"/>
    <w:rsid w:val="001A5E64"/>
    <w:rsid w:val="001B1EC7"/>
    <w:rsid w:val="001D741D"/>
    <w:rsid w:val="001E45D9"/>
    <w:rsid w:val="001E52AA"/>
    <w:rsid w:val="001F312B"/>
    <w:rsid w:val="00212307"/>
    <w:rsid w:val="00213198"/>
    <w:rsid w:val="00213337"/>
    <w:rsid w:val="00215664"/>
    <w:rsid w:val="002228C7"/>
    <w:rsid w:val="002250F5"/>
    <w:rsid w:val="00230F84"/>
    <w:rsid w:val="002453CC"/>
    <w:rsid w:val="0024564A"/>
    <w:rsid w:val="0026731C"/>
    <w:rsid w:val="00283F84"/>
    <w:rsid w:val="00285225"/>
    <w:rsid w:val="0029598E"/>
    <w:rsid w:val="002A0CA2"/>
    <w:rsid w:val="002E3FA4"/>
    <w:rsid w:val="002E4AA2"/>
    <w:rsid w:val="002F768A"/>
    <w:rsid w:val="0031290D"/>
    <w:rsid w:val="003161C1"/>
    <w:rsid w:val="0032356C"/>
    <w:rsid w:val="00323850"/>
    <w:rsid w:val="00324D46"/>
    <w:rsid w:val="00337ADF"/>
    <w:rsid w:val="003529F7"/>
    <w:rsid w:val="003551A4"/>
    <w:rsid w:val="00364ED5"/>
    <w:rsid w:val="0036518A"/>
    <w:rsid w:val="0037515F"/>
    <w:rsid w:val="00376B86"/>
    <w:rsid w:val="00382338"/>
    <w:rsid w:val="00383AA3"/>
    <w:rsid w:val="00391492"/>
    <w:rsid w:val="003974BA"/>
    <w:rsid w:val="003A41F8"/>
    <w:rsid w:val="003A521D"/>
    <w:rsid w:val="003B0BDD"/>
    <w:rsid w:val="003C4B44"/>
    <w:rsid w:val="003C56A9"/>
    <w:rsid w:val="003D2F48"/>
    <w:rsid w:val="003F4EC4"/>
    <w:rsid w:val="003F5DF6"/>
    <w:rsid w:val="003F792F"/>
    <w:rsid w:val="004070FE"/>
    <w:rsid w:val="00434530"/>
    <w:rsid w:val="00441639"/>
    <w:rsid w:val="00447C2E"/>
    <w:rsid w:val="00461649"/>
    <w:rsid w:val="0047005A"/>
    <w:rsid w:val="00476DC0"/>
    <w:rsid w:val="00490F25"/>
    <w:rsid w:val="00494E48"/>
    <w:rsid w:val="0049576D"/>
    <w:rsid w:val="004A064F"/>
    <w:rsid w:val="004A3A2F"/>
    <w:rsid w:val="004C0662"/>
    <w:rsid w:val="004C0A07"/>
    <w:rsid w:val="004F4634"/>
    <w:rsid w:val="00502A69"/>
    <w:rsid w:val="005140C0"/>
    <w:rsid w:val="00523934"/>
    <w:rsid w:val="00523E5C"/>
    <w:rsid w:val="0052420C"/>
    <w:rsid w:val="005278C7"/>
    <w:rsid w:val="00527A2F"/>
    <w:rsid w:val="005401B7"/>
    <w:rsid w:val="005435DD"/>
    <w:rsid w:val="005677F4"/>
    <w:rsid w:val="00576577"/>
    <w:rsid w:val="00596844"/>
    <w:rsid w:val="005A4113"/>
    <w:rsid w:val="005A5EF6"/>
    <w:rsid w:val="005B294A"/>
    <w:rsid w:val="005C1D1B"/>
    <w:rsid w:val="005C3037"/>
    <w:rsid w:val="005D1969"/>
    <w:rsid w:val="005E2AED"/>
    <w:rsid w:val="005E377A"/>
    <w:rsid w:val="005F42D3"/>
    <w:rsid w:val="005F4458"/>
    <w:rsid w:val="00603E93"/>
    <w:rsid w:val="00617149"/>
    <w:rsid w:val="00644E6E"/>
    <w:rsid w:val="006450E5"/>
    <w:rsid w:val="0066119D"/>
    <w:rsid w:val="00665367"/>
    <w:rsid w:val="0067142D"/>
    <w:rsid w:val="00687F47"/>
    <w:rsid w:val="006A0648"/>
    <w:rsid w:val="006A06B2"/>
    <w:rsid w:val="006A219A"/>
    <w:rsid w:val="006A4E34"/>
    <w:rsid w:val="006A6B7B"/>
    <w:rsid w:val="006B7D00"/>
    <w:rsid w:val="006C1A20"/>
    <w:rsid w:val="006D46D8"/>
    <w:rsid w:val="006D6C62"/>
    <w:rsid w:val="006E1AA6"/>
    <w:rsid w:val="006F0654"/>
    <w:rsid w:val="006F4FF4"/>
    <w:rsid w:val="007508C5"/>
    <w:rsid w:val="00755BF3"/>
    <w:rsid w:val="007658B5"/>
    <w:rsid w:val="00777B7A"/>
    <w:rsid w:val="00791FDE"/>
    <w:rsid w:val="007A0CA8"/>
    <w:rsid w:val="007B19F2"/>
    <w:rsid w:val="007C70CB"/>
    <w:rsid w:val="007D68AE"/>
    <w:rsid w:val="007D7750"/>
    <w:rsid w:val="007E7E1A"/>
    <w:rsid w:val="007F752A"/>
    <w:rsid w:val="00813255"/>
    <w:rsid w:val="00827A69"/>
    <w:rsid w:val="0083050E"/>
    <w:rsid w:val="008325BA"/>
    <w:rsid w:val="00835F33"/>
    <w:rsid w:val="00841B1C"/>
    <w:rsid w:val="00843FAB"/>
    <w:rsid w:val="0084727B"/>
    <w:rsid w:val="00856D00"/>
    <w:rsid w:val="00857251"/>
    <w:rsid w:val="0086370D"/>
    <w:rsid w:val="00871055"/>
    <w:rsid w:val="00885453"/>
    <w:rsid w:val="0088741D"/>
    <w:rsid w:val="00887439"/>
    <w:rsid w:val="008A5E5A"/>
    <w:rsid w:val="008B1416"/>
    <w:rsid w:val="008B2FDC"/>
    <w:rsid w:val="008D5D65"/>
    <w:rsid w:val="008D6BCD"/>
    <w:rsid w:val="008E5400"/>
    <w:rsid w:val="008E7D66"/>
    <w:rsid w:val="008F694D"/>
    <w:rsid w:val="00901713"/>
    <w:rsid w:val="00913592"/>
    <w:rsid w:val="00935EC0"/>
    <w:rsid w:val="00943545"/>
    <w:rsid w:val="0094499F"/>
    <w:rsid w:val="00964A10"/>
    <w:rsid w:val="00975B10"/>
    <w:rsid w:val="009771A7"/>
    <w:rsid w:val="009B34EA"/>
    <w:rsid w:val="009B6524"/>
    <w:rsid w:val="009E0E24"/>
    <w:rsid w:val="00A40D0C"/>
    <w:rsid w:val="00A45851"/>
    <w:rsid w:val="00A47976"/>
    <w:rsid w:val="00A479ED"/>
    <w:rsid w:val="00A51578"/>
    <w:rsid w:val="00A679CF"/>
    <w:rsid w:val="00A73465"/>
    <w:rsid w:val="00A77EA6"/>
    <w:rsid w:val="00A924F9"/>
    <w:rsid w:val="00A955C6"/>
    <w:rsid w:val="00AC1447"/>
    <w:rsid w:val="00AD28D0"/>
    <w:rsid w:val="00AF1AB5"/>
    <w:rsid w:val="00AF3D96"/>
    <w:rsid w:val="00B06471"/>
    <w:rsid w:val="00B10360"/>
    <w:rsid w:val="00B357A1"/>
    <w:rsid w:val="00B4027B"/>
    <w:rsid w:val="00B45512"/>
    <w:rsid w:val="00B5149A"/>
    <w:rsid w:val="00B70FF3"/>
    <w:rsid w:val="00B97F38"/>
    <w:rsid w:val="00BA0DAE"/>
    <w:rsid w:val="00BC0A73"/>
    <w:rsid w:val="00BE6BD9"/>
    <w:rsid w:val="00BE73EB"/>
    <w:rsid w:val="00BF37EE"/>
    <w:rsid w:val="00C03C66"/>
    <w:rsid w:val="00C0527D"/>
    <w:rsid w:val="00C17288"/>
    <w:rsid w:val="00C22779"/>
    <w:rsid w:val="00C23587"/>
    <w:rsid w:val="00C44AD8"/>
    <w:rsid w:val="00C450A9"/>
    <w:rsid w:val="00C46A8D"/>
    <w:rsid w:val="00C51D8C"/>
    <w:rsid w:val="00C67246"/>
    <w:rsid w:val="00C82745"/>
    <w:rsid w:val="00C92173"/>
    <w:rsid w:val="00C92A89"/>
    <w:rsid w:val="00C94385"/>
    <w:rsid w:val="00C966F8"/>
    <w:rsid w:val="00CB2031"/>
    <w:rsid w:val="00CC094A"/>
    <w:rsid w:val="00CC6DC5"/>
    <w:rsid w:val="00CE628A"/>
    <w:rsid w:val="00CF6B91"/>
    <w:rsid w:val="00D05B7E"/>
    <w:rsid w:val="00D35761"/>
    <w:rsid w:val="00D41301"/>
    <w:rsid w:val="00D445D2"/>
    <w:rsid w:val="00D45B8F"/>
    <w:rsid w:val="00D656C4"/>
    <w:rsid w:val="00D70B82"/>
    <w:rsid w:val="00D74571"/>
    <w:rsid w:val="00D80787"/>
    <w:rsid w:val="00DA33A2"/>
    <w:rsid w:val="00DA6336"/>
    <w:rsid w:val="00DA70EA"/>
    <w:rsid w:val="00DC3E0D"/>
    <w:rsid w:val="00DC72D9"/>
    <w:rsid w:val="00DE218B"/>
    <w:rsid w:val="00DE3B75"/>
    <w:rsid w:val="00DF1160"/>
    <w:rsid w:val="00E246F5"/>
    <w:rsid w:val="00E503CA"/>
    <w:rsid w:val="00E53EC4"/>
    <w:rsid w:val="00E75B23"/>
    <w:rsid w:val="00E91274"/>
    <w:rsid w:val="00EA7879"/>
    <w:rsid w:val="00EC17DA"/>
    <w:rsid w:val="00ED3141"/>
    <w:rsid w:val="00EE3DB5"/>
    <w:rsid w:val="00EE59EE"/>
    <w:rsid w:val="00EF0B3D"/>
    <w:rsid w:val="00EF273C"/>
    <w:rsid w:val="00F0569A"/>
    <w:rsid w:val="00F10CFD"/>
    <w:rsid w:val="00F33F8A"/>
    <w:rsid w:val="00F34968"/>
    <w:rsid w:val="00F4707B"/>
    <w:rsid w:val="00F631B4"/>
    <w:rsid w:val="00F71C75"/>
    <w:rsid w:val="00F82EC1"/>
    <w:rsid w:val="00F96A7F"/>
    <w:rsid w:val="00F978AA"/>
    <w:rsid w:val="00FA0CA8"/>
    <w:rsid w:val="00FC72B9"/>
    <w:rsid w:val="00FD2A5A"/>
    <w:rsid w:val="00FE2787"/>
    <w:rsid w:val="00FF2568"/>
    <w:rsid w:val="1652567C"/>
    <w:rsid w:val="339F2D03"/>
    <w:rsid w:val="39FC2123"/>
    <w:rsid w:val="438D497A"/>
    <w:rsid w:val="5B000956"/>
    <w:rsid w:val="67EE0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pPr>
      <w:pPrChange w:id="0" w:author="张子天" w:date="2025-12-12T15:47:00Z">
        <w:pPr>
          <w:widowControl w:val="0"/>
          <w:jc w:val="both"/>
        </w:pPr>
      </w:pPrChange>
    </w:pPr>
    <w:rPr>
      <w:sz w:val="18"/>
      <w:szCs w:val="18"/>
      <w:rPrChange w:id="1" w:author="张子天" w:date="2025-12-12T15:47:00Z">
        <w:rPr>
          <w:rFonts w:eastAsia="宋体"/>
          <w:kern w:val="2"/>
          <w:sz w:val="18"/>
          <w:szCs w:val="18"/>
          <w:lang w:val="en-US" w:eastAsia="zh-CN" w:bidi="ar-SA"/>
        </w:rPr>
      </w:rPrChange>
    </w:rPr>
  </w:style>
  <w:style w:type="paragraph" w:styleId="4">
    <w:name w:val="footer"/>
    <w:basedOn w:val="1"/>
    <w:link w:val="12"/>
    <w:unhideWhenUsed/>
    <w:qFormat/>
    <w:uiPriority w:val="99"/>
    <w:pPr>
      <w:tabs>
        <w:tab w:val="center" w:pos="4153"/>
        <w:tab w:val="right" w:pos="8306"/>
      </w:tabs>
      <w:snapToGrid w:val="0"/>
      <w:jc w:val="left"/>
      <w:pPrChange w:id="2" w:author="张子天" w:date="2025-12-12T15:47:00Z">
        <w:pPr>
          <w:widowControl w:val="0"/>
          <w:snapToGrid w:val="0"/>
        </w:pPr>
      </w:pPrChange>
    </w:pPr>
    <w:rPr>
      <w:sz w:val="18"/>
      <w:szCs w:val="18"/>
      <w:rPrChange w:id="3" w:author="张子天" w:date="2025-12-12T15:47:00Z">
        <w:rPr>
          <w:rFonts w:eastAsia="宋体"/>
          <w:kern w:val="2"/>
          <w:sz w:val="18"/>
          <w:szCs w:val="18"/>
          <w:lang w:val="en-US" w:eastAsia="zh-CN" w:bidi="ar-SA"/>
        </w:rPr>
      </w:rPrChange>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Change w:id="4" w:author="张子天" w:date="2025-12-12T15:47:00Z">
        <w:pPr>
          <w:widowControl w:val="0"/>
          <w:pBdr>
            <w:bottom w:val="single" w:color="auto" w:sz="6" w:space="1"/>
          </w:pBdr>
          <w:snapToGrid w:val="0"/>
          <w:jc w:val="center"/>
        </w:pPr>
      </w:pPrChange>
    </w:pPr>
    <w:rPr>
      <w:sz w:val="18"/>
      <w:szCs w:val="18"/>
      <w:rPrChange w:id="5" w:author="张子天" w:date="2025-12-12T15:47:00Z">
        <w:rPr>
          <w:rFonts w:eastAsia="宋体"/>
          <w:kern w:val="2"/>
          <w:sz w:val="18"/>
          <w:szCs w:val="18"/>
          <w:lang w:val="en-US" w:eastAsia="zh-CN" w:bidi="ar-SA"/>
        </w:rPr>
      </w:rPrChange>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uiPriority w:val="99"/>
    <w:rPr>
      <w:rFonts w:ascii="Times New Roman" w:hAnsi="Times New Roman" w:eastAsia="宋体" w:cs="Times New Roman"/>
      <w:kern w:val="2"/>
      <w:sz w:val="18"/>
      <w:szCs w:val="18"/>
    </w:rPr>
  </w:style>
  <w:style w:type="character" w:customStyle="1" w:styleId="12">
    <w:name w:val="页脚 字符"/>
    <w:basedOn w:val="9"/>
    <w:link w:val="4"/>
    <w:uiPriority w:val="99"/>
    <w:rPr>
      <w:rFonts w:ascii="Times New Roman" w:hAnsi="Times New Roman" w:eastAsia="宋体" w:cs="Times New Roman"/>
      <w:kern w:val="2"/>
      <w:sz w:val="18"/>
      <w:szCs w:val="18"/>
    </w:rPr>
  </w:style>
  <w:style w:type="character" w:customStyle="1" w:styleId="13">
    <w:name w:val="批注框文本 字符"/>
    <w:basedOn w:val="9"/>
    <w:link w:val="3"/>
    <w:semiHidden/>
    <w:qFormat/>
    <w:uiPriority w:val="99"/>
    <w:rPr>
      <w:rFonts w:ascii="Times New Roman" w:hAnsi="Times New Roman" w:eastAsia="宋体" w:cs="Times New Roman"/>
      <w:kern w:val="2"/>
      <w:sz w:val="18"/>
      <w:szCs w:val="18"/>
    </w:rPr>
  </w:style>
  <w:style w:type="character" w:customStyle="1" w:styleId="14">
    <w:name w:val="批注文字 字符"/>
    <w:basedOn w:val="9"/>
    <w:link w:val="2"/>
    <w:semiHidden/>
    <w:qFormat/>
    <w:uiPriority w:val="99"/>
    <w:rPr>
      <w:rFonts w:ascii="Times New Roman" w:hAnsi="Times New Roman" w:eastAsia="宋体" w:cs="Times New Roman"/>
      <w:szCs w:val="24"/>
    </w:rPr>
  </w:style>
  <w:style w:type="character" w:customStyle="1" w:styleId="15">
    <w:name w:val="批注主题 字符"/>
    <w:basedOn w:val="14"/>
    <w:link w:val="6"/>
    <w:semiHidden/>
    <w:qFormat/>
    <w:uiPriority w:val="99"/>
    <w:rPr>
      <w:rFonts w:ascii="Times New Roman" w:hAnsi="Times New Roman" w:eastAsia="宋体" w:cs="Times New Roman"/>
      <w:b/>
      <w:bCs/>
      <w:kern w:val="2"/>
      <w:sz w:val="21"/>
      <w:szCs w:val="24"/>
    </w:rPr>
  </w:style>
  <w:style w:type="paragraph" w:customStyle="1" w:styleId="16">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43B04-0243-43C5-86E3-E412D888E5C8}">
  <ds:schemaRefs/>
</ds:datastoreItem>
</file>

<file path=docProps/app.xml><?xml version="1.0" encoding="utf-8"?>
<Properties xmlns="http://schemas.openxmlformats.org/officeDocument/2006/extended-properties" xmlns:vt="http://schemas.openxmlformats.org/officeDocument/2006/docPropsVTypes">
  <Template>Normal</Template>
  <Company>nbcb</Company>
  <Pages>4</Pages>
  <Words>2788</Words>
  <Characters>2826</Characters>
  <Lines>20</Lines>
  <Paragraphs>5</Paragraphs>
  <TotalTime>256</TotalTime>
  <ScaleCrop>false</ScaleCrop>
  <LinksUpToDate>false</LinksUpToDate>
  <CharactersWithSpaces>2832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2022-08-30T00:05:00Z</dcterms:created>
  <dc:creator>陈旭东</dc:creator>
  <cp:lastModifiedBy>星球的酒馆</cp:lastModifiedBy>
  <cp:lastPrinted>2020-06-01T05:48:00Z</cp:lastPrinted>
  <dcterms:modified xsi:type="dcterms:W3CDTF">2026-05-13T06:44:07Z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79A5AF53D3C241AC955FB89A20E8D154_13</vt:lpwstr>
  </property>
  <property fmtid="{D5CDD505-2E9C-101B-9397-08002B2CF9AE}" pid="4" name="KSOTemplateDocerSaveRecord">
    <vt:lpwstr>eyJoZGlkIjoiYzM1Mzk5ODEzYTZhMjI3YTY2MDcxNDUyNmIwYTU5MmMiLCJ1c2VySWQiOiIyNzcyMTg3NzkifQ==</vt:lpwstr>
  </property>
</Properties>
</file>