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2E061">
      <w:pPr>
        <w:autoSpaceDE w:val="0"/>
        <w:autoSpaceDN w:val="0"/>
        <w:adjustRightInd w:val="0"/>
        <w:jc w:val="center"/>
        <w:rPr>
          <w:rFonts w:ascii="黑体" w:hAnsi="宋体" w:eastAsia="黑体"/>
          <w:b/>
          <w:sz w:val="44"/>
          <w:szCs w:val="44"/>
        </w:rPr>
      </w:pPr>
      <w:r>
        <w:rPr>
          <w:rFonts w:hint="eastAsia" w:ascii="黑体" w:hAnsi="宋体" w:eastAsia="黑体"/>
          <w:b/>
          <w:sz w:val="44"/>
          <w:szCs w:val="44"/>
        </w:rPr>
        <w:t>宁银理财晶耀固定收益类日开理财6号（最短持有180天）产品说明书</w:t>
      </w:r>
    </w:p>
    <w:p w14:paraId="15C70426">
      <w:pPr>
        <w:spacing w:line="312" w:lineRule="auto"/>
        <w:jc w:val="center"/>
        <w:rPr>
          <w:rFonts w:ascii="黑体" w:hAnsi="黑体" w:eastAsia="黑体"/>
          <w:sz w:val="44"/>
          <w:szCs w:val="44"/>
        </w:rPr>
      </w:pPr>
      <w:r>
        <w:rPr>
          <w:rFonts w:hint="eastAsia" w:ascii="黑体" w:hAnsi="黑体" w:eastAsia="黑体"/>
          <w:sz w:val="24"/>
        </w:rPr>
        <w:t>（</w:t>
      </w:r>
      <w:r>
        <w:rPr>
          <w:rFonts w:ascii="黑体" w:hAnsi="黑体" w:eastAsia="黑体"/>
          <w:sz w:val="24"/>
        </w:rPr>
        <w:t>202</w:t>
      </w:r>
      <w:r>
        <w:rPr>
          <w:rFonts w:hint="eastAsia" w:ascii="黑体" w:hAnsi="黑体" w:eastAsia="黑体"/>
          <w:sz w:val="24"/>
          <w:lang w:val="en-US" w:eastAsia="zh-CN"/>
        </w:rPr>
        <w:t>6</w:t>
      </w:r>
      <w:r>
        <w:rPr>
          <w:rFonts w:ascii="黑体" w:hAnsi="黑体" w:eastAsia="黑体"/>
          <w:sz w:val="24"/>
        </w:rPr>
        <w:t>0</w:t>
      </w:r>
      <w:r>
        <w:rPr>
          <w:rFonts w:hint="eastAsia" w:ascii="黑体" w:hAnsi="黑体" w:eastAsia="黑体"/>
          <w:sz w:val="24"/>
          <w:lang w:val="en-US" w:eastAsia="zh-CN"/>
        </w:rPr>
        <w:t>2</w:t>
      </w:r>
      <w:r>
        <w:rPr>
          <w:rFonts w:hint="eastAsia" w:ascii="黑体" w:hAnsi="黑体" w:eastAsia="黑体"/>
          <w:sz w:val="24"/>
        </w:rPr>
        <w:t>版</w:t>
      </w:r>
      <w:r>
        <w:rPr>
          <w:rFonts w:ascii="黑体" w:hAnsi="黑体" w:eastAsia="黑体"/>
          <w:sz w:val="24"/>
        </w:rPr>
        <w:t>/</w:t>
      </w:r>
      <w:r>
        <w:rPr>
          <w:rFonts w:hint="eastAsia" w:ascii="黑体" w:hAnsi="黑体" w:eastAsia="黑体"/>
          <w:sz w:val="24"/>
        </w:rPr>
        <w:t>适用于最短持有期开放式</w:t>
      </w:r>
      <w:r>
        <w:rPr>
          <w:rFonts w:ascii="黑体" w:hAnsi="黑体" w:eastAsia="黑体"/>
          <w:sz w:val="24"/>
        </w:rPr>
        <w:t>净值型理财</w:t>
      </w:r>
      <w:r>
        <w:rPr>
          <w:rFonts w:hint="eastAsia" w:ascii="黑体" w:hAnsi="黑体" w:eastAsia="黑体"/>
          <w:sz w:val="24"/>
        </w:rPr>
        <w:t>产品）</w:t>
      </w:r>
    </w:p>
    <w:p w14:paraId="29D38882">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一、重要说明</w:t>
      </w:r>
    </w:p>
    <w:p w14:paraId="3328A8C3">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1</w:t>
      </w:r>
      <w:r>
        <w:rPr>
          <w:rFonts w:hint="eastAsia" w:ascii="黑体" w:hAnsi="黑体" w:eastAsia="黑体" w:cs="黑体"/>
          <w:kern w:val="0"/>
          <w:szCs w:val="21"/>
        </w:rPr>
        <w:t>、《宁银理财晶耀固定收益类日开理财6号（最短持有180天）</w:t>
      </w:r>
      <w:r>
        <w:rPr>
          <w:rFonts w:ascii="黑体" w:hAnsi="黑体" w:eastAsia="黑体" w:cs="黑体"/>
          <w:kern w:val="0"/>
          <w:szCs w:val="21"/>
        </w:rPr>
        <w:t>产品说明书</w:t>
      </w:r>
      <w:r>
        <w:rPr>
          <w:rFonts w:hint="eastAsia" w:ascii="黑体" w:hAnsi="黑体" w:eastAsia="黑体" w:cs="黑体"/>
          <w:kern w:val="0"/>
          <w:szCs w:val="21"/>
        </w:rPr>
        <w:t>》（下称</w:t>
      </w:r>
      <w:r>
        <w:rPr>
          <w:rFonts w:ascii="黑体" w:hAnsi="黑体" w:eastAsia="黑体" w:cs="黑体"/>
          <w:kern w:val="0"/>
          <w:szCs w:val="21"/>
        </w:rPr>
        <w:t>“</w:t>
      </w:r>
      <w:r>
        <w:rPr>
          <w:rFonts w:hint="eastAsia" w:ascii="黑体" w:hAnsi="黑体" w:eastAsia="黑体" w:cs="黑体"/>
          <w:kern w:val="0"/>
          <w:szCs w:val="21"/>
        </w:rPr>
        <w:t>本</w:t>
      </w:r>
      <w:r>
        <w:rPr>
          <w:rFonts w:ascii="黑体" w:hAnsi="黑体" w:eastAsia="黑体" w:cs="黑体"/>
          <w:kern w:val="0"/>
          <w:szCs w:val="21"/>
        </w:rPr>
        <w:t>说明</w:t>
      </w:r>
      <w:r>
        <w:rPr>
          <w:rFonts w:hint="eastAsia" w:ascii="黑体" w:hAnsi="黑体" w:eastAsia="黑体" w:cs="黑体"/>
          <w:kern w:val="0"/>
          <w:szCs w:val="21"/>
        </w:rPr>
        <w:t>书</w:t>
      </w:r>
      <w:r>
        <w:rPr>
          <w:rFonts w:ascii="黑体" w:hAnsi="黑体" w:eastAsia="黑体" w:cs="黑体"/>
          <w:kern w:val="0"/>
          <w:szCs w:val="21"/>
        </w:rPr>
        <w:t>”</w:t>
      </w:r>
      <w:r>
        <w:rPr>
          <w:rFonts w:hint="eastAsia" w:ascii="黑体" w:hAnsi="黑体" w:eastAsia="黑体" w:cs="黑体"/>
          <w:kern w:val="0"/>
          <w:szCs w:val="21"/>
        </w:rPr>
        <w:t>或《理财产品说明书》）与本理财产品的《风险揭示书》、《销售（代理销售）协议书》（通过代理销售机构销售的，文件具体名称以代理销售机构为准，下同）、《投资协议书》、《投资者权益须知》等理财产品销售文件共同构成一份完整且不可分割的、关于甲方所投资乙方理财产品的全部协议。若本说明书与上述</w:t>
      </w:r>
      <w:r>
        <w:rPr>
          <w:rFonts w:ascii="黑体" w:hAnsi="黑体" w:eastAsia="黑体" w:cs="黑体"/>
          <w:kern w:val="0"/>
          <w:szCs w:val="21"/>
        </w:rPr>
        <w:t>其他文本</w:t>
      </w:r>
      <w:r>
        <w:rPr>
          <w:rFonts w:hint="eastAsia" w:ascii="黑体" w:hAnsi="黑体" w:eastAsia="黑体" w:cs="黑体"/>
          <w:kern w:val="0"/>
          <w:szCs w:val="21"/>
        </w:rPr>
        <w:t>有不一致之处，以本说明书为准。</w:t>
      </w:r>
    </w:p>
    <w:p w14:paraId="39DF09E5">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2、</w:t>
      </w:r>
      <w:r>
        <w:rPr>
          <w:rFonts w:hint="eastAsia" w:ascii="黑体" w:hAnsi="黑体" w:eastAsia="黑体" w:cs="黑体"/>
          <w:kern w:val="0"/>
          <w:szCs w:val="21"/>
        </w:rPr>
        <w:t>宁银理财</w:t>
      </w:r>
      <w:r>
        <w:rPr>
          <w:rFonts w:ascii="黑体" w:hAnsi="黑体" w:eastAsia="黑体" w:cs="黑体"/>
          <w:kern w:val="0"/>
          <w:szCs w:val="21"/>
        </w:rPr>
        <w:t>有限责任</w:t>
      </w:r>
      <w:r>
        <w:rPr>
          <w:rFonts w:hint="eastAsia" w:ascii="黑体" w:hAnsi="黑体" w:eastAsia="黑体" w:cs="黑体"/>
          <w:kern w:val="0"/>
          <w:szCs w:val="21"/>
        </w:rPr>
        <w:t>公司（下称“产品</w:t>
      </w:r>
      <w:r>
        <w:rPr>
          <w:rFonts w:ascii="黑体" w:hAnsi="黑体" w:eastAsia="黑体" w:cs="黑体"/>
          <w:kern w:val="0"/>
          <w:szCs w:val="21"/>
        </w:rPr>
        <w:t>管理人”</w:t>
      </w:r>
      <w:r>
        <w:rPr>
          <w:rFonts w:hint="eastAsia" w:ascii="黑体" w:hAnsi="黑体" w:eastAsia="黑体" w:cs="黑体"/>
          <w:kern w:val="0"/>
          <w:szCs w:val="21"/>
        </w:rPr>
        <w:t>）代理投资者进行理财资金的投资和管理，并严格遵照本说明书所载的内容进行操作。</w:t>
      </w:r>
    </w:p>
    <w:p w14:paraId="3C8B73DA">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3、</w:t>
      </w:r>
      <w:r>
        <w:rPr>
          <w:rFonts w:hint="eastAsia" w:ascii="黑体" w:hAnsi="黑体" w:eastAsia="黑体" w:cs="黑体"/>
          <w:kern w:val="0"/>
          <w:szCs w:val="21"/>
        </w:rPr>
        <w:t>产品</w:t>
      </w:r>
      <w:r>
        <w:rPr>
          <w:rFonts w:ascii="黑体" w:hAnsi="黑体" w:eastAsia="黑体" w:cs="黑体"/>
          <w:kern w:val="0"/>
          <w:szCs w:val="21"/>
        </w:rPr>
        <w:t>管理人</w:t>
      </w:r>
      <w:r>
        <w:rPr>
          <w:rFonts w:hint="eastAsia" w:ascii="黑体" w:hAnsi="黑体" w:eastAsia="黑体" w:cs="黑体"/>
          <w:kern w:val="0"/>
          <w:szCs w:val="21"/>
        </w:rPr>
        <w:t>对本说明书具有解释权。</w:t>
      </w:r>
    </w:p>
    <w:p w14:paraId="195C1337">
      <w:pPr>
        <w:autoSpaceDE w:val="0"/>
        <w:autoSpaceDN w:val="0"/>
        <w:adjustRightInd w:val="0"/>
        <w:ind w:firstLine="422" w:firstLineChars="200"/>
        <w:jc w:val="left"/>
        <w:rPr>
          <w:rFonts w:ascii="黑体" w:hAnsi="黑体" w:eastAsia="黑体" w:cs="黑体"/>
          <w:b/>
          <w:kern w:val="0"/>
          <w:szCs w:val="21"/>
        </w:rPr>
      </w:pPr>
      <w:r>
        <w:rPr>
          <w:rFonts w:ascii="黑体" w:hAnsi="黑体" w:eastAsia="黑体" w:cs="黑体"/>
          <w:b/>
          <w:kern w:val="0"/>
          <w:szCs w:val="21"/>
        </w:rPr>
        <w:t>4、理财产品过往业绩不代表其未来表现，不等于理财产品实际收益，投资须谨慎。</w:t>
      </w:r>
    </w:p>
    <w:p w14:paraId="1C3104FB">
      <w:pPr>
        <w:autoSpaceDE w:val="0"/>
        <w:autoSpaceDN w:val="0"/>
        <w:adjustRightInd w:val="0"/>
        <w:ind w:firstLine="447" w:firstLineChars="213"/>
        <w:jc w:val="left"/>
        <w:rPr>
          <w:rFonts w:ascii="黑体" w:hAnsi="黑体" w:eastAsia="黑体" w:cs="黑体"/>
          <w:kern w:val="0"/>
          <w:szCs w:val="21"/>
        </w:rPr>
      </w:pPr>
    </w:p>
    <w:p w14:paraId="4CE84DFB">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二</w:t>
      </w:r>
      <w:r>
        <w:rPr>
          <w:rFonts w:ascii="黑体" w:hAnsi="黑体" w:eastAsia="黑体" w:cs="黑体"/>
          <w:b/>
          <w:kern w:val="0"/>
          <w:szCs w:val="21"/>
        </w:rPr>
        <w:t>、</w:t>
      </w:r>
      <w:r>
        <w:rPr>
          <w:rFonts w:hint="eastAsia" w:ascii="黑体" w:hAnsi="黑体" w:eastAsia="黑体" w:cs="黑体"/>
          <w:b/>
          <w:kern w:val="0"/>
          <w:szCs w:val="21"/>
        </w:rPr>
        <w:t>产品要素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14:paraId="3F48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7048395">
            <w:pPr>
              <w:autoSpaceDE w:val="0"/>
              <w:autoSpaceDN w:val="0"/>
              <w:adjustRightInd w:val="0"/>
              <w:jc w:val="left"/>
              <w:rPr>
                <w:rFonts w:ascii="黑体" w:hAnsi="黑体" w:eastAsia="黑体" w:cs="黑体"/>
                <w:kern w:val="0"/>
                <w:szCs w:val="21"/>
              </w:rPr>
            </w:pPr>
            <w:r>
              <w:rPr>
                <w:rFonts w:hint="eastAsia" w:ascii="黑体" w:hAnsi="黑体" w:eastAsia="黑体" w:cs="黑体"/>
                <w:kern w:val="0"/>
                <w:szCs w:val="21"/>
              </w:rPr>
              <w:t>产品代码</w:t>
            </w:r>
          </w:p>
        </w:tc>
        <w:tc>
          <w:tcPr>
            <w:tcW w:w="6458" w:type="dxa"/>
          </w:tcPr>
          <w:p w14:paraId="5338A619">
            <w:pPr>
              <w:autoSpaceDE w:val="0"/>
              <w:autoSpaceDN w:val="0"/>
              <w:adjustRightInd w:val="0"/>
              <w:jc w:val="left"/>
              <w:rPr>
                <w:rFonts w:ascii="黑体" w:hAnsi="黑体" w:eastAsia="黑体" w:cs="黑体"/>
                <w:kern w:val="0"/>
                <w:szCs w:val="21"/>
              </w:rPr>
            </w:pPr>
            <w:r>
              <w:rPr>
                <w:rFonts w:ascii="黑体" w:hAnsi="黑体" w:eastAsia="黑体" w:cs="黑体"/>
                <w:kern w:val="0"/>
                <w:szCs w:val="21"/>
              </w:rPr>
              <w:t>ZJN256000</w:t>
            </w:r>
            <w:r>
              <w:rPr>
                <w:rFonts w:hint="eastAsia" w:ascii="黑体" w:hAnsi="黑体" w:eastAsia="黑体" w:cs="黑体"/>
                <w:kern w:val="0"/>
                <w:szCs w:val="21"/>
              </w:rPr>
              <w:t>6</w:t>
            </w:r>
          </w:p>
        </w:tc>
      </w:tr>
      <w:tr w14:paraId="1912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6A87E0A3">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全国</w:t>
            </w:r>
            <w:r>
              <w:rPr>
                <w:rFonts w:ascii="黑体" w:hAnsi="黑体" w:eastAsia="黑体" w:cs="黑体"/>
                <w:kern w:val="0"/>
                <w:szCs w:val="21"/>
              </w:rPr>
              <w:t>银行业</w:t>
            </w:r>
            <w:r>
              <w:rPr>
                <w:rFonts w:hint="eastAsia" w:ascii="黑体" w:hAnsi="黑体" w:eastAsia="黑体" w:cs="黑体"/>
                <w:kern w:val="0"/>
                <w:szCs w:val="21"/>
              </w:rPr>
              <w:t>信息</w:t>
            </w:r>
            <w:r>
              <w:rPr>
                <w:rFonts w:ascii="黑体" w:hAnsi="黑体" w:eastAsia="黑体" w:cs="黑体"/>
                <w:kern w:val="0"/>
                <w:szCs w:val="21"/>
              </w:rPr>
              <w:t>登记系统编码</w:t>
            </w:r>
          </w:p>
        </w:tc>
        <w:tc>
          <w:tcPr>
            <w:tcW w:w="6458" w:type="dxa"/>
          </w:tcPr>
          <w:p w14:paraId="66D15253">
            <w:pPr>
              <w:autoSpaceDE w:val="0"/>
              <w:autoSpaceDN w:val="0"/>
              <w:adjustRightInd w:val="0"/>
              <w:jc w:val="left"/>
              <w:rPr>
                <w:rFonts w:ascii="Arial" w:hAnsi="Arial" w:cs="Arial"/>
                <w:sz w:val="20"/>
                <w:szCs w:val="20"/>
              </w:rPr>
            </w:pPr>
            <w:r>
              <w:rPr>
                <w:rFonts w:ascii="Arial" w:hAnsi="Arial" w:cs="Arial"/>
                <w:sz w:val="20"/>
                <w:szCs w:val="20"/>
              </w:rPr>
              <w:t>Z700212</w:t>
            </w:r>
            <w:r>
              <w:rPr>
                <w:rFonts w:hint="eastAsia" w:ascii="Arial" w:hAnsi="Arial" w:cs="Arial"/>
                <w:sz w:val="20"/>
                <w:szCs w:val="20"/>
              </w:rPr>
              <w:t>6</w:t>
            </w:r>
            <w:r>
              <w:rPr>
                <w:rFonts w:ascii="Arial" w:hAnsi="Arial" w:cs="Arial"/>
                <w:sz w:val="20"/>
                <w:szCs w:val="20"/>
              </w:rPr>
              <w:t>000</w:t>
            </w:r>
            <w:r>
              <w:rPr>
                <w:rFonts w:hint="eastAsia" w:ascii="Arial" w:hAnsi="Arial" w:cs="Arial"/>
                <w:sz w:val="20"/>
                <w:szCs w:val="20"/>
              </w:rPr>
              <w:t>061</w:t>
            </w:r>
          </w:p>
          <w:p w14:paraId="79C1C0E7">
            <w:pPr>
              <w:autoSpaceDE w:val="0"/>
              <w:autoSpaceDN w:val="0"/>
              <w:adjustRightInd w:val="0"/>
              <w:jc w:val="left"/>
              <w:rPr>
                <w:rFonts w:ascii="黑体" w:hAnsi="黑体" w:eastAsia="黑体" w:cs="黑体"/>
                <w:kern w:val="0"/>
                <w:szCs w:val="21"/>
              </w:rPr>
            </w:pPr>
            <w:r>
              <w:rPr>
                <w:rFonts w:hint="eastAsia" w:ascii="黑体" w:hAnsi="黑体" w:eastAsia="黑体" w:cs="黑体"/>
                <w:kern w:val="0"/>
                <w:szCs w:val="21"/>
              </w:rPr>
              <w:t>凭此编码可在“中国理财网（</w:t>
            </w:r>
            <w:r>
              <w:rPr>
                <w:rFonts w:ascii="黑体" w:hAnsi="黑体" w:eastAsia="黑体" w:cs="黑体"/>
                <w:kern w:val="0"/>
                <w:szCs w:val="21"/>
              </w:rPr>
              <w:t>www.chinawealth.com.cn）”上查询</w:t>
            </w:r>
            <w:r>
              <w:rPr>
                <w:rFonts w:hint="eastAsia" w:ascii="黑体" w:hAnsi="黑体" w:eastAsia="黑体" w:cs="黑体"/>
                <w:kern w:val="0"/>
                <w:szCs w:val="21"/>
              </w:rPr>
              <w:t>本产品信息</w:t>
            </w:r>
          </w:p>
        </w:tc>
      </w:tr>
      <w:tr w14:paraId="076C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6D8CC138">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产品</w:t>
            </w:r>
            <w:r>
              <w:rPr>
                <w:rFonts w:ascii="黑体" w:hAnsi="黑体" w:eastAsia="黑体" w:cs="黑体"/>
                <w:kern w:val="0"/>
                <w:szCs w:val="21"/>
              </w:rPr>
              <w:t>名称</w:t>
            </w:r>
          </w:p>
        </w:tc>
        <w:tc>
          <w:tcPr>
            <w:tcW w:w="6458" w:type="dxa"/>
          </w:tcPr>
          <w:p w14:paraId="4BDD64B3">
            <w:pPr>
              <w:autoSpaceDE w:val="0"/>
              <w:autoSpaceDN w:val="0"/>
              <w:adjustRightInd w:val="0"/>
              <w:jc w:val="left"/>
              <w:rPr>
                <w:rFonts w:ascii="黑体" w:hAnsi="黑体" w:eastAsia="黑体" w:cs="黑体"/>
                <w:kern w:val="0"/>
                <w:szCs w:val="21"/>
              </w:rPr>
            </w:pPr>
            <w:r>
              <w:rPr>
                <w:rFonts w:hint="eastAsia" w:ascii="黑体" w:hAnsi="黑体" w:eastAsia="黑体" w:cs="黑体"/>
                <w:kern w:val="0"/>
                <w:szCs w:val="21"/>
              </w:rPr>
              <w:t>宁银理财晶耀固定收益类日开理财6号（最短持有180天）</w:t>
            </w:r>
          </w:p>
        </w:tc>
      </w:tr>
      <w:tr w14:paraId="557F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7AF81FA1">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产品</w:t>
            </w:r>
            <w:r>
              <w:rPr>
                <w:rFonts w:ascii="黑体" w:hAnsi="黑体" w:eastAsia="黑体" w:cs="黑体"/>
                <w:kern w:val="0"/>
                <w:szCs w:val="21"/>
              </w:rPr>
              <w:t>类型</w:t>
            </w:r>
          </w:p>
        </w:tc>
        <w:tc>
          <w:tcPr>
            <w:tcW w:w="6458" w:type="dxa"/>
          </w:tcPr>
          <w:p w14:paraId="1BE2590E">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固定收益类、非保本浮动收益型</w:t>
            </w:r>
          </w:p>
        </w:tc>
      </w:tr>
      <w:tr w14:paraId="36F8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0931A33F">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募集</w:t>
            </w:r>
            <w:r>
              <w:rPr>
                <w:rFonts w:ascii="黑体" w:hAnsi="黑体" w:eastAsia="黑体" w:cs="黑体"/>
                <w:kern w:val="0"/>
                <w:szCs w:val="21"/>
              </w:rPr>
              <w:t>方式</w:t>
            </w:r>
          </w:p>
        </w:tc>
        <w:tc>
          <w:tcPr>
            <w:tcW w:w="6458" w:type="dxa"/>
          </w:tcPr>
          <w:p w14:paraId="50506328">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公募</w:t>
            </w:r>
          </w:p>
        </w:tc>
      </w:tr>
      <w:tr w14:paraId="5A9A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005DF687">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产品</w:t>
            </w:r>
            <w:r>
              <w:rPr>
                <w:rFonts w:ascii="黑体" w:hAnsi="黑体" w:eastAsia="黑体" w:cs="黑体"/>
                <w:kern w:val="0"/>
                <w:szCs w:val="21"/>
              </w:rPr>
              <w:t>评级</w:t>
            </w:r>
          </w:p>
        </w:tc>
        <w:tc>
          <w:tcPr>
            <w:tcW w:w="6458" w:type="dxa"/>
          </w:tcPr>
          <w:p w14:paraId="630B28A6">
            <w:pPr>
              <w:autoSpaceDE w:val="0"/>
              <w:autoSpaceDN w:val="0"/>
              <w:adjustRightInd w:val="0"/>
              <w:jc w:val="left"/>
              <w:rPr>
                <w:rFonts w:ascii="黑体" w:hAnsi="黑体" w:eastAsia="黑体" w:cs="黑体"/>
                <w:b/>
                <w:kern w:val="0"/>
                <w:szCs w:val="21"/>
              </w:rPr>
            </w:pPr>
            <w:r>
              <w:rPr>
                <w:rFonts w:ascii="黑体" w:hAnsi="黑体" w:eastAsia="黑体" w:cs="黑体"/>
                <w:b/>
                <w:kern w:val="0"/>
                <w:szCs w:val="21"/>
              </w:rPr>
              <w:t>PR2</w:t>
            </w:r>
          </w:p>
          <w:p w14:paraId="4CC20635">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在产品存续期间，当市场环境等因素发生变化时，产品管理人可能对产品风险评级进行调整，具体以届时信息披露公告为准。</w:t>
            </w:r>
          </w:p>
          <w:p w14:paraId="0A28CF01">
            <w:pPr>
              <w:autoSpaceDE w:val="0"/>
              <w:autoSpaceDN w:val="0"/>
              <w:adjustRightInd w:val="0"/>
              <w:jc w:val="left"/>
              <w:rPr>
                <w:rFonts w:ascii="黑体" w:hAnsi="黑体" w:eastAsia="黑体" w:cs="黑体"/>
                <w:kern w:val="0"/>
                <w:szCs w:val="21"/>
              </w:rPr>
            </w:pPr>
            <w:r>
              <w:rPr>
                <w:rFonts w:hint="eastAsia" w:ascii="黑体" w:hAnsi="黑体" w:eastAsia="黑体" w:cs="黑体"/>
                <w:kern w:val="0"/>
                <w:szCs w:val="21"/>
              </w:rPr>
              <w:t>本评级</w:t>
            </w:r>
            <w:r>
              <w:rPr>
                <w:rFonts w:ascii="黑体" w:hAnsi="黑体" w:eastAsia="黑体" w:cs="黑体"/>
                <w:kern w:val="0"/>
                <w:szCs w:val="21"/>
              </w:rPr>
              <w:t>为</w:t>
            </w:r>
            <w:r>
              <w:rPr>
                <w:rFonts w:hint="eastAsia" w:ascii="黑体" w:hAnsi="黑体" w:eastAsia="黑体" w:cs="黑体"/>
                <w:kern w:val="0"/>
                <w:szCs w:val="21"/>
              </w:rPr>
              <w:t>产品</w:t>
            </w:r>
            <w:r>
              <w:rPr>
                <w:rFonts w:ascii="黑体" w:hAnsi="黑体" w:eastAsia="黑体" w:cs="黑体"/>
                <w:kern w:val="0"/>
                <w:szCs w:val="21"/>
              </w:rPr>
              <w:t>管理人内部评级，仅供参考</w:t>
            </w:r>
            <w:r>
              <w:rPr>
                <w:rFonts w:hint="eastAsia" w:ascii="黑体" w:hAnsi="黑体" w:eastAsia="黑体" w:cs="黑体"/>
                <w:kern w:val="0"/>
                <w:szCs w:val="21"/>
              </w:rPr>
              <w:t>。该产品通过代理销售机构渠道销售的，理财产品评级应当以代理销售机构最终披露的评级结果为准。</w:t>
            </w:r>
          </w:p>
        </w:tc>
      </w:tr>
      <w:tr w14:paraId="22F9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63CE7B8F">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目标</w:t>
            </w:r>
            <w:r>
              <w:rPr>
                <w:rFonts w:ascii="黑体" w:hAnsi="黑体" w:eastAsia="黑体" w:cs="黑体"/>
                <w:kern w:val="0"/>
                <w:szCs w:val="21"/>
              </w:rPr>
              <w:t>投资者</w:t>
            </w:r>
          </w:p>
        </w:tc>
        <w:tc>
          <w:tcPr>
            <w:tcW w:w="6458" w:type="dxa"/>
          </w:tcPr>
          <w:p w14:paraId="0518640B">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风险评级为稳健型、平衡型、成长型、进取型的投资者</w:t>
            </w:r>
          </w:p>
          <w:p w14:paraId="54AB17B9">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其中，</w:t>
            </w:r>
            <w:bookmarkStart w:id="0" w:name="OLE_LINK1"/>
            <w:r>
              <w:rPr>
                <w:rFonts w:ascii="黑体" w:hAnsi="黑体" w:eastAsia="黑体" w:cs="黑体"/>
                <w:b/>
                <w:bCs/>
                <w:kern w:val="0"/>
                <w:szCs w:val="21"/>
              </w:rPr>
              <w:t>A份额（销售代码：ZJN256000</w:t>
            </w:r>
            <w:r>
              <w:rPr>
                <w:rFonts w:hint="eastAsia" w:ascii="黑体" w:hAnsi="黑体" w:eastAsia="黑体" w:cs="黑体"/>
                <w:b/>
                <w:bCs/>
                <w:kern w:val="0"/>
                <w:szCs w:val="21"/>
              </w:rPr>
              <w:t>6</w:t>
            </w:r>
            <w:r>
              <w:rPr>
                <w:rFonts w:ascii="黑体" w:hAnsi="黑体" w:eastAsia="黑体" w:cs="黑体"/>
                <w:b/>
                <w:bCs/>
                <w:kern w:val="0"/>
                <w:szCs w:val="21"/>
              </w:rPr>
              <w:t>A</w:t>
            </w:r>
            <w:r>
              <w:rPr>
                <w:rFonts w:hint="eastAsia" w:ascii="黑体" w:hAnsi="黑体" w:eastAsia="黑体" w:cs="黑体"/>
                <w:b/>
                <w:bCs/>
                <w:kern w:val="0"/>
                <w:szCs w:val="21"/>
              </w:rPr>
              <w:t>）面向</w:t>
            </w:r>
            <w:r>
              <w:rPr>
                <w:rFonts w:hint="eastAsia" w:ascii="黑体" w:hAnsi="黑体" w:eastAsia="黑体" w:cs="黑体"/>
                <w:b/>
                <w:bCs/>
                <w:kern w:val="0"/>
                <w:szCs w:val="21"/>
                <w:lang w:val="en-US" w:eastAsia="zh-CN"/>
              </w:rPr>
              <w:t>部分</w:t>
            </w:r>
            <w:r>
              <w:rPr>
                <w:rFonts w:hint="eastAsia" w:ascii="黑体" w:hAnsi="黑体" w:eastAsia="黑体" w:cs="黑体"/>
                <w:b/>
                <w:bCs/>
                <w:kern w:val="0"/>
                <w:szCs w:val="21"/>
              </w:rPr>
              <w:t>网商银行渠道客户、宁银理财直销渠道特邀客户；</w:t>
            </w:r>
            <w:r>
              <w:rPr>
                <w:rFonts w:ascii="黑体" w:hAnsi="黑体" w:eastAsia="黑体" w:cs="黑体"/>
                <w:b/>
                <w:bCs/>
                <w:kern w:val="0"/>
                <w:szCs w:val="21"/>
              </w:rPr>
              <w:t>B份额（销售代码：ZJN256000</w:t>
            </w:r>
            <w:r>
              <w:rPr>
                <w:rFonts w:hint="eastAsia" w:ascii="黑体" w:hAnsi="黑体" w:eastAsia="黑体" w:cs="黑体"/>
                <w:b/>
                <w:bCs/>
                <w:kern w:val="0"/>
                <w:szCs w:val="21"/>
              </w:rPr>
              <w:t>6</w:t>
            </w:r>
            <w:r>
              <w:rPr>
                <w:rFonts w:ascii="黑体" w:hAnsi="黑体" w:eastAsia="黑体" w:cs="黑体"/>
                <w:b/>
                <w:bCs/>
                <w:kern w:val="0"/>
                <w:szCs w:val="21"/>
              </w:rPr>
              <w:t>B）</w:t>
            </w:r>
            <w:r>
              <w:rPr>
                <w:rFonts w:hint="eastAsia" w:ascii="黑体" w:hAnsi="黑体" w:eastAsia="黑体" w:cs="黑体"/>
                <w:b/>
                <w:bCs/>
                <w:kern w:val="0"/>
                <w:szCs w:val="21"/>
              </w:rPr>
              <w:t>面向宁波银行渠道客户、宁银理财渠道客户</w:t>
            </w:r>
            <w:bookmarkEnd w:id="0"/>
            <w:r>
              <w:rPr>
                <w:rFonts w:hint="eastAsia" w:ascii="黑体" w:hAnsi="黑体" w:eastAsia="黑体" w:cs="黑体"/>
                <w:b/>
                <w:bCs/>
                <w:kern w:val="0"/>
                <w:szCs w:val="21"/>
                <w:lang w:eastAsia="zh-CN"/>
              </w:rPr>
              <w:t>、</w:t>
            </w:r>
            <w:r>
              <w:rPr>
                <w:rFonts w:hint="eastAsia" w:ascii="黑体" w:hAnsi="黑体" w:eastAsia="黑体" w:cs="黑体"/>
                <w:b/>
                <w:bCs/>
                <w:kern w:val="0"/>
                <w:szCs w:val="21"/>
                <w:lang w:val="en-US" w:eastAsia="zh-CN"/>
              </w:rPr>
              <w:t>网商银行渠道客户</w:t>
            </w:r>
            <w:r>
              <w:rPr>
                <w:rFonts w:hint="eastAsia" w:ascii="黑体" w:hAnsi="黑体" w:eastAsia="黑体" w:cs="黑体"/>
                <w:b/>
                <w:bCs/>
                <w:kern w:val="0"/>
                <w:szCs w:val="21"/>
              </w:rPr>
              <w:t>；</w:t>
            </w:r>
            <w:r>
              <w:rPr>
                <w:rFonts w:hint="eastAsia" w:ascii="黑体" w:hAnsi="黑体" w:eastAsia="黑体" w:cs="黑体"/>
                <w:b/>
                <w:bCs/>
                <w:kern w:val="0"/>
                <w:szCs w:val="21"/>
                <w:lang w:val="en-US" w:eastAsia="zh-CN"/>
              </w:rPr>
              <w:t>C</w:t>
            </w:r>
            <w:r>
              <w:rPr>
                <w:rFonts w:ascii="黑体" w:hAnsi="黑体" w:eastAsia="黑体" w:cs="黑体"/>
                <w:b/>
                <w:bCs/>
                <w:kern w:val="0"/>
                <w:szCs w:val="21"/>
              </w:rPr>
              <w:t>份额（销售代码：ZJN256000</w:t>
            </w:r>
            <w:r>
              <w:rPr>
                <w:rFonts w:hint="eastAsia" w:ascii="黑体" w:hAnsi="黑体" w:eastAsia="黑体" w:cs="黑体"/>
                <w:b/>
                <w:bCs/>
                <w:kern w:val="0"/>
                <w:szCs w:val="21"/>
              </w:rPr>
              <w:t>6</w:t>
            </w:r>
            <w:r>
              <w:rPr>
                <w:rFonts w:hint="eastAsia" w:ascii="黑体" w:hAnsi="黑体" w:eastAsia="黑体" w:cs="黑体"/>
                <w:b/>
                <w:bCs/>
                <w:kern w:val="0"/>
                <w:szCs w:val="21"/>
                <w:lang w:val="en-US" w:eastAsia="zh-CN"/>
              </w:rPr>
              <w:t>C</w:t>
            </w:r>
            <w:r>
              <w:rPr>
                <w:rFonts w:ascii="黑体" w:hAnsi="黑体" w:eastAsia="黑体" w:cs="黑体"/>
                <w:b/>
                <w:bCs/>
                <w:kern w:val="0"/>
                <w:szCs w:val="21"/>
              </w:rPr>
              <w:t>）</w:t>
            </w:r>
            <w:r>
              <w:rPr>
                <w:rFonts w:hint="eastAsia" w:ascii="黑体" w:hAnsi="黑体" w:eastAsia="黑体" w:cs="黑体"/>
                <w:b/>
                <w:bCs/>
                <w:kern w:val="0"/>
                <w:szCs w:val="21"/>
              </w:rPr>
              <w:t>面向</w:t>
            </w:r>
            <w:r>
              <w:rPr>
                <w:rFonts w:hint="eastAsia" w:ascii="黑体" w:hAnsi="黑体" w:eastAsia="黑体" w:cs="黑体"/>
                <w:b/>
                <w:bCs/>
                <w:kern w:val="0"/>
                <w:szCs w:val="21"/>
                <w:lang w:val="en-US" w:eastAsia="zh-CN"/>
              </w:rPr>
              <w:t>宁银理财渠道客户、广东华兴银行渠道客户、广东南粤银行渠道客户、吉林银行渠道客户、哈尔滨银行渠道客户</w:t>
            </w:r>
            <w:r>
              <w:rPr>
                <w:rFonts w:hint="eastAsia" w:ascii="黑体" w:hAnsi="黑体" w:eastAsia="黑体" w:cs="黑体"/>
                <w:b/>
                <w:bCs/>
                <w:kern w:val="0"/>
                <w:szCs w:val="21"/>
              </w:rPr>
              <w:t>；</w:t>
            </w:r>
            <w:r>
              <w:rPr>
                <w:rFonts w:hint="eastAsia" w:ascii="黑体" w:hAnsi="黑体" w:eastAsia="黑体" w:cs="黑体"/>
                <w:b/>
                <w:bCs/>
                <w:kern w:val="0"/>
                <w:szCs w:val="21"/>
                <w:lang w:val="en-US" w:eastAsia="zh-CN"/>
              </w:rPr>
              <w:t>D</w:t>
            </w:r>
            <w:r>
              <w:rPr>
                <w:rFonts w:ascii="黑体" w:hAnsi="黑体" w:eastAsia="黑体" w:cs="黑体"/>
                <w:b/>
                <w:bCs/>
                <w:kern w:val="0"/>
                <w:szCs w:val="21"/>
              </w:rPr>
              <w:t>份额（销售代码：ZJN256000</w:t>
            </w:r>
            <w:r>
              <w:rPr>
                <w:rFonts w:hint="eastAsia" w:ascii="黑体" w:hAnsi="黑体" w:eastAsia="黑体" w:cs="黑体"/>
                <w:b/>
                <w:bCs/>
                <w:kern w:val="0"/>
                <w:szCs w:val="21"/>
              </w:rPr>
              <w:t>6</w:t>
            </w:r>
            <w:r>
              <w:rPr>
                <w:rFonts w:hint="eastAsia" w:ascii="黑体" w:hAnsi="黑体" w:eastAsia="黑体" w:cs="黑体"/>
                <w:b/>
                <w:bCs/>
                <w:kern w:val="0"/>
                <w:szCs w:val="21"/>
                <w:lang w:val="en-US" w:eastAsia="zh-CN"/>
              </w:rPr>
              <w:t>D</w:t>
            </w:r>
            <w:r>
              <w:rPr>
                <w:rFonts w:ascii="黑体" w:hAnsi="黑体" w:eastAsia="黑体" w:cs="黑体"/>
                <w:b/>
                <w:bCs/>
                <w:kern w:val="0"/>
                <w:szCs w:val="21"/>
              </w:rPr>
              <w:t>）</w:t>
            </w:r>
            <w:r>
              <w:rPr>
                <w:rFonts w:hint="eastAsia" w:ascii="黑体" w:hAnsi="黑体" w:eastAsia="黑体" w:cs="黑体"/>
                <w:b/>
                <w:bCs/>
                <w:kern w:val="0"/>
                <w:szCs w:val="21"/>
              </w:rPr>
              <w:t>面向</w:t>
            </w:r>
            <w:r>
              <w:rPr>
                <w:rFonts w:hint="eastAsia" w:ascii="黑体" w:hAnsi="黑体" w:eastAsia="黑体" w:cs="黑体"/>
                <w:b/>
                <w:bCs/>
                <w:kern w:val="0"/>
                <w:szCs w:val="21"/>
                <w:lang w:val="en-US" w:eastAsia="zh-CN"/>
              </w:rPr>
              <w:t>宁银理财渠道客户、广州农商银行渠道客户、广州银行渠道客户、四川天府银行渠道客户、中山农商银行渠道客户、青岛农商银行渠道客户、湖南银行渠道客户</w:t>
            </w:r>
            <w:r>
              <w:rPr>
                <w:rFonts w:hint="eastAsia" w:ascii="黑体" w:hAnsi="黑体" w:eastAsia="黑体" w:cs="黑体"/>
                <w:b/>
                <w:bCs/>
                <w:kern w:val="0"/>
                <w:szCs w:val="21"/>
              </w:rPr>
              <w:t>；</w:t>
            </w:r>
            <w:r>
              <w:rPr>
                <w:rFonts w:hint="eastAsia" w:ascii="黑体" w:hAnsi="黑体" w:eastAsia="黑体" w:cs="黑体"/>
                <w:b/>
                <w:bCs/>
                <w:kern w:val="0"/>
                <w:szCs w:val="21"/>
                <w:lang w:val="en-US" w:eastAsia="zh-CN"/>
              </w:rPr>
              <w:t>E</w:t>
            </w:r>
            <w:r>
              <w:rPr>
                <w:rFonts w:ascii="黑体" w:hAnsi="黑体" w:eastAsia="黑体" w:cs="黑体"/>
                <w:b/>
                <w:bCs/>
                <w:kern w:val="0"/>
                <w:szCs w:val="21"/>
              </w:rPr>
              <w:t>份额（销售代码：ZJN256000</w:t>
            </w:r>
            <w:r>
              <w:rPr>
                <w:rFonts w:hint="eastAsia" w:ascii="黑体" w:hAnsi="黑体" w:eastAsia="黑体" w:cs="黑体"/>
                <w:b/>
                <w:bCs/>
                <w:kern w:val="0"/>
                <w:szCs w:val="21"/>
              </w:rPr>
              <w:t>6</w:t>
            </w:r>
            <w:r>
              <w:rPr>
                <w:rFonts w:hint="eastAsia" w:ascii="黑体" w:hAnsi="黑体" w:eastAsia="黑体" w:cs="黑体"/>
                <w:b/>
                <w:bCs/>
                <w:kern w:val="0"/>
                <w:szCs w:val="21"/>
                <w:lang w:val="en-US" w:eastAsia="zh-CN"/>
              </w:rPr>
              <w:t>E</w:t>
            </w:r>
            <w:r>
              <w:rPr>
                <w:rFonts w:ascii="黑体" w:hAnsi="黑体" w:eastAsia="黑体" w:cs="黑体"/>
                <w:b/>
                <w:bCs/>
                <w:kern w:val="0"/>
                <w:szCs w:val="21"/>
              </w:rPr>
              <w:t>）</w:t>
            </w:r>
            <w:r>
              <w:rPr>
                <w:rFonts w:hint="eastAsia" w:ascii="黑体" w:hAnsi="黑体" w:eastAsia="黑体" w:cs="黑体"/>
                <w:b/>
                <w:bCs/>
                <w:kern w:val="0"/>
                <w:szCs w:val="21"/>
              </w:rPr>
              <w:t>面向</w:t>
            </w:r>
            <w:r>
              <w:rPr>
                <w:rFonts w:hint="eastAsia" w:ascii="黑体" w:hAnsi="黑体" w:eastAsia="黑体" w:cs="黑体"/>
                <w:b/>
                <w:bCs/>
                <w:kern w:val="0"/>
                <w:szCs w:val="21"/>
                <w:lang w:val="en-US" w:eastAsia="zh-CN"/>
              </w:rPr>
              <w:t>部分非</w:t>
            </w:r>
            <w:r>
              <w:rPr>
                <w:rFonts w:hint="eastAsia" w:ascii="黑体" w:hAnsi="黑体" w:eastAsia="黑体" w:cs="黑体"/>
                <w:b/>
                <w:bCs/>
                <w:kern w:val="0"/>
                <w:szCs w:val="21"/>
              </w:rPr>
              <w:t>宁波银行渠道客户；</w:t>
            </w:r>
            <w:r>
              <w:rPr>
                <w:rFonts w:hint="eastAsia" w:ascii="黑体" w:hAnsi="黑体" w:eastAsia="黑体" w:cs="黑体"/>
                <w:b/>
                <w:bCs/>
                <w:kern w:val="0"/>
                <w:szCs w:val="21"/>
                <w:lang w:val="en-US" w:eastAsia="zh-CN"/>
              </w:rPr>
              <w:t>F</w:t>
            </w:r>
            <w:r>
              <w:rPr>
                <w:rFonts w:ascii="黑体" w:hAnsi="黑体" w:eastAsia="黑体" w:cs="黑体"/>
                <w:b/>
                <w:bCs/>
                <w:kern w:val="0"/>
                <w:szCs w:val="21"/>
              </w:rPr>
              <w:t>份额（销售代码：ZJN256000</w:t>
            </w:r>
            <w:r>
              <w:rPr>
                <w:rFonts w:hint="eastAsia" w:ascii="黑体" w:hAnsi="黑体" w:eastAsia="黑体" w:cs="黑体"/>
                <w:b/>
                <w:bCs/>
                <w:kern w:val="0"/>
                <w:szCs w:val="21"/>
              </w:rPr>
              <w:t>6</w:t>
            </w:r>
            <w:r>
              <w:rPr>
                <w:rFonts w:hint="eastAsia" w:ascii="黑体" w:hAnsi="黑体" w:eastAsia="黑体" w:cs="黑体"/>
                <w:b/>
                <w:bCs/>
                <w:kern w:val="0"/>
                <w:szCs w:val="21"/>
                <w:lang w:val="en-US" w:eastAsia="zh-CN"/>
              </w:rPr>
              <w:t>F</w:t>
            </w:r>
            <w:r>
              <w:rPr>
                <w:rFonts w:ascii="黑体" w:hAnsi="黑体" w:eastAsia="黑体" w:cs="黑体"/>
                <w:b/>
                <w:bCs/>
                <w:kern w:val="0"/>
                <w:szCs w:val="21"/>
              </w:rPr>
              <w:t>）</w:t>
            </w:r>
            <w:r>
              <w:rPr>
                <w:rFonts w:hint="eastAsia" w:ascii="黑体" w:hAnsi="黑体" w:eastAsia="黑体" w:cs="黑体"/>
                <w:b/>
                <w:bCs/>
                <w:kern w:val="0"/>
                <w:szCs w:val="21"/>
              </w:rPr>
              <w:t>面向</w:t>
            </w:r>
            <w:r>
              <w:rPr>
                <w:rFonts w:hint="eastAsia" w:ascii="黑体" w:hAnsi="黑体" w:eastAsia="黑体" w:cs="黑体"/>
                <w:b/>
                <w:bCs/>
                <w:kern w:val="0"/>
                <w:szCs w:val="21"/>
                <w:lang w:val="en-US" w:eastAsia="zh-CN"/>
              </w:rPr>
              <w:t>部分非</w:t>
            </w:r>
            <w:r>
              <w:rPr>
                <w:rFonts w:hint="eastAsia" w:ascii="黑体" w:hAnsi="黑体" w:eastAsia="黑体" w:cs="黑体"/>
                <w:b/>
                <w:bCs/>
                <w:kern w:val="0"/>
                <w:szCs w:val="21"/>
              </w:rPr>
              <w:t>宁波银行渠道客户；</w:t>
            </w:r>
            <w:r>
              <w:rPr>
                <w:rFonts w:hint="eastAsia" w:ascii="黑体" w:hAnsi="黑体" w:eastAsia="黑体" w:cs="黑体"/>
                <w:b/>
                <w:bCs/>
                <w:kern w:val="0"/>
                <w:szCs w:val="21"/>
                <w:lang w:val="en-US" w:eastAsia="zh-CN"/>
              </w:rPr>
              <w:t>G</w:t>
            </w:r>
            <w:r>
              <w:rPr>
                <w:rFonts w:ascii="黑体" w:hAnsi="黑体" w:eastAsia="黑体" w:cs="黑体"/>
                <w:b/>
                <w:bCs/>
                <w:kern w:val="0"/>
                <w:szCs w:val="21"/>
              </w:rPr>
              <w:t>份额（销售代码：ZJN256000</w:t>
            </w:r>
            <w:r>
              <w:rPr>
                <w:rFonts w:hint="eastAsia" w:ascii="黑体" w:hAnsi="黑体" w:eastAsia="黑体" w:cs="黑体"/>
                <w:b/>
                <w:bCs/>
                <w:kern w:val="0"/>
                <w:szCs w:val="21"/>
              </w:rPr>
              <w:t>6</w:t>
            </w:r>
            <w:r>
              <w:rPr>
                <w:rFonts w:hint="eastAsia" w:ascii="黑体" w:hAnsi="黑体" w:eastAsia="黑体" w:cs="黑体"/>
                <w:b/>
                <w:bCs/>
                <w:kern w:val="0"/>
                <w:szCs w:val="21"/>
                <w:lang w:val="en-US" w:eastAsia="zh-CN"/>
              </w:rPr>
              <w:t>G</w:t>
            </w:r>
            <w:r>
              <w:rPr>
                <w:rFonts w:ascii="黑体" w:hAnsi="黑体" w:eastAsia="黑体" w:cs="黑体"/>
                <w:b/>
                <w:bCs/>
                <w:kern w:val="0"/>
                <w:szCs w:val="21"/>
              </w:rPr>
              <w:t>）</w:t>
            </w:r>
            <w:r>
              <w:rPr>
                <w:rFonts w:hint="eastAsia" w:ascii="黑体" w:hAnsi="黑体" w:eastAsia="黑体" w:cs="黑体"/>
                <w:b/>
                <w:bCs/>
                <w:kern w:val="0"/>
                <w:szCs w:val="21"/>
              </w:rPr>
              <w:t>面向</w:t>
            </w:r>
            <w:r>
              <w:rPr>
                <w:rFonts w:hint="eastAsia" w:ascii="黑体" w:hAnsi="黑体" w:eastAsia="黑体" w:cs="黑体"/>
                <w:b/>
                <w:bCs/>
                <w:kern w:val="0"/>
                <w:szCs w:val="21"/>
                <w:lang w:val="en-US" w:eastAsia="zh-CN"/>
              </w:rPr>
              <w:t>部分非</w:t>
            </w:r>
            <w:r>
              <w:rPr>
                <w:rFonts w:hint="eastAsia" w:ascii="黑体" w:hAnsi="黑体" w:eastAsia="黑体" w:cs="黑体"/>
                <w:b/>
                <w:bCs/>
                <w:kern w:val="0"/>
                <w:szCs w:val="21"/>
              </w:rPr>
              <w:t>宁波银行渠道客户；</w:t>
            </w:r>
            <w:r>
              <w:rPr>
                <w:rFonts w:hint="eastAsia" w:ascii="黑体" w:hAnsi="黑体" w:eastAsia="黑体" w:cs="黑体"/>
                <w:b/>
                <w:bCs/>
                <w:kern w:val="0"/>
                <w:szCs w:val="21"/>
                <w:lang w:val="en-US" w:eastAsia="zh-CN"/>
              </w:rPr>
              <w:t>P</w:t>
            </w:r>
            <w:r>
              <w:rPr>
                <w:rFonts w:ascii="黑体" w:hAnsi="黑体" w:eastAsia="黑体" w:cs="黑体"/>
                <w:b/>
                <w:bCs/>
                <w:kern w:val="0"/>
                <w:szCs w:val="21"/>
              </w:rPr>
              <w:t>份额（销售代码：ZJN256000</w:t>
            </w:r>
            <w:r>
              <w:rPr>
                <w:rFonts w:hint="eastAsia" w:ascii="黑体" w:hAnsi="黑体" w:eastAsia="黑体" w:cs="黑体"/>
                <w:b/>
                <w:bCs/>
                <w:kern w:val="0"/>
                <w:szCs w:val="21"/>
              </w:rPr>
              <w:t>6</w:t>
            </w:r>
            <w:r>
              <w:rPr>
                <w:rFonts w:hint="eastAsia" w:ascii="黑体" w:hAnsi="黑体" w:eastAsia="黑体" w:cs="黑体"/>
                <w:b/>
                <w:bCs/>
                <w:kern w:val="0"/>
                <w:szCs w:val="21"/>
                <w:lang w:val="en-US" w:eastAsia="zh-CN"/>
              </w:rPr>
              <w:t>P</w:t>
            </w:r>
            <w:r>
              <w:rPr>
                <w:rFonts w:ascii="黑体" w:hAnsi="黑体" w:eastAsia="黑体" w:cs="黑体"/>
                <w:b/>
                <w:bCs/>
                <w:kern w:val="0"/>
                <w:szCs w:val="21"/>
              </w:rPr>
              <w:t>）</w:t>
            </w:r>
            <w:r>
              <w:rPr>
                <w:rFonts w:hint="eastAsia" w:ascii="黑体" w:hAnsi="黑体" w:eastAsia="黑体" w:cs="黑体"/>
                <w:b/>
                <w:bCs/>
                <w:kern w:val="0"/>
                <w:szCs w:val="21"/>
              </w:rPr>
              <w:t>面向</w:t>
            </w:r>
            <w:r>
              <w:rPr>
                <w:rFonts w:hint="eastAsia" w:ascii="黑体" w:hAnsi="黑体" w:eastAsia="黑体" w:cs="黑体"/>
                <w:b/>
                <w:bCs/>
                <w:kern w:val="0"/>
                <w:szCs w:val="21"/>
                <w:lang w:val="en-US" w:eastAsia="zh-CN"/>
              </w:rPr>
              <w:t>部分非</w:t>
            </w:r>
            <w:r>
              <w:rPr>
                <w:rFonts w:hint="eastAsia" w:ascii="黑体" w:hAnsi="黑体" w:eastAsia="黑体" w:cs="黑体"/>
                <w:b/>
                <w:bCs/>
                <w:kern w:val="0"/>
                <w:szCs w:val="21"/>
              </w:rPr>
              <w:t>宁波银行渠道客户</w:t>
            </w:r>
            <w:r>
              <w:rPr>
                <w:rFonts w:hint="eastAsia" w:ascii="黑体" w:hAnsi="黑体" w:eastAsia="黑体" w:cs="黑体"/>
                <w:b/>
                <w:bCs/>
                <w:kern w:val="0"/>
                <w:szCs w:val="21"/>
                <w:lang w:val="en-US" w:eastAsia="zh-CN"/>
              </w:rPr>
              <w:t>;J</w:t>
            </w:r>
            <w:r>
              <w:rPr>
                <w:rFonts w:ascii="黑体" w:hAnsi="黑体" w:eastAsia="黑体" w:cs="黑体"/>
                <w:b/>
                <w:bCs/>
                <w:kern w:val="0"/>
                <w:szCs w:val="21"/>
              </w:rPr>
              <w:t>份额（销售代码：ZJN256000</w:t>
            </w:r>
            <w:r>
              <w:rPr>
                <w:rFonts w:hint="eastAsia" w:ascii="黑体" w:hAnsi="黑体" w:eastAsia="黑体" w:cs="黑体"/>
                <w:b/>
                <w:bCs/>
                <w:kern w:val="0"/>
                <w:szCs w:val="21"/>
              </w:rPr>
              <w:t>6</w:t>
            </w:r>
            <w:r>
              <w:rPr>
                <w:rFonts w:hint="eastAsia" w:ascii="黑体" w:hAnsi="黑体" w:eastAsia="黑体" w:cs="黑体"/>
                <w:b/>
                <w:bCs/>
                <w:kern w:val="0"/>
                <w:szCs w:val="21"/>
                <w:lang w:val="en-US" w:eastAsia="zh-CN"/>
              </w:rPr>
              <w:t>J</w:t>
            </w:r>
            <w:r>
              <w:rPr>
                <w:rFonts w:ascii="黑体" w:hAnsi="黑体" w:eastAsia="黑体" w:cs="黑体"/>
                <w:b/>
                <w:bCs/>
                <w:kern w:val="0"/>
                <w:szCs w:val="21"/>
              </w:rPr>
              <w:t>）</w:t>
            </w:r>
            <w:r>
              <w:rPr>
                <w:rFonts w:hint="eastAsia" w:ascii="黑体" w:hAnsi="黑体" w:eastAsia="黑体" w:cs="黑体"/>
                <w:b/>
                <w:bCs/>
                <w:kern w:val="0"/>
                <w:szCs w:val="21"/>
              </w:rPr>
              <w:t>面向</w:t>
            </w:r>
            <w:r>
              <w:rPr>
                <w:rFonts w:hint="eastAsia" w:ascii="黑体" w:hAnsi="黑体" w:eastAsia="黑体" w:cs="黑体"/>
                <w:b/>
                <w:bCs/>
                <w:kern w:val="0"/>
                <w:szCs w:val="21"/>
                <w:lang w:val="en-US" w:eastAsia="zh-CN"/>
              </w:rPr>
              <w:t>宁银理财渠道客户、广发银行渠道客户</w:t>
            </w:r>
            <w:r>
              <w:rPr>
                <w:rFonts w:hint="eastAsia" w:ascii="黑体" w:hAnsi="黑体" w:eastAsia="黑体" w:cs="黑体"/>
                <w:b/>
                <w:kern w:val="0"/>
                <w:szCs w:val="21"/>
              </w:rPr>
              <w:t>。</w:t>
            </w:r>
          </w:p>
          <w:p w14:paraId="03670A0D">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（具体以销售机构的规则为准）</w:t>
            </w:r>
          </w:p>
        </w:tc>
      </w:tr>
      <w:tr w14:paraId="2A67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4D45C160">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本金</w:t>
            </w:r>
            <w:r>
              <w:rPr>
                <w:rFonts w:ascii="黑体" w:hAnsi="黑体" w:eastAsia="黑体" w:cs="黑体"/>
                <w:kern w:val="0"/>
                <w:szCs w:val="21"/>
              </w:rPr>
              <w:t>及收益币种</w:t>
            </w:r>
          </w:p>
        </w:tc>
        <w:tc>
          <w:tcPr>
            <w:tcW w:w="6458" w:type="dxa"/>
          </w:tcPr>
          <w:p w14:paraId="081861A9">
            <w:pPr>
              <w:autoSpaceDE w:val="0"/>
              <w:autoSpaceDN w:val="0"/>
              <w:adjustRightInd w:val="0"/>
              <w:jc w:val="left"/>
              <w:rPr>
                <w:rFonts w:ascii="黑体" w:hAnsi="黑体" w:eastAsia="黑体" w:cs="黑体"/>
                <w:kern w:val="0"/>
                <w:szCs w:val="21"/>
              </w:rPr>
            </w:pPr>
            <w:r>
              <w:rPr>
                <w:rFonts w:hint="eastAsia" w:ascii="黑体" w:hAnsi="黑体" w:eastAsia="黑体" w:cs="黑体"/>
                <w:kern w:val="0"/>
                <w:szCs w:val="21"/>
              </w:rPr>
              <w:t>人民币</w:t>
            </w:r>
          </w:p>
        </w:tc>
      </w:tr>
      <w:tr w14:paraId="4F30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729EF3AD">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业绩</w:t>
            </w:r>
            <w:r>
              <w:rPr>
                <w:rFonts w:ascii="黑体" w:hAnsi="黑体" w:eastAsia="黑体" w:cs="黑体"/>
                <w:kern w:val="0"/>
                <w:szCs w:val="21"/>
              </w:rPr>
              <w:t>比较基准</w:t>
            </w:r>
          </w:p>
        </w:tc>
        <w:tc>
          <w:tcPr>
            <w:tcW w:w="6458" w:type="dxa"/>
          </w:tcPr>
          <w:p w14:paraId="3853E297">
            <w:pPr>
              <w:autoSpaceDE w:val="0"/>
              <w:autoSpaceDN w:val="0"/>
              <w:adjustRightInd w:val="0"/>
              <w:jc w:val="left"/>
              <w:rPr>
                <w:rFonts w:ascii="黑体" w:hAnsi="黑体" w:eastAsia="黑体" w:cs="黑体"/>
                <w:b/>
                <w:kern w:val="0"/>
                <w:szCs w:val="21"/>
              </w:rPr>
            </w:pPr>
            <w:r>
              <w:rPr>
                <w:rFonts w:ascii="黑体" w:hAnsi="黑体" w:eastAsia="黑体" w:cs="黑体"/>
                <w:b/>
                <w:kern w:val="0"/>
                <w:szCs w:val="21"/>
              </w:rPr>
              <w:t>A份额：</w:t>
            </w:r>
            <w:r>
              <w:rPr>
                <w:rFonts w:hint="eastAsia" w:ascii="黑体" w:hAnsi="黑体" w:eastAsia="黑体" w:cs="黑体"/>
                <w:b/>
                <w:kern w:val="0"/>
                <w:szCs w:val="21"/>
              </w:rPr>
              <w:t>70%*中债-新综合全价（1年以下）指数收益率（CBA00113.CS）+30%*中国人民银行一年期定期存款基准利率；</w:t>
            </w:r>
          </w:p>
          <w:p w14:paraId="57724950">
            <w:pPr>
              <w:autoSpaceDE w:val="0"/>
              <w:autoSpaceDN w:val="0"/>
              <w:adjustRightInd w:val="0"/>
              <w:jc w:val="left"/>
              <w:rPr>
                <w:rFonts w:hint="eastAsia" w:ascii="黑体" w:hAnsi="黑体" w:eastAsia="黑体" w:cs="黑体"/>
                <w:b/>
                <w:kern w:val="0"/>
                <w:szCs w:val="21"/>
              </w:rPr>
            </w:pPr>
            <w:r>
              <w:rPr>
                <w:rFonts w:ascii="黑体" w:hAnsi="黑体" w:eastAsia="黑体" w:cs="黑体"/>
                <w:b/>
                <w:kern w:val="0"/>
                <w:szCs w:val="21"/>
              </w:rPr>
              <w:t>B份额：</w:t>
            </w:r>
            <w:r>
              <w:rPr>
                <w:rFonts w:hint="eastAsia" w:ascii="黑体" w:hAnsi="黑体" w:eastAsia="黑体" w:cs="黑体"/>
                <w:b/>
                <w:kern w:val="0"/>
                <w:szCs w:val="21"/>
              </w:rPr>
              <w:t>70%*中债-新综合全价（1年以下）指数收益率（CBA00113.CS）+30%*中国人民银行一年期定期存款基准利率；</w:t>
            </w:r>
          </w:p>
          <w:p w14:paraId="44982DFA">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lang w:val="en-US" w:eastAsia="zh-CN"/>
              </w:rPr>
              <w:t>C</w:t>
            </w:r>
            <w:r>
              <w:rPr>
                <w:rFonts w:ascii="黑体" w:hAnsi="黑体" w:eastAsia="黑体" w:cs="黑体"/>
                <w:b/>
                <w:kern w:val="0"/>
                <w:szCs w:val="21"/>
              </w:rPr>
              <w:t>份额：</w:t>
            </w:r>
            <w:r>
              <w:rPr>
                <w:rFonts w:hint="eastAsia" w:ascii="黑体" w:hAnsi="黑体" w:eastAsia="黑体" w:cs="黑体"/>
                <w:b/>
                <w:kern w:val="0"/>
                <w:szCs w:val="21"/>
              </w:rPr>
              <w:t>70%*中债-新综合全价（1年以下）指数收益率（CBA00113.CS）+30%*中国人民银行一年期定期存款基准利率；</w:t>
            </w:r>
          </w:p>
          <w:p w14:paraId="6F3E8CAE">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lang w:val="en-US" w:eastAsia="zh-CN"/>
              </w:rPr>
              <w:t>D</w:t>
            </w:r>
            <w:r>
              <w:rPr>
                <w:rFonts w:ascii="黑体" w:hAnsi="黑体" w:eastAsia="黑体" w:cs="黑体"/>
                <w:b/>
                <w:kern w:val="0"/>
                <w:szCs w:val="21"/>
              </w:rPr>
              <w:t>份额：</w:t>
            </w:r>
            <w:r>
              <w:rPr>
                <w:rFonts w:hint="eastAsia" w:ascii="黑体" w:hAnsi="黑体" w:eastAsia="黑体" w:cs="黑体"/>
                <w:b/>
                <w:kern w:val="0"/>
                <w:szCs w:val="21"/>
              </w:rPr>
              <w:t>70%*中债-新综合全价（1年以下）指数收益率（CBA00113.CS）+30%*中国人民银行一年期定期存款基准利率；</w:t>
            </w:r>
          </w:p>
          <w:p w14:paraId="3DBBAB14">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lang w:val="en-US" w:eastAsia="zh-CN"/>
              </w:rPr>
              <w:t>E</w:t>
            </w:r>
            <w:r>
              <w:rPr>
                <w:rFonts w:ascii="黑体" w:hAnsi="黑体" w:eastAsia="黑体" w:cs="黑体"/>
                <w:b/>
                <w:kern w:val="0"/>
                <w:szCs w:val="21"/>
              </w:rPr>
              <w:t>份额：</w:t>
            </w:r>
            <w:r>
              <w:rPr>
                <w:rFonts w:hint="eastAsia" w:ascii="黑体" w:hAnsi="黑体" w:eastAsia="黑体" w:cs="黑体"/>
                <w:b/>
                <w:kern w:val="0"/>
                <w:szCs w:val="21"/>
              </w:rPr>
              <w:t>70%*中债-新综合全价（1年以下）指数收益率（CBA00113.CS）+30%*中国人民银行一年期定期存款基准利率；</w:t>
            </w:r>
          </w:p>
          <w:p w14:paraId="34D570D4">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lang w:val="en-US" w:eastAsia="zh-CN"/>
              </w:rPr>
              <w:t>F</w:t>
            </w:r>
            <w:r>
              <w:rPr>
                <w:rFonts w:ascii="黑体" w:hAnsi="黑体" w:eastAsia="黑体" w:cs="黑体"/>
                <w:b/>
                <w:kern w:val="0"/>
                <w:szCs w:val="21"/>
              </w:rPr>
              <w:t>份额：</w:t>
            </w:r>
            <w:r>
              <w:rPr>
                <w:rFonts w:hint="eastAsia" w:ascii="黑体" w:hAnsi="黑体" w:eastAsia="黑体" w:cs="黑体"/>
                <w:b/>
                <w:kern w:val="0"/>
                <w:szCs w:val="21"/>
              </w:rPr>
              <w:t>70%*中债-新综合全价（1年以下）指数收益率（CBA00113.CS）+30%*中国人民银行一年期定期存款基准利率；</w:t>
            </w:r>
          </w:p>
          <w:p w14:paraId="3FC8231E">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lang w:val="en-US" w:eastAsia="zh-CN"/>
              </w:rPr>
              <w:t>G</w:t>
            </w:r>
            <w:r>
              <w:rPr>
                <w:rFonts w:ascii="黑体" w:hAnsi="黑体" w:eastAsia="黑体" w:cs="黑体"/>
                <w:b/>
                <w:kern w:val="0"/>
                <w:szCs w:val="21"/>
              </w:rPr>
              <w:t>份额：</w:t>
            </w:r>
            <w:r>
              <w:rPr>
                <w:rFonts w:hint="eastAsia" w:ascii="黑体" w:hAnsi="黑体" w:eastAsia="黑体" w:cs="黑体"/>
                <w:b/>
                <w:kern w:val="0"/>
                <w:szCs w:val="21"/>
              </w:rPr>
              <w:t>70%*中债-新综合全价（1年以下）指数收益率（CBA00113.CS）+30%*中国人民银行一年期定期存款基准利率；</w:t>
            </w:r>
          </w:p>
          <w:p w14:paraId="5BF9F1CD">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lang w:val="en-US" w:eastAsia="zh-CN"/>
              </w:rPr>
              <w:t>P</w:t>
            </w:r>
            <w:r>
              <w:rPr>
                <w:rFonts w:ascii="黑体" w:hAnsi="黑体" w:eastAsia="黑体" w:cs="黑体"/>
                <w:b/>
                <w:kern w:val="0"/>
                <w:szCs w:val="21"/>
              </w:rPr>
              <w:t>份额：</w:t>
            </w:r>
            <w:r>
              <w:rPr>
                <w:rFonts w:hint="eastAsia" w:ascii="黑体" w:hAnsi="黑体" w:eastAsia="黑体" w:cs="黑体"/>
                <w:b/>
                <w:kern w:val="0"/>
                <w:szCs w:val="21"/>
              </w:rPr>
              <w:t>70%*中债-新综合全价（1年以下）指数收益率（CBA00113.CS）+30%*中国人民银行一年期定期存款基准利率；</w:t>
            </w:r>
          </w:p>
          <w:p w14:paraId="5EA94B8E">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lang w:val="en-US" w:eastAsia="zh-CN"/>
              </w:rPr>
              <w:t>J</w:t>
            </w:r>
            <w:r>
              <w:rPr>
                <w:rFonts w:ascii="黑体" w:hAnsi="黑体" w:eastAsia="黑体" w:cs="黑体"/>
                <w:b/>
                <w:kern w:val="0"/>
                <w:szCs w:val="21"/>
              </w:rPr>
              <w:t>份额：</w:t>
            </w:r>
            <w:r>
              <w:rPr>
                <w:rFonts w:hint="eastAsia" w:ascii="黑体" w:hAnsi="黑体" w:eastAsia="黑体" w:cs="黑体"/>
                <w:b/>
                <w:kern w:val="0"/>
                <w:szCs w:val="21"/>
              </w:rPr>
              <w:t>70%*中债-新综合全价（1年以下）指数收益率（CBA00113.CS）+30%*中国人民银行一年期定期存款基准利率；</w:t>
            </w:r>
          </w:p>
          <w:p w14:paraId="4F797987">
            <w:pPr>
              <w:autoSpaceDE w:val="0"/>
              <w:autoSpaceDN w:val="0"/>
              <w:adjustRightInd w:val="0"/>
              <w:jc w:val="left"/>
              <w:rPr>
                <w:rFonts w:hint="eastAsia" w:ascii="黑体" w:hAnsi="黑体" w:eastAsia="黑体" w:cs="黑体"/>
                <w:b/>
                <w:kern w:val="0"/>
                <w:szCs w:val="21"/>
              </w:rPr>
            </w:pPr>
          </w:p>
          <w:p w14:paraId="71733D95">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业绩比较基准不是预期收益率，不代表产品的未来表现和实际收益，不构成对产品本金的保证和收益的承诺，仅供投资者参考。</w:t>
            </w:r>
          </w:p>
          <w:p w14:paraId="6D0E607B">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业绩比较基准测算依据：本理财产品业绩比较基准由产品管理人依据理财产品的投资范围和投资策略，基于产品性质和过往经验，并综合考虑市场环境等因素测算得到的年化收益。本产品杠杆率不超过【</w:t>
            </w:r>
            <w:r>
              <w:rPr>
                <w:rFonts w:ascii="黑体" w:hAnsi="黑体" w:eastAsia="黑体" w:cs="黑体"/>
                <w:b/>
                <w:kern w:val="0"/>
                <w:szCs w:val="21"/>
              </w:rPr>
              <w:t>140%】，</w:t>
            </w:r>
            <w:r>
              <w:rPr>
                <w:rFonts w:hint="eastAsia" w:ascii="黑体" w:hAnsi="黑体" w:eastAsia="黑体" w:cs="黑体"/>
                <w:b/>
                <w:kern w:val="0"/>
                <w:szCs w:val="21"/>
              </w:rPr>
              <w:t>计划将</w:t>
            </w:r>
            <w:r>
              <w:rPr>
                <w:rFonts w:ascii="黑体" w:hAnsi="黑体" w:eastAsia="黑体" w:cs="黑体"/>
                <w:b/>
                <w:kern w:val="0"/>
                <w:szCs w:val="21"/>
              </w:rPr>
              <w:t>80%-100%的资金投资于固定收益类资产，0%-20%的资金投资于权益类资产，0%-20%的资金投资于商品及金融衍生品类资产</w:t>
            </w:r>
            <w:r>
              <w:rPr>
                <w:rFonts w:hint="eastAsia" w:ascii="黑体" w:hAnsi="黑体" w:eastAsia="黑体" w:cs="黑体"/>
                <w:b/>
                <w:kern w:val="0"/>
                <w:szCs w:val="21"/>
              </w:rPr>
              <w:t>（投资范围详见“三、产品投资管理”部分），参照市场利率水平和投资资产的市场表现，扣除各项费用，经综合测算后设定本产品的业绩比较基准。</w:t>
            </w:r>
          </w:p>
          <w:p w14:paraId="5B98497D">
            <w:pPr>
              <w:autoSpaceDE w:val="0"/>
              <w:autoSpaceDN w:val="0"/>
              <w:adjustRightInd w:val="0"/>
              <w:jc w:val="left"/>
              <w:rPr>
                <w:rFonts w:ascii="黑体" w:hAnsi="黑体" w:eastAsia="黑体" w:cs="黑体"/>
                <w:b/>
                <w:kern w:val="0"/>
                <w:szCs w:val="21"/>
              </w:rPr>
            </w:pPr>
          </w:p>
          <w:p w14:paraId="7C483585">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本产品将采取灵活的资产配置策略和积极主动的投资管理措施，并适时运用骑乘策略、杠杆策略和票息策略等投资策略，对投资组合进行收益增厚，在严格控制风险的基础上，力争为投资者提供持续稳健的投资回报。</w:t>
            </w:r>
          </w:p>
          <w:p w14:paraId="793A2BD8">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业绩比较基准可用于确定产品管理人是否收取超额业绩报酬，投资者所能获得的最终收益以管理人实际支付为准，业绩比较基准不作为产品管理人向投资者支付本产品本金或收益的承诺。</w:t>
            </w:r>
          </w:p>
          <w:p w14:paraId="2DD7E9C8">
            <w:pPr>
              <w:autoSpaceDE w:val="0"/>
              <w:autoSpaceDN w:val="0"/>
              <w:adjustRightInd w:val="0"/>
              <w:jc w:val="left"/>
              <w:rPr>
                <w:rFonts w:ascii="黑体" w:hAnsi="黑体" w:eastAsia="黑体" w:cs="黑体"/>
                <w:kern w:val="0"/>
                <w:szCs w:val="21"/>
              </w:rPr>
            </w:pPr>
            <w:r>
              <w:rPr>
                <w:rFonts w:hint="eastAsia" w:ascii="黑体" w:hAnsi="黑体" w:eastAsia="黑体" w:cs="黑体"/>
                <w:kern w:val="0"/>
                <w:szCs w:val="21"/>
              </w:rPr>
              <w:t>本产品为净值型产品，业绩表现将随市场情况波动，具有不确定性。当监管政策、市场环境、产品性质等因素发生变化，导致理财产品的业绩比较基准需要调整时，产品管理人将至少于调整日之前</w:t>
            </w:r>
            <w:r>
              <w:rPr>
                <w:rFonts w:ascii="黑体" w:hAnsi="黑体" w:eastAsia="黑体" w:cs="黑体"/>
                <w:kern w:val="0"/>
                <w:szCs w:val="21"/>
              </w:rPr>
              <w:t>3个工作日</w:t>
            </w:r>
            <w:bookmarkStart w:id="1" w:name="_Hlk81141686"/>
            <w:r>
              <w:rPr>
                <w:rFonts w:hint="eastAsia" w:ascii="黑体" w:hAnsi="黑体" w:eastAsia="黑体" w:cs="黑体"/>
                <w:kern w:val="0"/>
                <w:szCs w:val="21"/>
              </w:rPr>
              <w:t>通过机构官方渠道、行业统一信息披露渠道或与投资者约定的其他渠道公布调整情况和调整原因。</w:t>
            </w:r>
            <w:bookmarkEnd w:id="1"/>
          </w:p>
        </w:tc>
      </w:tr>
      <w:tr w14:paraId="4365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10B2DCD4">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产品</w:t>
            </w:r>
            <w:r>
              <w:rPr>
                <w:rFonts w:ascii="黑体" w:hAnsi="黑体" w:eastAsia="黑体" w:cs="黑体"/>
                <w:kern w:val="0"/>
                <w:szCs w:val="21"/>
              </w:rPr>
              <w:t>募集期</w:t>
            </w:r>
          </w:p>
        </w:tc>
        <w:tc>
          <w:tcPr>
            <w:tcW w:w="6458" w:type="dxa"/>
          </w:tcPr>
          <w:p w14:paraId="763EDD1B">
            <w:pPr>
              <w:autoSpaceDE w:val="0"/>
              <w:autoSpaceDN w:val="0"/>
              <w:adjustRightInd w:val="0"/>
              <w:jc w:val="left"/>
              <w:rPr>
                <w:rFonts w:ascii="黑体" w:hAnsi="黑体" w:eastAsia="黑体" w:cs="黑体"/>
                <w:b/>
                <w:kern w:val="0"/>
                <w:szCs w:val="21"/>
              </w:rPr>
            </w:pPr>
            <w:r>
              <w:rPr>
                <w:rFonts w:ascii="黑体" w:hAnsi="黑体" w:eastAsia="黑体" w:cs="黑体"/>
                <w:b/>
                <w:kern w:val="0"/>
                <w:szCs w:val="21"/>
              </w:rPr>
              <w:t>202</w:t>
            </w:r>
            <w:r>
              <w:rPr>
                <w:rFonts w:hint="eastAsia" w:ascii="黑体" w:hAnsi="黑体" w:eastAsia="黑体" w:cs="黑体"/>
                <w:b/>
                <w:kern w:val="0"/>
                <w:szCs w:val="21"/>
              </w:rPr>
              <w:t>6年1月27日至</w:t>
            </w:r>
            <w:r>
              <w:rPr>
                <w:rFonts w:ascii="黑体" w:hAnsi="黑体" w:eastAsia="黑体" w:cs="黑体"/>
                <w:b/>
                <w:kern w:val="0"/>
                <w:szCs w:val="21"/>
              </w:rPr>
              <w:t>202</w:t>
            </w:r>
            <w:r>
              <w:rPr>
                <w:rFonts w:hint="eastAsia" w:ascii="黑体" w:hAnsi="黑体" w:eastAsia="黑体" w:cs="黑体"/>
                <w:b/>
                <w:kern w:val="0"/>
                <w:szCs w:val="21"/>
              </w:rPr>
              <w:t>5年1月29日</w:t>
            </w:r>
          </w:p>
          <w:p w14:paraId="64AC5C82">
            <w:pPr>
              <w:autoSpaceDE w:val="0"/>
              <w:autoSpaceDN w:val="0"/>
              <w:adjustRightInd w:val="0"/>
              <w:jc w:val="left"/>
              <w:rPr>
                <w:rFonts w:ascii="黑体" w:hAnsi="黑体" w:eastAsia="黑体" w:cs="黑体"/>
                <w:kern w:val="0"/>
                <w:szCs w:val="21"/>
              </w:rPr>
            </w:pPr>
            <w:r>
              <w:rPr>
                <w:rFonts w:hint="eastAsia" w:ascii="黑体" w:hAnsi="黑体" w:eastAsia="黑体" w:cs="黑体"/>
                <w:kern w:val="0"/>
                <w:szCs w:val="21"/>
              </w:rPr>
              <w:t>在本产品募集期内，产品</w:t>
            </w:r>
            <w:r>
              <w:rPr>
                <w:rFonts w:ascii="黑体" w:hAnsi="黑体" w:eastAsia="黑体" w:cs="黑体"/>
                <w:kern w:val="0"/>
                <w:szCs w:val="21"/>
              </w:rPr>
              <w:t>管理人有权根据产品实际募集情况调整产品募集</w:t>
            </w:r>
            <w:r>
              <w:rPr>
                <w:rFonts w:hint="eastAsia" w:ascii="黑体" w:hAnsi="黑体" w:eastAsia="黑体" w:cs="黑体"/>
                <w:kern w:val="0"/>
                <w:szCs w:val="21"/>
              </w:rPr>
              <w:t>结束日，</w:t>
            </w:r>
            <w:r>
              <w:rPr>
                <w:rFonts w:ascii="黑体" w:hAnsi="黑体" w:eastAsia="黑体" w:cs="黑体"/>
                <w:kern w:val="0"/>
                <w:szCs w:val="21"/>
              </w:rPr>
              <w:t>调整前将进行相关</w:t>
            </w:r>
            <w:r>
              <w:rPr>
                <w:rFonts w:hint="eastAsia" w:ascii="黑体" w:hAnsi="黑体" w:eastAsia="黑体" w:cs="黑体"/>
                <w:kern w:val="0"/>
                <w:szCs w:val="21"/>
              </w:rPr>
              <w:t>信息</w:t>
            </w:r>
            <w:r>
              <w:rPr>
                <w:rFonts w:ascii="黑体" w:hAnsi="黑体" w:eastAsia="黑体" w:cs="黑体"/>
                <w:kern w:val="0"/>
                <w:szCs w:val="21"/>
              </w:rPr>
              <w:t>披露</w:t>
            </w:r>
            <w:r>
              <w:rPr>
                <w:rFonts w:hint="eastAsia" w:ascii="黑体" w:hAnsi="黑体" w:eastAsia="黑体" w:cs="黑体"/>
                <w:kern w:val="0"/>
                <w:szCs w:val="21"/>
              </w:rPr>
              <w:t>。</w:t>
            </w:r>
          </w:p>
        </w:tc>
      </w:tr>
      <w:tr w14:paraId="7935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3389A561">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产品</w:t>
            </w:r>
            <w:r>
              <w:rPr>
                <w:rFonts w:ascii="黑体" w:hAnsi="黑体" w:eastAsia="黑体" w:cs="黑体"/>
                <w:kern w:val="0"/>
                <w:szCs w:val="21"/>
              </w:rPr>
              <w:t>成立日</w:t>
            </w:r>
          </w:p>
        </w:tc>
        <w:tc>
          <w:tcPr>
            <w:tcW w:w="6458" w:type="dxa"/>
          </w:tcPr>
          <w:p w14:paraId="380C3FEF">
            <w:pPr>
              <w:autoSpaceDE w:val="0"/>
              <w:autoSpaceDN w:val="0"/>
              <w:adjustRightInd w:val="0"/>
              <w:jc w:val="left"/>
              <w:rPr>
                <w:rFonts w:ascii="黑体" w:hAnsi="黑体" w:eastAsia="黑体" w:cs="黑体"/>
                <w:b/>
                <w:kern w:val="0"/>
                <w:szCs w:val="21"/>
              </w:rPr>
            </w:pPr>
            <w:r>
              <w:rPr>
                <w:rFonts w:ascii="黑体" w:hAnsi="黑体" w:eastAsia="黑体" w:cs="黑体"/>
                <w:b/>
                <w:kern w:val="0"/>
                <w:szCs w:val="21"/>
              </w:rPr>
              <w:t>202</w:t>
            </w:r>
            <w:r>
              <w:rPr>
                <w:rFonts w:hint="eastAsia" w:ascii="黑体" w:hAnsi="黑体" w:eastAsia="黑体" w:cs="黑体"/>
                <w:b/>
                <w:kern w:val="0"/>
                <w:szCs w:val="21"/>
              </w:rPr>
              <w:t>6年1月30日</w:t>
            </w:r>
          </w:p>
          <w:p w14:paraId="4F6963F8">
            <w:pPr>
              <w:autoSpaceDE w:val="0"/>
              <w:autoSpaceDN w:val="0"/>
              <w:adjustRightInd w:val="0"/>
              <w:jc w:val="left"/>
              <w:rPr>
                <w:rFonts w:ascii="黑体" w:hAnsi="黑体" w:eastAsia="黑体" w:cs="黑体"/>
                <w:kern w:val="0"/>
                <w:szCs w:val="21"/>
              </w:rPr>
            </w:pPr>
            <w:r>
              <w:rPr>
                <w:rFonts w:ascii="黑体" w:hAnsi="黑体" w:eastAsia="黑体" w:cs="黑体"/>
                <w:kern w:val="0"/>
                <w:szCs w:val="21"/>
              </w:rPr>
              <w:t>1、为保护投资者权益，产品管理人</w:t>
            </w:r>
            <w:r>
              <w:rPr>
                <w:rFonts w:hint="eastAsia" w:ascii="黑体" w:hAnsi="黑体" w:eastAsia="黑体" w:cs="黑体"/>
                <w:kern w:val="0"/>
                <w:szCs w:val="21"/>
              </w:rPr>
              <w:t>可根据市场变化情况缩短或延长募集期并提前或推迟成立，届时</w:t>
            </w:r>
            <w:r>
              <w:rPr>
                <w:rFonts w:ascii="黑体" w:hAnsi="黑体" w:eastAsia="黑体" w:cs="黑体"/>
                <w:kern w:val="0"/>
                <w:szCs w:val="21"/>
              </w:rPr>
              <w:t>产品管理人</w:t>
            </w:r>
            <w:r>
              <w:rPr>
                <w:rFonts w:hint="eastAsia" w:ascii="黑体" w:hAnsi="黑体" w:eastAsia="黑体" w:cs="黑体"/>
                <w:kern w:val="0"/>
                <w:szCs w:val="21"/>
              </w:rPr>
              <w:t>将调整相关日期并进行信息披露。</w:t>
            </w:r>
          </w:p>
          <w:p w14:paraId="26006BD5">
            <w:pPr>
              <w:autoSpaceDE w:val="0"/>
              <w:autoSpaceDN w:val="0"/>
              <w:adjustRightInd w:val="0"/>
              <w:jc w:val="left"/>
              <w:rPr>
                <w:rFonts w:ascii="黑体" w:hAnsi="黑体" w:eastAsia="黑体" w:cs="黑体"/>
                <w:kern w:val="0"/>
                <w:szCs w:val="21"/>
              </w:rPr>
            </w:pPr>
            <w:r>
              <w:rPr>
                <w:rFonts w:ascii="黑体" w:hAnsi="黑体" w:eastAsia="黑体" w:cs="黑体"/>
                <w:kern w:val="0"/>
                <w:szCs w:val="21"/>
              </w:rPr>
              <w:t>2、</w:t>
            </w:r>
            <w:r>
              <w:rPr>
                <w:rFonts w:hint="eastAsia" w:ascii="黑体" w:hAnsi="黑体" w:eastAsia="黑体" w:cs="黑体"/>
                <w:kern w:val="0"/>
                <w:szCs w:val="21"/>
              </w:rPr>
              <w:t>若</w:t>
            </w:r>
            <w:r>
              <w:rPr>
                <w:rFonts w:ascii="黑体" w:hAnsi="黑体" w:eastAsia="黑体" w:cs="黑体"/>
                <w:kern w:val="0"/>
                <w:szCs w:val="21"/>
              </w:rPr>
              <w:t>产品认购份额未达到最低成立规模，或</w:t>
            </w:r>
            <w:r>
              <w:rPr>
                <w:rFonts w:hint="eastAsia" w:ascii="黑体" w:hAnsi="黑体" w:eastAsia="黑体" w:cs="宋体"/>
                <w:kern w:val="0"/>
                <w:szCs w:val="21"/>
              </w:rPr>
              <w:t>遇到包括但不限于国家金融政策发生重大调整、金融市场发生重大波动、</w:t>
            </w:r>
            <w:r>
              <w:rPr>
                <w:rFonts w:ascii="黑体" w:hAnsi="黑体" w:eastAsia="黑体" w:cs="黑体"/>
                <w:kern w:val="0"/>
                <w:szCs w:val="21"/>
              </w:rPr>
              <w:t>不可抗力</w:t>
            </w:r>
            <w:r>
              <w:rPr>
                <w:rFonts w:hint="eastAsia" w:ascii="黑体" w:hAnsi="黑体" w:eastAsia="黑体" w:cs="宋体"/>
                <w:kern w:val="0"/>
                <w:szCs w:val="21"/>
              </w:rPr>
              <w:t>或产品管理人</w:t>
            </w:r>
            <w:r>
              <w:rPr>
                <w:rFonts w:hint="eastAsia" w:ascii="黑体" w:hAnsi="黑体" w:eastAsia="黑体" w:cs="黑体"/>
                <w:kern w:val="0"/>
                <w:szCs w:val="21"/>
              </w:rPr>
              <w:t>认为会影响</w:t>
            </w:r>
            <w:r>
              <w:rPr>
                <w:rFonts w:ascii="黑体" w:hAnsi="黑体" w:eastAsia="黑体" w:cs="黑体"/>
                <w:kern w:val="0"/>
                <w:szCs w:val="21"/>
              </w:rPr>
              <w:t>产品成立</w:t>
            </w:r>
            <w:r>
              <w:rPr>
                <w:rFonts w:hint="eastAsia" w:ascii="黑体" w:hAnsi="黑体" w:eastAsia="黑体" w:cs="黑体"/>
                <w:kern w:val="0"/>
                <w:szCs w:val="21"/>
              </w:rPr>
              <w:t>的其他因素时</w:t>
            </w:r>
            <w:r>
              <w:rPr>
                <w:rFonts w:ascii="黑体" w:hAnsi="黑体" w:eastAsia="黑体" w:cs="黑体"/>
                <w:kern w:val="0"/>
                <w:szCs w:val="21"/>
              </w:rPr>
              <w:t>，</w:t>
            </w:r>
            <w:r>
              <w:rPr>
                <w:rFonts w:hint="eastAsia" w:ascii="黑体" w:hAnsi="黑体" w:eastAsia="黑体" w:cs="黑体"/>
                <w:b/>
                <w:kern w:val="0"/>
                <w:szCs w:val="21"/>
              </w:rPr>
              <w:t>产品管理人可以</w:t>
            </w:r>
            <w:r>
              <w:rPr>
                <w:rFonts w:ascii="黑体" w:hAnsi="黑体" w:eastAsia="黑体" w:cs="黑体"/>
                <w:b/>
                <w:kern w:val="0"/>
                <w:szCs w:val="21"/>
              </w:rPr>
              <w:t>宣布产品不成立，</w:t>
            </w:r>
            <w:r>
              <w:rPr>
                <w:rFonts w:hint="eastAsia" w:ascii="黑体" w:hAnsi="黑体" w:eastAsia="黑体" w:cs="黑体"/>
                <w:b/>
                <w:kern w:val="0"/>
                <w:szCs w:val="21"/>
              </w:rPr>
              <w:t>该情形下</w:t>
            </w:r>
            <w:r>
              <w:rPr>
                <w:rFonts w:ascii="黑体" w:hAnsi="黑体" w:eastAsia="黑体" w:cs="黑体"/>
                <w:b/>
                <w:kern w:val="0"/>
                <w:szCs w:val="21"/>
              </w:rPr>
              <w:t>投资者认购资金</w:t>
            </w:r>
            <w:r>
              <w:rPr>
                <w:rFonts w:hint="eastAsia" w:ascii="黑体" w:hAnsi="黑体" w:eastAsia="黑体" w:cs="黑体"/>
                <w:b/>
                <w:kern w:val="0"/>
                <w:szCs w:val="21"/>
              </w:rPr>
              <w:t>将</w:t>
            </w:r>
            <w:r>
              <w:rPr>
                <w:rFonts w:ascii="黑体" w:hAnsi="黑体" w:eastAsia="黑体" w:cs="黑体"/>
                <w:b/>
                <w:kern w:val="0"/>
                <w:szCs w:val="21"/>
              </w:rPr>
              <w:t>于产品</w:t>
            </w:r>
            <w:r>
              <w:rPr>
                <w:rFonts w:hint="eastAsia" w:ascii="黑体" w:hAnsi="黑体" w:eastAsia="黑体" w:cs="黑体"/>
                <w:b/>
                <w:kern w:val="0"/>
                <w:szCs w:val="21"/>
              </w:rPr>
              <w:t>募集</w:t>
            </w:r>
            <w:r>
              <w:rPr>
                <w:rFonts w:ascii="黑体" w:hAnsi="黑体" w:eastAsia="黑体" w:cs="黑体"/>
                <w:b/>
                <w:kern w:val="0"/>
                <w:szCs w:val="21"/>
              </w:rPr>
              <w:t>期结束后5个工作日内</w:t>
            </w:r>
            <w:r>
              <w:rPr>
                <w:rFonts w:hint="eastAsia" w:ascii="黑体" w:hAnsi="黑体" w:eastAsia="黑体" w:cs="黑体"/>
                <w:b/>
                <w:kern w:val="0"/>
                <w:szCs w:val="21"/>
              </w:rPr>
              <w:t>解冻</w:t>
            </w:r>
            <w:r>
              <w:rPr>
                <w:rFonts w:ascii="黑体" w:hAnsi="黑体" w:eastAsia="黑体" w:cs="黑体"/>
                <w:b/>
                <w:kern w:val="0"/>
                <w:szCs w:val="21"/>
              </w:rPr>
              <w:t>或返还至投资者指定账户，在途期间投资者投资本金不计息。</w:t>
            </w:r>
          </w:p>
        </w:tc>
      </w:tr>
      <w:tr w14:paraId="6C10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4F52A508">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产品</w:t>
            </w:r>
            <w:r>
              <w:rPr>
                <w:rFonts w:ascii="黑体" w:hAnsi="黑体" w:eastAsia="黑体" w:cs="黑体"/>
                <w:kern w:val="0"/>
                <w:szCs w:val="21"/>
              </w:rPr>
              <w:t>到期</w:t>
            </w:r>
            <w:r>
              <w:rPr>
                <w:rFonts w:hint="eastAsia" w:ascii="黑体" w:hAnsi="黑体" w:eastAsia="黑体" w:cs="黑体"/>
                <w:kern w:val="0"/>
                <w:szCs w:val="21"/>
              </w:rPr>
              <w:t>日</w:t>
            </w:r>
          </w:p>
        </w:tc>
        <w:tc>
          <w:tcPr>
            <w:tcW w:w="6458" w:type="dxa"/>
          </w:tcPr>
          <w:p w14:paraId="56F94FF3">
            <w:pPr>
              <w:autoSpaceDE w:val="0"/>
              <w:autoSpaceDN w:val="0"/>
              <w:adjustRightInd w:val="0"/>
              <w:jc w:val="left"/>
              <w:rPr>
                <w:rFonts w:ascii="黑体" w:hAnsi="黑体" w:eastAsia="黑体" w:cs="黑体"/>
                <w:b/>
                <w:kern w:val="0"/>
                <w:szCs w:val="21"/>
              </w:rPr>
            </w:pPr>
            <w:r>
              <w:rPr>
                <w:rFonts w:ascii="黑体" w:hAnsi="黑体" w:eastAsia="黑体" w:cs="黑体"/>
                <w:b/>
                <w:kern w:val="0"/>
                <w:szCs w:val="21"/>
              </w:rPr>
              <w:t>2050年12月31日</w:t>
            </w:r>
          </w:p>
          <w:p w14:paraId="3091FFD8">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产品</w:t>
            </w:r>
            <w:r>
              <w:rPr>
                <w:rFonts w:ascii="黑体" w:hAnsi="黑体" w:eastAsia="黑体" w:cs="黑体"/>
                <w:b/>
                <w:kern w:val="0"/>
                <w:szCs w:val="21"/>
              </w:rPr>
              <w:t>成立日</w:t>
            </w:r>
            <w:r>
              <w:rPr>
                <w:rFonts w:hint="eastAsia" w:ascii="黑体" w:hAnsi="黑体" w:eastAsia="黑体" w:cs="黑体"/>
                <w:b/>
                <w:kern w:val="0"/>
                <w:szCs w:val="21"/>
              </w:rPr>
              <w:t>至</w:t>
            </w:r>
            <w:r>
              <w:rPr>
                <w:rFonts w:ascii="黑体" w:hAnsi="黑体" w:eastAsia="黑体" w:cs="黑体"/>
                <w:b/>
                <w:kern w:val="0"/>
                <w:szCs w:val="21"/>
              </w:rPr>
              <w:t>产品到期日</w:t>
            </w:r>
            <w:r>
              <w:rPr>
                <w:rFonts w:hint="eastAsia" w:ascii="黑体" w:hAnsi="黑体" w:eastAsia="黑体" w:cs="黑体"/>
                <w:b/>
                <w:kern w:val="0"/>
                <w:szCs w:val="21"/>
              </w:rPr>
              <w:t>期</w:t>
            </w:r>
            <w:r>
              <w:rPr>
                <w:rFonts w:ascii="黑体" w:hAnsi="黑体" w:eastAsia="黑体" w:cs="黑体"/>
                <w:b/>
                <w:kern w:val="0"/>
                <w:szCs w:val="21"/>
              </w:rPr>
              <w:t>间为产品存续期。</w:t>
            </w:r>
            <w:r>
              <w:rPr>
                <w:rFonts w:hint="eastAsia" w:ascii="黑体" w:hAnsi="黑体" w:eastAsia="黑体" w:cs="黑体"/>
                <w:b/>
                <w:kern w:val="0"/>
                <w:szCs w:val="21"/>
              </w:rPr>
              <w:t>详见</w:t>
            </w:r>
            <w:r>
              <w:rPr>
                <w:rFonts w:ascii="黑体" w:hAnsi="黑体" w:eastAsia="黑体" w:cs="黑体"/>
                <w:b/>
                <w:kern w:val="0"/>
                <w:szCs w:val="21"/>
              </w:rPr>
              <w:t>本说明书第</w:t>
            </w:r>
            <w:r>
              <w:rPr>
                <w:rFonts w:hint="eastAsia" w:ascii="黑体" w:hAnsi="黑体" w:eastAsia="黑体" w:cs="黑体"/>
                <w:b/>
                <w:kern w:val="0"/>
                <w:szCs w:val="21"/>
              </w:rPr>
              <w:t>七</w:t>
            </w:r>
            <w:r>
              <w:rPr>
                <w:rFonts w:ascii="黑体" w:hAnsi="黑体" w:eastAsia="黑体" w:cs="黑体"/>
                <w:b/>
                <w:kern w:val="0"/>
                <w:szCs w:val="21"/>
              </w:rPr>
              <w:t>部分</w:t>
            </w:r>
            <w:r>
              <w:rPr>
                <w:rFonts w:hint="eastAsia" w:ascii="黑体" w:hAnsi="黑体" w:eastAsia="黑体" w:cs="黑体"/>
                <w:b/>
                <w:bCs/>
                <w:kern w:val="0"/>
                <w:szCs w:val="21"/>
              </w:rPr>
              <w:t>理财产品到期与终止</w:t>
            </w:r>
            <w:r>
              <w:rPr>
                <w:rFonts w:ascii="黑体" w:hAnsi="黑体" w:eastAsia="黑体" w:cs="黑体"/>
                <w:b/>
                <w:kern w:val="0"/>
                <w:szCs w:val="21"/>
              </w:rPr>
              <w:t>。</w:t>
            </w:r>
          </w:p>
        </w:tc>
      </w:tr>
      <w:tr w14:paraId="12F8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28592776">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最短持有期限</w:t>
            </w:r>
          </w:p>
        </w:tc>
        <w:tc>
          <w:tcPr>
            <w:tcW w:w="6458" w:type="dxa"/>
          </w:tcPr>
          <w:p w14:paraId="6477E1FF">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单个投资者于产品募集期的认购份额自产品成立日（含）起，最短持有期限为180个自然日；</w:t>
            </w:r>
          </w:p>
          <w:p w14:paraId="3F609430">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单个投资者于产品存续期内的单笔申购份额自该份额确认日（含）起，最短持有期限为180个自然日；</w:t>
            </w:r>
          </w:p>
          <w:p w14:paraId="7F4B9DFA">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单笔份额自满足最短持有期限后，可由投资者按规则申请赎回。具体赎回规则见后文四、产品交易相关规则。</w:t>
            </w:r>
          </w:p>
        </w:tc>
      </w:tr>
      <w:tr w14:paraId="5B23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5CFF5FC7">
            <w:pPr>
              <w:autoSpaceDE w:val="0"/>
              <w:autoSpaceDN w:val="0"/>
              <w:adjustRightInd w:val="0"/>
              <w:rPr>
                <w:rFonts w:hint="default" w:ascii="黑体" w:hAnsi="黑体" w:eastAsia="黑体" w:cs="黑体"/>
                <w:kern w:val="0"/>
                <w:szCs w:val="21"/>
                <w:lang w:val="en-US" w:eastAsia="zh-CN"/>
              </w:rPr>
            </w:pPr>
            <w:r>
              <w:rPr>
                <w:rFonts w:hint="eastAsia" w:ascii="黑体" w:hAnsi="黑体" w:eastAsia="黑体" w:cs="黑体"/>
                <w:kern w:val="0"/>
                <w:szCs w:val="21"/>
              </w:rPr>
              <w:t>产品开放日</w:t>
            </w:r>
            <w:r>
              <w:rPr>
                <w:rFonts w:hint="eastAsia" w:ascii="黑体" w:hAnsi="黑体" w:eastAsia="黑体" w:cs="黑体"/>
                <w:kern w:val="0"/>
                <w:szCs w:val="21"/>
                <w:lang w:val="en-US" w:eastAsia="zh-CN"/>
              </w:rPr>
              <w:t>/申购开放日</w:t>
            </w:r>
          </w:p>
        </w:tc>
        <w:tc>
          <w:tcPr>
            <w:tcW w:w="6458" w:type="dxa"/>
          </w:tcPr>
          <w:p w14:paraId="2DF6AAB0">
            <w:pPr>
              <w:autoSpaceDE w:val="0"/>
              <w:autoSpaceDN w:val="0"/>
              <w:adjustRightInd w:val="0"/>
              <w:jc w:val="left"/>
              <w:rPr>
                <w:rFonts w:ascii="黑体" w:hAnsi="黑体" w:eastAsia="黑体" w:cs="黑体"/>
                <w:b/>
                <w:bCs/>
                <w:kern w:val="0"/>
                <w:szCs w:val="21"/>
              </w:rPr>
            </w:pPr>
            <w:r>
              <w:rPr>
                <w:rFonts w:hint="eastAsia" w:ascii="黑体" w:hAnsi="黑体" w:eastAsia="黑体" w:cs="黑体"/>
                <w:b/>
                <w:bCs/>
                <w:kern w:val="0"/>
                <w:szCs w:val="21"/>
              </w:rPr>
              <w:t>自产品成立起的产品存续期内，每个工作日为产品开放日，投资者可按规则提交申购和赎回申请。具体交易规则见后文四、产品交易相关规则。</w:t>
            </w:r>
          </w:p>
          <w:p w14:paraId="3D96BED6">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在理财产品存续期内，本公司有权根据市场情况变化暂停或调整本理财产品的申购、赎回安排，相关安排请以届时提前公告为准。</w:t>
            </w:r>
          </w:p>
        </w:tc>
      </w:tr>
      <w:tr w14:paraId="3B2F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1B21FFBD">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认购、申购</w:t>
            </w:r>
            <w:r>
              <w:rPr>
                <w:rFonts w:ascii="黑体" w:hAnsi="黑体" w:eastAsia="黑体" w:cs="黑体"/>
                <w:kern w:val="0"/>
                <w:szCs w:val="21"/>
              </w:rPr>
              <w:t>、赎回</w:t>
            </w:r>
            <w:r>
              <w:rPr>
                <w:rFonts w:hint="eastAsia" w:ascii="黑体" w:hAnsi="黑体" w:eastAsia="黑体" w:cs="黑体"/>
                <w:kern w:val="0"/>
                <w:szCs w:val="21"/>
              </w:rPr>
              <w:t>及撤单</w:t>
            </w:r>
            <w:r>
              <w:rPr>
                <w:rFonts w:ascii="黑体" w:hAnsi="黑体" w:eastAsia="黑体" w:cs="黑体"/>
                <w:kern w:val="0"/>
                <w:szCs w:val="21"/>
              </w:rPr>
              <w:t>时间</w:t>
            </w:r>
          </w:p>
        </w:tc>
        <w:tc>
          <w:tcPr>
            <w:tcW w:w="6458" w:type="dxa"/>
          </w:tcPr>
          <w:p w14:paraId="025CBF9E">
            <w:pPr>
              <w:autoSpaceDE w:val="0"/>
              <w:autoSpaceDN w:val="0"/>
              <w:adjustRightInd w:val="0"/>
              <w:jc w:val="left"/>
              <w:rPr>
                <w:rFonts w:ascii="黑体" w:hAnsi="黑体" w:eastAsia="黑体" w:cs="宋体"/>
                <w:kern w:val="0"/>
                <w:szCs w:val="21"/>
              </w:rPr>
            </w:pPr>
            <w:r>
              <w:rPr>
                <w:rFonts w:hint="eastAsia" w:ascii="黑体" w:hAnsi="黑体" w:eastAsia="黑体" w:cs="宋体"/>
                <w:kern w:val="0"/>
                <w:szCs w:val="21"/>
              </w:rPr>
              <w:t>产品募集期第一日</w:t>
            </w:r>
            <w:r>
              <w:rPr>
                <w:rFonts w:ascii="黑体" w:hAnsi="黑体" w:eastAsia="黑体" w:cs="宋体"/>
                <w:kern w:val="0"/>
                <w:szCs w:val="21"/>
              </w:rPr>
              <w:t>8:30至最后一日17:30</w:t>
            </w:r>
            <w:r>
              <w:rPr>
                <w:rFonts w:hint="eastAsia" w:ascii="黑体" w:hAnsi="黑体" w:eastAsia="黑体" w:cs="宋体"/>
                <w:kern w:val="0"/>
                <w:szCs w:val="21"/>
              </w:rPr>
              <w:t>，</w:t>
            </w:r>
            <w:r>
              <w:rPr>
                <w:rFonts w:ascii="黑体" w:hAnsi="黑体" w:eastAsia="黑体" w:cs="宋体"/>
                <w:kern w:val="0"/>
                <w:szCs w:val="21"/>
              </w:rPr>
              <w:t>投资者可以提交或撤销认购申请；</w:t>
            </w:r>
            <w:r>
              <w:rPr>
                <w:rFonts w:hint="eastAsia" w:ascii="黑体" w:hAnsi="黑体" w:eastAsia="黑体" w:cs="宋体"/>
                <w:kern w:val="0"/>
                <w:szCs w:val="21"/>
              </w:rPr>
              <w:t>产品存续期间，</w:t>
            </w:r>
            <w:r>
              <w:rPr>
                <w:rFonts w:ascii="黑体" w:hAnsi="黑体" w:eastAsia="黑体" w:cs="宋体"/>
                <w:kern w:val="0"/>
                <w:szCs w:val="21"/>
              </w:rPr>
              <w:t>投资者可</w:t>
            </w:r>
            <w:r>
              <w:rPr>
                <w:rFonts w:hint="eastAsia" w:ascii="黑体" w:hAnsi="黑体" w:eastAsia="黑体" w:cs="宋体"/>
                <w:kern w:val="0"/>
                <w:szCs w:val="21"/>
              </w:rPr>
              <w:t>按规则</w:t>
            </w:r>
            <w:r>
              <w:rPr>
                <w:rFonts w:ascii="黑体" w:hAnsi="黑体" w:eastAsia="黑体" w:cs="宋体"/>
                <w:kern w:val="0"/>
                <w:szCs w:val="21"/>
              </w:rPr>
              <w:t>提交申购和赎回申请</w:t>
            </w:r>
            <w:r>
              <w:rPr>
                <w:rFonts w:hint="eastAsia" w:ascii="黑体" w:hAnsi="黑体" w:eastAsia="黑体" w:cs="宋体"/>
                <w:b/>
                <w:kern w:val="0"/>
                <w:szCs w:val="21"/>
              </w:rPr>
              <w:t>（仅可赎回满足最短持有期限的本产品份额）</w:t>
            </w:r>
            <w:r>
              <w:rPr>
                <w:rFonts w:hint="eastAsia" w:ascii="黑体" w:hAnsi="黑体" w:eastAsia="黑体" w:cs="宋体"/>
                <w:kern w:val="0"/>
                <w:szCs w:val="21"/>
              </w:rPr>
              <w:t>。针对投资者在工作日</w:t>
            </w:r>
            <w:r>
              <w:rPr>
                <w:rFonts w:ascii="黑体" w:hAnsi="黑体" w:eastAsia="黑体" w:cs="宋体"/>
                <w:kern w:val="0"/>
                <w:szCs w:val="21"/>
              </w:rPr>
              <w:t>0:00-</w:t>
            </w:r>
            <w:r>
              <w:rPr>
                <w:rFonts w:ascii="黑体" w:hAnsi="黑体" w:eastAsia="黑体" w:cs="黑体"/>
                <w:kern w:val="0"/>
                <w:szCs w:val="21"/>
              </w:rPr>
              <w:t>1</w:t>
            </w:r>
            <w:r>
              <w:rPr>
                <w:rFonts w:hint="eastAsia" w:ascii="黑体" w:hAnsi="黑体" w:eastAsia="黑体" w:cs="黑体"/>
                <w:kern w:val="0"/>
                <w:szCs w:val="21"/>
              </w:rPr>
              <w:t>7</w:t>
            </w:r>
            <w:r>
              <w:rPr>
                <w:rFonts w:ascii="黑体" w:hAnsi="黑体" w:eastAsia="黑体" w:cs="黑体"/>
                <w:kern w:val="0"/>
                <w:szCs w:val="21"/>
              </w:rPr>
              <w:t>:00</w:t>
            </w:r>
            <w:r>
              <w:rPr>
                <w:rFonts w:hint="eastAsia" w:ascii="黑体" w:hAnsi="黑体" w:eastAsia="黑体" w:cs="宋体"/>
                <w:kern w:val="0"/>
                <w:szCs w:val="21"/>
              </w:rPr>
              <w:t>之间提出的申购和赎回申请，投资者可以在提出申请的当日</w:t>
            </w:r>
            <w:r>
              <w:rPr>
                <w:rFonts w:ascii="黑体" w:hAnsi="黑体" w:eastAsia="黑体" w:cs="黑体"/>
                <w:kern w:val="0"/>
                <w:szCs w:val="21"/>
              </w:rPr>
              <w:t>1</w:t>
            </w:r>
            <w:r>
              <w:rPr>
                <w:rFonts w:hint="eastAsia" w:ascii="黑体" w:hAnsi="黑体" w:eastAsia="黑体" w:cs="黑体"/>
                <w:kern w:val="0"/>
                <w:szCs w:val="21"/>
              </w:rPr>
              <w:t>7</w:t>
            </w:r>
            <w:r>
              <w:rPr>
                <w:rFonts w:ascii="黑体" w:hAnsi="黑体" w:eastAsia="黑体" w:cs="黑体"/>
                <w:kern w:val="0"/>
                <w:szCs w:val="21"/>
              </w:rPr>
              <w:t>:00</w:t>
            </w:r>
            <w:r>
              <w:rPr>
                <w:rFonts w:hint="eastAsia" w:ascii="黑体" w:hAnsi="黑体" w:eastAsia="黑体" w:cs="宋体"/>
                <w:kern w:val="0"/>
                <w:szCs w:val="21"/>
              </w:rPr>
              <w:t>前进行撤销；针对投资者在其余时段提出的申购和赎回申请，投资者可以在提出申请的下一工作日</w:t>
            </w:r>
            <w:r>
              <w:rPr>
                <w:rFonts w:ascii="黑体" w:hAnsi="黑体" w:eastAsia="黑体" w:cs="黑体"/>
                <w:kern w:val="0"/>
                <w:szCs w:val="21"/>
              </w:rPr>
              <w:t>1</w:t>
            </w:r>
            <w:r>
              <w:rPr>
                <w:rFonts w:hint="eastAsia" w:ascii="黑体" w:hAnsi="黑体" w:eastAsia="黑体" w:cs="黑体"/>
                <w:kern w:val="0"/>
                <w:szCs w:val="21"/>
              </w:rPr>
              <w:t>7</w:t>
            </w:r>
            <w:r>
              <w:rPr>
                <w:rFonts w:ascii="黑体" w:hAnsi="黑体" w:eastAsia="黑体" w:cs="黑体"/>
                <w:kern w:val="0"/>
                <w:szCs w:val="21"/>
              </w:rPr>
              <w:t>:00</w:t>
            </w:r>
            <w:r>
              <w:rPr>
                <w:rFonts w:hint="eastAsia" w:ascii="黑体" w:hAnsi="黑体" w:eastAsia="黑体" w:cs="宋体"/>
                <w:kern w:val="0"/>
                <w:szCs w:val="21"/>
              </w:rPr>
              <w:t>前进行撤销，具体是否可撤销以销售机构展示为准。具体交易规则见后文四、产品交易相关规则。（具体交易时间以销售机构展示为准）</w:t>
            </w:r>
          </w:p>
        </w:tc>
      </w:tr>
      <w:tr w14:paraId="7FB9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05BA2497">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产品</w:t>
            </w:r>
            <w:r>
              <w:rPr>
                <w:rFonts w:ascii="黑体" w:hAnsi="黑体" w:eastAsia="黑体" w:cs="黑体"/>
                <w:kern w:val="0"/>
                <w:szCs w:val="21"/>
              </w:rPr>
              <w:t>最低成立规模</w:t>
            </w:r>
          </w:p>
        </w:tc>
        <w:tc>
          <w:tcPr>
            <w:tcW w:w="6458" w:type="dxa"/>
          </w:tcPr>
          <w:p w14:paraId="511A79A4">
            <w:pPr>
              <w:autoSpaceDE w:val="0"/>
              <w:autoSpaceDN w:val="0"/>
              <w:adjustRightInd w:val="0"/>
              <w:jc w:val="left"/>
              <w:rPr>
                <w:rFonts w:ascii="黑体" w:hAnsi="黑体" w:eastAsia="黑体" w:cs="黑体"/>
                <w:kern w:val="0"/>
                <w:szCs w:val="21"/>
              </w:rPr>
            </w:pPr>
            <w:r>
              <w:rPr>
                <w:rFonts w:hint="eastAsia" w:ascii="黑体" w:hAnsi="黑体" w:eastAsia="黑体" w:cs="黑体"/>
                <w:kern w:val="0"/>
                <w:szCs w:val="21"/>
              </w:rPr>
              <w:t>无</w:t>
            </w:r>
          </w:p>
        </w:tc>
      </w:tr>
      <w:tr w14:paraId="4F4D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0B2300F1">
            <w:pPr>
              <w:autoSpaceDE w:val="0"/>
              <w:autoSpaceDN w:val="0"/>
              <w:adjustRightInd w:val="0"/>
              <w:rPr>
                <w:rFonts w:ascii="黑体" w:hAnsi="黑体" w:eastAsia="黑体" w:cs="黑体"/>
                <w:kern w:val="0"/>
                <w:szCs w:val="21"/>
              </w:rPr>
            </w:pPr>
            <w:r>
              <w:rPr>
                <w:rFonts w:ascii="黑体" w:hAnsi="黑体" w:eastAsia="黑体" w:cs="黑体"/>
                <w:kern w:val="0"/>
                <w:szCs w:val="21"/>
              </w:rPr>
              <w:t>产品规模上限</w:t>
            </w:r>
          </w:p>
        </w:tc>
        <w:tc>
          <w:tcPr>
            <w:tcW w:w="6458" w:type="dxa"/>
          </w:tcPr>
          <w:p w14:paraId="27536691">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产品募集期规模</w:t>
            </w:r>
            <w:r>
              <w:rPr>
                <w:rFonts w:ascii="黑体" w:hAnsi="黑体" w:eastAsia="黑体" w:cs="黑体"/>
                <w:b/>
                <w:kern w:val="0"/>
                <w:szCs w:val="21"/>
              </w:rPr>
              <w:t>上限为</w:t>
            </w:r>
            <w:r>
              <w:rPr>
                <w:rFonts w:hint="eastAsia" w:ascii="黑体" w:hAnsi="黑体" w:eastAsia="黑体" w:cs="黑体"/>
                <w:b/>
                <w:kern w:val="0"/>
                <w:szCs w:val="21"/>
              </w:rPr>
              <w:t>5</w:t>
            </w:r>
            <w:r>
              <w:rPr>
                <w:rFonts w:ascii="黑体" w:hAnsi="黑体" w:eastAsia="黑体" w:cs="黑体"/>
                <w:b/>
                <w:kern w:val="0"/>
                <w:szCs w:val="21"/>
              </w:rPr>
              <w:t>0</w:t>
            </w:r>
            <w:r>
              <w:rPr>
                <w:rFonts w:hint="eastAsia" w:ascii="黑体" w:hAnsi="黑体" w:eastAsia="黑体" w:cs="黑体"/>
                <w:b/>
                <w:kern w:val="0"/>
                <w:szCs w:val="21"/>
              </w:rPr>
              <w:t>亿元</w:t>
            </w:r>
          </w:p>
          <w:p w14:paraId="71D74EA0">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若募集期产品认购金额达到产品规模上限，则产品管理人有权停止产品的认购交易，对于超出产品规模上限的部分，产品管理人有权不进行确认。</w:t>
            </w:r>
          </w:p>
          <w:p w14:paraId="58E7CA6E">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产品管理人有权根据产品实际运作情况调整产品存续期间的规模上限，具体以产品销售机构显示为准。</w:t>
            </w:r>
          </w:p>
        </w:tc>
      </w:tr>
      <w:tr w14:paraId="0FE4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713FF765">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首次</w:t>
            </w:r>
            <w:r>
              <w:rPr>
                <w:rFonts w:ascii="黑体" w:hAnsi="黑体" w:eastAsia="黑体" w:cs="黑体"/>
                <w:kern w:val="0"/>
                <w:szCs w:val="21"/>
              </w:rPr>
              <w:t>购买起点金额</w:t>
            </w:r>
          </w:p>
        </w:tc>
        <w:tc>
          <w:tcPr>
            <w:tcW w:w="6458" w:type="dxa"/>
          </w:tcPr>
          <w:p w14:paraId="14A72517">
            <w:pPr>
              <w:autoSpaceDE w:val="0"/>
              <w:autoSpaceDN w:val="0"/>
              <w:adjustRightInd w:val="0"/>
              <w:jc w:val="left"/>
              <w:rPr>
                <w:rFonts w:ascii="黑体" w:hAnsi="黑体" w:eastAsia="黑体" w:cs="黑体"/>
                <w:kern w:val="0"/>
                <w:szCs w:val="21"/>
              </w:rPr>
            </w:pPr>
            <w:r>
              <w:rPr>
                <w:rFonts w:ascii="黑体" w:hAnsi="黑体" w:eastAsia="黑体" w:cs="黑体"/>
                <w:kern w:val="0"/>
                <w:szCs w:val="21"/>
              </w:rPr>
              <w:t>A、B</w:t>
            </w:r>
            <w:r>
              <w:rPr>
                <w:rFonts w:hint="eastAsia" w:ascii="黑体" w:hAnsi="黑体" w:eastAsia="黑体" w:cs="黑体"/>
                <w:kern w:val="0"/>
                <w:szCs w:val="21"/>
                <w:lang w:eastAsia="zh-CN"/>
              </w:rPr>
              <w:t>、</w:t>
            </w:r>
            <w:r>
              <w:rPr>
                <w:rFonts w:hint="eastAsia" w:ascii="黑体" w:hAnsi="黑体" w:eastAsia="黑体" w:cs="黑体"/>
                <w:kern w:val="0"/>
                <w:szCs w:val="21"/>
                <w:lang w:val="en-US" w:eastAsia="zh-CN"/>
              </w:rPr>
              <w:t>C、D、E、F、G、P、J</w:t>
            </w:r>
            <w:r>
              <w:rPr>
                <w:rFonts w:hint="eastAsia" w:ascii="黑体" w:hAnsi="黑体" w:eastAsia="黑体" w:cs="黑体"/>
                <w:kern w:val="0"/>
                <w:szCs w:val="21"/>
              </w:rPr>
              <w:t>份额：</w:t>
            </w:r>
            <w:r>
              <w:rPr>
                <w:rFonts w:ascii="黑体" w:hAnsi="黑体" w:eastAsia="黑体" w:cs="黑体"/>
                <w:kern w:val="0"/>
                <w:szCs w:val="21"/>
              </w:rPr>
              <w:t>0.01元起售</w:t>
            </w:r>
            <w:r>
              <w:rPr>
                <w:rFonts w:hint="eastAsia" w:ascii="黑体" w:hAnsi="黑体" w:eastAsia="黑体" w:cs="黑体"/>
                <w:kern w:val="0"/>
                <w:szCs w:val="21"/>
              </w:rPr>
              <w:t>；</w:t>
            </w:r>
          </w:p>
          <w:p w14:paraId="3E02E3AA">
            <w:pPr>
              <w:autoSpaceDE w:val="0"/>
              <w:autoSpaceDN w:val="0"/>
              <w:adjustRightInd w:val="0"/>
              <w:jc w:val="left"/>
              <w:rPr>
                <w:rFonts w:ascii="黑体" w:hAnsi="黑体" w:eastAsia="黑体" w:cs="黑体"/>
                <w:kern w:val="0"/>
                <w:szCs w:val="21"/>
              </w:rPr>
            </w:pPr>
            <w:r>
              <w:rPr>
                <w:rFonts w:hint="eastAsia" w:ascii="黑体" w:hAnsi="黑体" w:eastAsia="黑体" w:cs="黑体"/>
                <w:kern w:val="0"/>
                <w:szCs w:val="21"/>
              </w:rPr>
              <w:t>（销售机构可以不低于上述标准设置起购金额，投资者购买本理财产品时以该销售机构最终要求为准）</w:t>
            </w:r>
          </w:p>
        </w:tc>
      </w:tr>
      <w:tr w14:paraId="1633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72092E5D">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追加购买</w:t>
            </w:r>
            <w:r>
              <w:rPr>
                <w:rFonts w:ascii="黑体" w:hAnsi="黑体" w:eastAsia="黑体" w:cs="黑体"/>
                <w:kern w:val="0"/>
                <w:szCs w:val="21"/>
              </w:rPr>
              <w:t>金额</w:t>
            </w:r>
          </w:p>
        </w:tc>
        <w:tc>
          <w:tcPr>
            <w:tcW w:w="6458" w:type="dxa"/>
          </w:tcPr>
          <w:p w14:paraId="2F556D6C">
            <w:pPr>
              <w:autoSpaceDE w:val="0"/>
              <w:autoSpaceDN w:val="0"/>
              <w:adjustRightInd w:val="0"/>
              <w:jc w:val="left"/>
              <w:rPr>
                <w:rFonts w:ascii="黑体" w:hAnsi="黑体" w:eastAsia="黑体" w:cs="黑体"/>
                <w:color w:val="000000" w:themeColor="text1"/>
                <w:kern w:val="0"/>
                <w:szCs w:val="21"/>
                <w14:textFill>
                  <w14:solidFill>
                    <w14:schemeClr w14:val="tx1"/>
                  </w14:solidFill>
                </w14:textFill>
              </w:rPr>
            </w:pPr>
            <w:r>
              <w:rPr>
                <w:rFonts w:ascii="黑体" w:hAnsi="黑体" w:eastAsia="黑体" w:cs="黑体"/>
                <w:kern w:val="0"/>
                <w:szCs w:val="21"/>
              </w:rPr>
              <w:t>A、B</w:t>
            </w:r>
            <w:r>
              <w:rPr>
                <w:rFonts w:hint="eastAsia" w:ascii="黑体" w:hAnsi="黑体" w:eastAsia="黑体" w:cs="黑体"/>
                <w:kern w:val="0"/>
                <w:szCs w:val="21"/>
                <w:lang w:eastAsia="zh-CN"/>
              </w:rPr>
              <w:t>、</w:t>
            </w:r>
            <w:r>
              <w:rPr>
                <w:rFonts w:hint="eastAsia" w:ascii="黑体" w:hAnsi="黑体" w:eastAsia="黑体" w:cs="黑体"/>
                <w:kern w:val="0"/>
                <w:szCs w:val="21"/>
                <w:lang w:val="en-US" w:eastAsia="zh-CN"/>
              </w:rPr>
              <w:t>C、D、E、F、G、P、J</w:t>
            </w:r>
            <w:r>
              <w:rPr>
                <w:rFonts w:hint="eastAsia" w:ascii="黑体" w:hAnsi="黑体" w:eastAsia="黑体" w:cs="黑体"/>
                <w:kern w:val="0"/>
                <w:szCs w:val="21"/>
              </w:rPr>
              <w:t>份额：</w:t>
            </w:r>
            <w:r>
              <w:rPr>
                <w:rFonts w:hint="eastAsia" w:ascii="黑体" w:hAnsi="黑体" w:eastAsia="黑体" w:cs="黑体"/>
                <w:color w:val="000000" w:themeColor="text1"/>
                <w:kern w:val="0"/>
                <w:szCs w:val="21"/>
                <w14:textFill>
                  <w14:solidFill>
                    <w14:schemeClr w14:val="tx1"/>
                  </w14:solidFill>
                </w14:textFill>
              </w:rPr>
              <w:t>追加金额以0</w:t>
            </w:r>
            <w:r>
              <w:rPr>
                <w:rFonts w:ascii="黑体" w:hAnsi="黑体" w:eastAsia="黑体" w:cs="黑体"/>
                <w:color w:val="000000" w:themeColor="text1"/>
                <w:kern w:val="0"/>
                <w:szCs w:val="21"/>
                <w14:textFill>
                  <w14:solidFill>
                    <w14:schemeClr w14:val="tx1"/>
                  </w14:solidFill>
                </w14:textFill>
              </w:rPr>
              <w:t>.0</w:t>
            </w:r>
            <w:r>
              <w:rPr>
                <w:rFonts w:hint="eastAsia" w:ascii="黑体" w:hAnsi="黑体" w:eastAsia="黑体" w:cs="黑体"/>
                <w:color w:val="000000" w:themeColor="text1"/>
                <w:kern w:val="0"/>
                <w:szCs w:val="21"/>
                <w14:textFill>
                  <w14:solidFill>
                    <w14:schemeClr w14:val="tx1"/>
                  </w14:solidFill>
                </w14:textFill>
              </w:rPr>
              <w:t>1元起，追加购买金额中不足0</w:t>
            </w:r>
            <w:r>
              <w:rPr>
                <w:rFonts w:ascii="黑体" w:hAnsi="黑体" w:eastAsia="黑体" w:cs="黑体"/>
                <w:color w:val="000000" w:themeColor="text1"/>
                <w:kern w:val="0"/>
                <w:szCs w:val="21"/>
                <w14:textFill>
                  <w14:solidFill>
                    <w14:schemeClr w14:val="tx1"/>
                  </w14:solidFill>
                </w14:textFill>
              </w:rPr>
              <w:t>.0</w:t>
            </w:r>
            <w:r>
              <w:rPr>
                <w:rFonts w:hint="eastAsia" w:ascii="黑体" w:hAnsi="黑体" w:eastAsia="黑体" w:cs="黑体"/>
                <w:color w:val="000000" w:themeColor="text1"/>
                <w:kern w:val="0"/>
                <w:szCs w:val="21"/>
                <w14:textFill>
                  <w14:solidFill>
                    <w14:schemeClr w14:val="tx1"/>
                  </w14:solidFill>
                </w14:textFill>
              </w:rPr>
              <w:t>1元的部分，产品管理人有权不确认</w:t>
            </w:r>
          </w:p>
          <w:p w14:paraId="6544A9CF">
            <w:pPr>
              <w:autoSpaceDE w:val="0"/>
              <w:autoSpaceDN w:val="0"/>
              <w:adjustRightInd w:val="0"/>
              <w:jc w:val="left"/>
              <w:rPr>
                <w:rFonts w:ascii="黑体" w:hAnsi="黑体" w:eastAsia="黑体" w:cs="黑体"/>
                <w:kern w:val="0"/>
                <w:szCs w:val="21"/>
              </w:rPr>
            </w:pPr>
            <w:r>
              <w:rPr>
                <w:rFonts w:hint="eastAsia" w:ascii="黑体" w:hAnsi="黑体" w:eastAsia="黑体" w:cs="黑体"/>
                <w:kern w:val="0"/>
                <w:szCs w:val="21"/>
              </w:rPr>
              <w:t>（销售机构可以不低于上述标准设置追加购买金额，投资者购买本理财产品时以该销售机构最终要求为准）</w:t>
            </w:r>
          </w:p>
        </w:tc>
      </w:tr>
      <w:tr w14:paraId="39E5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24E48FDF">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最低</w:t>
            </w:r>
            <w:r>
              <w:rPr>
                <w:rFonts w:ascii="黑体" w:hAnsi="黑体" w:eastAsia="黑体" w:cs="黑体"/>
                <w:kern w:val="0"/>
                <w:szCs w:val="21"/>
              </w:rPr>
              <w:t>赎回起点份额</w:t>
            </w:r>
          </w:p>
        </w:tc>
        <w:tc>
          <w:tcPr>
            <w:tcW w:w="6458" w:type="dxa"/>
          </w:tcPr>
          <w:p w14:paraId="6F701515">
            <w:pPr>
              <w:autoSpaceDE w:val="0"/>
              <w:autoSpaceDN w:val="0"/>
              <w:adjustRightInd w:val="0"/>
              <w:jc w:val="left"/>
              <w:rPr>
                <w:rFonts w:ascii="黑体" w:hAnsi="黑体" w:eastAsia="黑体" w:cs="黑体"/>
                <w:kern w:val="0"/>
                <w:szCs w:val="21"/>
              </w:rPr>
            </w:pPr>
            <w:r>
              <w:rPr>
                <w:rFonts w:ascii="黑体" w:hAnsi="黑体" w:eastAsia="黑体" w:cs="黑体"/>
                <w:kern w:val="0"/>
                <w:szCs w:val="21"/>
              </w:rPr>
              <w:t>0.01份（具体以销售机构的规则为准）</w:t>
            </w:r>
          </w:p>
        </w:tc>
      </w:tr>
      <w:tr w14:paraId="521C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43BFE49C">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追加</w:t>
            </w:r>
            <w:r>
              <w:rPr>
                <w:rFonts w:ascii="黑体" w:hAnsi="黑体" w:eastAsia="黑体" w:cs="黑体"/>
                <w:kern w:val="0"/>
                <w:szCs w:val="21"/>
              </w:rPr>
              <w:t>赎回份额</w:t>
            </w:r>
          </w:p>
        </w:tc>
        <w:tc>
          <w:tcPr>
            <w:tcW w:w="6458" w:type="dxa"/>
          </w:tcPr>
          <w:p w14:paraId="33B216AE">
            <w:pPr>
              <w:autoSpaceDE w:val="0"/>
              <w:autoSpaceDN w:val="0"/>
              <w:adjustRightInd w:val="0"/>
              <w:jc w:val="left"/>
              <w:rPr>
                <w:rFonts w:ascii="黑体" w:hAnsi="黑体" w:eastAsia="黑体" w:cs="黑体"/>
                <w:kern w:val="0"/>
                <w:szCs w:val="21"/>
              </w:rPr>
            </w:pPr>
            <w:r>
              <w:rPr>
                <w:rFonts w:ascii="黑体" w:hAnsi="黑体" w:eastAsia="黑体" w:cs="黑体"/>
                <w:kern w:val="0"/>
                <w:szCs w:val="21"/>
              </w:rPr>
              <w:t>0.01份（具体以销售机构的规则为准）</w:t>
            </w:r>
          </w:p>
        </w:tc>
      </w:tr>
      <w:tr w14:paraId="63A9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6C3CF9BE">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单日单户申赎限额</w:t>
            </w:r>
          </w:p>
        </w:tc>
        <w:tc>
          <w:tcPr>
            <w:tcW w:w="6458" w:type="dxa"/>
          </w:tcPr>
          <w:p w14:paraId="08E57722">
            <w:pPr>
              <w:autoSpaceDE w:val="0"/>
              <w:autoSpaceDN w:val="0"/>
              <w:adjustRightInd w:val="0"/>
              <w:jc w:val="left"/>
              <w:rPr>
                <w:rFonts w:ascii="黑体" w:hAnsi="黑体" w:eastAsia="黑体" w:cs="黑体"/>
                <w:kern w:val="0"/>
                <w:szCs w:val="21"/>
              </w:rPr>
            </w:pPr>
            <w:r>
              <w:rPr>
                <w:rFonts w:ascii="黑体" w:hAnsi="黑体" w:eastAsia="黑体" w:cs="黑体"/>
                <w:kern w:val="0"/>
                <w:szCs w:val="21"/>
              </w:rPr>
              <w:t>1、</w:t>
            </w:r>
            <w:r>
              <w:rPr>
                <w:rFonts w:hint="eastAsia" w:ascii="黑体" w:hAnsi="黑体" w:eastAsia="黑体" w:cs="黑体"/>
                <w:b/>
                <w:kern w:val="0"/>
                <w:szCs w:val="21"/>
              </w:rPr>
              <w:t>单个投资者对本产品单个开放日的申购金额上限为</w:t>
            </w:r>
            <w:r>
              <w:rPr>
                <w:rFonts w:ascii="黑体" w:hAnsi="黑体" w:eastAsia="黑体" w:cs="黑体"/>
                <w:b/>
                <w:kern w:val="0"/>
                <w:szCs w:val="21"/>
              </w:rPr>
              <w:t>A、</w:t>
            </w:r>
            <w:r>
              <w:rPr>
                <w:rFonts w:hint="eastAsia" w:ascii="黑体" w:hAnsi="黑体" w:eastAsia="黑体" w:cs="黑体"/>
                <w:b/>
                <w:kern w:val="0"/>
                <w:szCs w:val="21"/>
              </w:rPr>
              <w:t>B</w:t>
            </w:r>
            <w:r>
              <w:rPr>
                <w:rFonts w:hint="eastAsia" w:ascii="黑体" w:hAnsi="黑体" w:eastAsia="黑体" w:cs="黑体"/>
                <w:b/>
                <w:kern w:val="0"/>
                <w:szCs w:val="21"/>
                <w:lang w:eastAsia="zh-CN"/>
              </w:rPr>
              <w:t>、</w:t>
            </w:r>
            <w:r>
              <w:rPr>
                <w:rFonts w:hint="eastAsia" w:ascii="黑体" w:hAnsi="黑体" w:eastAsia="黑体" w:cs="黑体"/>
                <w:b/>
                <w:kern w:val="0"/>
                <w:szCs w:val="21"/>
                <w:lang w:val="en-US" w:eastAsia="zh-CN"/>
              </w:rPr>
              <w:t>C、D、E、F、G、P、J</w:t>
            </w:r>
            <w:r>
              <w:rPr>
                <w:rFonts w:hint="eastAsia" w:ascii="黑体" w:hAnsi="黑体" w:eastAsia="黑体" w:cs="黑体"/>
                <w:b/>
                <w:kern w:val="0"/>
                <w:szCs w:val="21"/>
              </w:rPr>
              <w:t>份额：1亿元</w:t>
            </w:r>
            <w:r>
              <w:rPr>
                <w:rFonts w:hint="eastAsia" w:ascii="黑体" w:hAnsi="黑体" w:eastAsia="黑体" w:cs="黑体"/>
                <w:kern w:val="0"/>
                <w:szCs w:val="21"/>
              </w:rPr>
              <w:t>；若单个投资者在单个开放日对本产品的申购金额达到上限的，产品管理人有权不再继续接受其申购；</w:t>
            </w:r>
          </w:p>
          <w:p w14:paraId="7A45D280">
            <w:pPr>
              <w:autoSpaceDE w:val="0"/>
              <w:autoSpaceDN w:val="0"/>
              <w:adjustRightInd w:val="0"/>
              <w:jc w:val="left"/>
              <w:rPr>
                <w:rFonts w:ascii="黑体" w:hAnsi="黑体" w:eastAsia="黑体" w:cs="黑体"/>
                <w:kern w:val="0"/>
                <w:szCs w:val="21"/>
              </w:rPr>
            </w:pPr>
            <w:r>
              <w:rPr>
                <w:rFonts w:ascii="黑体" w:hAnsi="黑体" w:eastAsia="黑体" w:cs="黑体"/>
                <w:kern w:val="0"/>
                <w:szCs w:val="21"/>
              </w:rPr>
              <w:t>2、</w:t>
            </w:r>
            <w:r>
              <w:rPr>
                <w:rFonts w:hint="eastAsia" w:ascii="黑体" w:hAnsi="黑体" w:eastAsia="黑体" w:cs="黑体"/>
                <w:b/>
                <w:kern w:val="0"/>
                <w:szCs w:val="21"/>
              </w:rPr>
              <w:t>单个投资者对本产品单个开放日的赎回份额上限为</w:t>
            </w:r>
            <w:r>
              <w:rPr>
                <w:rFonts w:ascii="黑体" w:hAnsi="黑体" w:eastAsia="黑体" w:cs="黑体"/>
                <w:b/>
                <w:kern w:val="0"/>
                <w:szCs w:val="21"/>
              </w:rPr>
              <w:t>A、</w:t>
            </w:r>
            <w:r>
              <w:rPr>
                <w:rFonts w:hint="eastAsia" w:ascii="黑体" w:hAnsi="黑体" w:eastAsia="黑体" w:cs="黑体"/>
                <w:b/>
                <w:kern w:val="0"/>
                <w:szCs w:val="21"/>
              </w:rPr>
              <w:t>B</w:t>
            </w:r>
            <w:r>
              <w:rPr>
                <w:rFonts w:hint="eastAsia" w:ascii="黑体" w:hAnsi="黑体" w:eastAsia="黑体" w:cs="黑体"/>
                <w:b/>
                <w:kern w:val="0"/>
                <w:szCs w:val="21"/>
                <w:lang w:eastAsia="zh-CN"/>
              </w:rPr>
              <w:t>、</w:t>
            </w:r>
            <w:r>
              <w:rPr>
                <w:rFonts w:hint="eastAsia" w:ascii="黑体" w:hAnsi="黑体" w:eastAsia="黑体" w:cs="黑体"/>
                <w:b/>
                <w:kern w:val="0"/>
                <w:szCs w:val="21"/>
                <w:lang w:val="en-US" w:eastAsia="zh-CN"/>
              </w:rPr>
              <w:t>C、D、E、F、G、P、J</w:t>
            </w:r>
            <w:r>
              <w:rPr>
                <w:rFonts w:hint="eastAsia" w:ascii="黑体" w:hAnsi="黑体" w:eastAsia="黑体" w:cs="黑体"/>
                <w:b/>
                <w:kern w:val="0"/>
                <w:szCs w:val="21"/>
              </w:rPr>
              <w:t>份额：1亿</w:t>
            </w:r>
            <w:r>
              <w:rPr>
                <w:rFonts w:hint="eastAsia" w:ascii="黑体" w:hAnsi="黑体" w:eastAsia="黑体" w:cs="黑体"/>
                <w:b/>
                <w:kern w:val="0"/>
                <w:szCs w:val="21"/>
                <w:lang w:val="en-US" w:eastAsia="zh-CN"/>
              </w:rPr>
              <w:t>份</w:t>
            </w:r>
            <w:r>
              <w:rPr>
                <w:rFonts w:hint="eastAsia" w:ascii="黑体" w:hAnsi="黑体" w:eastAsia="黑体" w:cs="黑体"/>
                <w:kern w:val="0"/>
                <w:szCs w:val="21"/>
              </w:rPr>
              <w:t>；若单个投资者在单个开放日对本产品的赎回份额达到上限的，产品管理人有权不再继续接受其赎回。</w:t>
            </w:r>
          </w:p>
        </w:tc>
      </w:tr>
      <w:tr w14:paraId="579B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0D736112">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单户</w:t>
            </w:r>
            <w:r>
              <w:rPr>
                <w:rFonts w:ascii="黑体" w:hAnsi="黑体" w:eastAsia="黑体" w:cs="黑体"/>
                <w:kern w:val="0"/>
                <w:szCs w:val="21"/>
              </w:rPr>
              <w:t>限额</w:t>
            </w:r>
          </w:p>
        </w:tc>
        <w:tc>
          <w:tcPr>
            <w:tcW w:w="6458" w:type="dxa"/>
          </w:tcPr>
          <w:p w14:paraId="76596F12">
            <w:pPr>
              <w:autoSpaceDE w:val="0"/>
              <w:autoSpaceDN w:val="0"/>
              <w:adjustRightInd w:val="0"/>
              <w:jc w:val="left"/>
              <w:rPr>
                <w:rFonts w:ascii="黑体" w:hAnsi="黑体" w:eastAsia="黑体" w:cs="黑体"/>
                <w:kern w:val="0"/>
                <w:szCs w:val="21"/>
              </w:rPr>
            </w:pPr>
            <w:r>
              <w:rPr>
                <w:rFonts w:ascii="黑体" w:hAnsi="黑体" w:eastAsia="黑体" w:cs="黑体"/>
                <w:kern w:val="0"/>
                <w:szCs w:val="21"/>
              </w:rPr>
              <w:t>1、</w:t>
            </w:r>
            <w:r>
              <w:rPr>
                <w:rFonts w:ascii="黑体" w:hAnsi="黑体" w:eastAsia="黑体" w:cs="黑体"/>
                <w:b/>
                <w:kern w:val="0"/>
                <w:szCs w:val="21"/>
              </w:rPr>
              <w:t>单</w:t>
            </w:r>
            <w:r>
              <w:rPr>
                <w:rFonts w:hint="eastAsia" w:ascii="黑体" w:hAnsi="黑体" w:eastAsia="黑体" w:cs="黑体"/>
                <w:b/>
                <w:kern w:val="0"/>
                <w:szCs w:val="21"/>
              </w:rPr>
              <w:t>个</w:t>
            </w:r>
            <w:r>
              <w:rPr>
                <w:rFonts w:ascii="黑体" w:hAnsi="黑体" w:eastAsia="黑体" w:cs="黑体"/>
                <w:b/>
                <w:kern w:val="0"/>
                <w:szCs w:val="21"/>
              </w:rPr>
              <w:t>投资者</w:t>
            </w:r>
            <w:r>
              <w:rPr>
                <w:rFonts w:hint="eastAsia" w:ascii="黑体" w:hAnsi="黑体" w:eastAsia="黑体" w:cs="黑体"/>
                <w:b/>
                <w:kern w:val="0"/>
                <w:szCs w:val="21"/>
              </w:rPr>
              <w:t>对</w:t>
            </w:r>
            <w:r>
              <w:rPr>
                <w:rFonts w:ascii="黑体" w:hAnsi="黑体" w:eastAsia="黑体" w:cs="黑体"/>
                <w:b/>
                <w:kern w:val="0"/>
                <w:szCs w:val="21"/>
              </w:rPr>
              <w:t>本产品</w:t>
            </w:r>
            <w:r>
              <w:rPr>
                <w:rFonts w:hint="eastAsia" w:ascii="黑体" w:hAnsi="黑体" w:eastAsia="黑体" w:cs="黑体"/>
                <w:b/>
                <w:kern w:val="0"/>
                <w:szCs w:val="21"/>
              </w:rPr>
              <w:t>持有</w:t>
            </w:r>
            <w:r>
              <w:rPr>
                <w:rFonts w:ascii="黑体" w:hAnsi="黑体" w:eastAsia="黑体" w:cs="黑体"/>
                <w:b/>
                <w:kern w:val="0"/>
                <w:szCs w:val="21"/>
              </w:rPr>
              <w:t>金额上限为A、</w:t>
            </w:r>
            <w:r>
              <w:rPr>
                <w:rFonts w:hint="eastAsia" w:ascii="黑体" w:hAnsi="黑体" w:eastAsia="黑体" w:cs="黑体"/>
                <w:b/>
                <w:kern w:val="0"/>
                <w:szCs w:val="21"/>
              </w:rPr>
              <w:t>B</w:t>
            </w:r>
            <w:r>
              <w:rPr>
                <w:rFonts w:hint="eastAsia" w:ascii="黑体" w:hAnsi="黑体" w:eastAsia="黑体" w:cs="黑体"/>
                <w:b/>
                <w:kern w:val="0"/>
                <w:szCs w:val="21"/>
                <w:lang w:eastAsia="zh-CN"/>
              </w:rPr>
              <w:t>、</w:t>
            </w:r>
            <w:r>
              <w:rPr>
                <w:rFonts w:hint="eastAsia" w:ascii="黑体" w:hAnsi="黑体" w:eastAsia="黑体" w:cs="黑体"/>
                <w:b/>
                <w:kern w:val="0"/>
                <w:szCs w:val="21"/>
                <w:lang w:val="en-US" w:eastAsia="zh-CN"/>
              </w:rPr>
              <w:t>C、D、E、F、G、P、J</w:t>
            </w:r>
            <w:r>
              <w:rPr>
                <w:rFonts w:hint="eastAsia" w:ascii="黑体" w:hAnsi="黑体" w:eastAsia="黑体" w:cs="黑体"/>
                <w:b/>
                <w:kern w:val="0"/>
                <w:szCs w:val="21"/>
              </w:rPr>
              <w:t>份额：1亿元</w:t>
            </w:r>
            <w:r>
              <w:rPr>
                <w:rFonts w:hint="eastAsia" w:ascii="黑体" w:hAnsi="黑体" w:eastAsia="黑体" w:cs="黑体"/>
                <w:kern w:val="0"/>
                <w:szCs w:val="21"/>
              </w:rPr>
              <w:t>；若</w:t>
            </w:r>
            <w:r>
              <w:rPr>
                <w:rFonts w:ascii="黑体" w:hAnsi="黑体" w:eastAsia="黑体" w:cs="黑体"/>
                <w:kern w:val="0"/>
                <w:szCs w:val="21"/>
              </w:rPr>
              <w:t>单个投资者</w:t>
            </w:r>
            <w:r>
              <w:rPr>
                <w:rFonts w:hint="eastAsia" w:ascii="黑体" w:hAnsi="黑体" w:eastAsia="黑体" w:cs="黑体"/>
                <w:kern w:val="0"/>
                <w:szCs w:val="21"/>
              </w:rPr>
              <w:t>对</w:t>
            </w:r>
            <w:r>
              <w:rPr>
                <w:rFonts w:ascii="黑体" w:hAnsi="黑体" w:eastAsia="黑体" w:cs="黑体"/>
                <w:kern w:val="0"/>
                <w:szCs w:val="21"/>
              </w:rPr>
              <w:t>本产品</w:t>
            </w:r>
            <w:r>
              <w:rPr>
                <w:rFonts w:hint="eastAsia" w:ascii="黑体" w:hAnsi="黑体" w:eastAsia="黑体" w:cs="黑体"/>
                <w:kern w:val="0"/>
                <w:szCs w:val="21"/>
              </w:rPr>
              <w:t>持有金额</w:t>
            </w:r>
            <w:r>
              <w:rPr>
                <w:rFonts w:ascii="黑体" w:hAnsi="黑体" w:eastAsia="黑体" w:cs="黑体"/>
                <w:kern w:val="0"/>
                <w:szCs w:val="21"/>
              </w:rPr>
              <w:t>达到上限的，</w:t>
            </w:r>
            <w:r>
              <w:rPr>
                <w:rFonts w:hint="eastAsia" w:ascii="黑体" w:hAnsi="黑体" w:eastAsia="黑体" w:cs="黑体"/>
                <w:kern w:val="0"/>
                <w:szCs w:val="21"/>
              </w:rPr>
              <w:t>产品</w:t>
            </w:r>
            <w:r>
              <w:rPr>
                <w:rFonts w:ascii="黑体" w:hAnsi="黑体" w:eastAsia="黑体" w:cs="黑体"/>
                <w:kern w:val="0"/>
                <w:szCs w:val="21"/>
              </w:rPr>
              <w:t>管理人</w:t>
            </w:r>
            <w:r>
              <w:rPr>
                <w:rFonts w:hint="eastAsia" w:ascii="黑体" w:hAnsi="黑体" w:eastAsia="黑体" w:cs="黑体"/>
                <w:kern w:val="0"/>
                <w:szCs w:val="21"/>
              </w:rPr>
              <w:t>有权</w:t>
            </w:r>
            <w:r>
              <w:rPr>
                <w:rFonts w:ascii="黑体" w:hAnsi="黑体" w:eastAsia="黑体" w:cs="黑体"/>
                <w:kern w:val="0"/>
                <w:szCs w:val="21"/>
              </w:rPr>
              <w:t>不再继续</w:t>
            </w:r>
            <w:r>
              <w:rPr>
                <w:rFonts w:hint="eastAsia" w:ascii="黑体" w:hAnsi="黑体" w:eastAsia="黑体" w:cs="黑体"/>
                <w:kern w:val="0"/>
                <w:szCs w:val="21"/>
              </w:rPr>
              <w:t>接受其</w:t>
            </w:r>
            <w:r>
              <w:rPr>
                <w:rFonts w:ascii="黑体" w:hAnsi="黑体" w:eastAsia="黑体" w:cs="黑体"/>
                <w:kern w:val="0"/>
                <w:szCs w:val="21"/>
              </w:rPr>
              <w:t>认</w:t>
            </w:r>
            <w:r>
              <w:rPr>
                <w:rFonts w:hint="eastAsia" w:ascii="黑体" w:hAnsi="黑体" w:eastAsia="黑体" w:cs="黑体"/>
                <w:kern w:val="0"/>
                <w:szCs w:val="21"/>
              </w:rPr>
              <w:t>（申）购；若单个投资者对本产品持有金额达到上限以后仍有认</w:t>
            </w:r>
            <w:r>
              <w:rPr>
                <w:rFonts w:ascii="黑体" w:hAnsi="黑体" w:eastAsia="黑体" w:cs="黑体"/>
                <w:kern w:val="0"/>
                <w:szCs w:val="21"/>
              </w:rPr>
              <w:t>(申)购需求的，可咨询本产品销售机构各营业网点或通过电话方式咨询其客服热线，产品管理人将审慎分析</w:t>
            </w:r>
            <w:r>
              <w:rPr>
                <w:rFonts w:hint="eastAsia" w:ascii="黑体" w:hAnsi="黑体" w:eastAsia="黑体" w:cs="黑体"/>
                <w:kern w:val="0"/>
                <w:szCs w:val="21"/>
              </w:rPr>
              <w:t>评估其认</w:t>
            </w:r>
            <w:r>
              <w:rPr>
                <w:rFonts w:ascii="黑体" w:hAnsi="黑体" w:eastAsia="黑体" w:cs="黑体"/>
                <w:kern w:val="0"/>
                <w:szCs w:val="21"/>
              </w:rPr>
              <w:t>(申)购申请，当继续接受其认(申)购可能对理财产品存量投资者利益构成重大不利影响时，或者基于投资运作与风险控制需要，产品管理人有权不再继续接受其认(申)购。</w:t>
            </w:r>
          </w:p>
          <w:p w14:paraId="7533DF07">
            <w:pPr>
              <w:autoSpaceDE w:val="0"/>
              <w:autoSpaceDN w:val="0"/>
              <w:adjustRightInd w:val="0"/>
              <w:jc w:val="left"/>
              <w:rPr>
                <w:rFonts w:ascii="黑体" w:hAnsi="黑体" w:eastAsia="黑体" w:cs="黑体"/>
                <w:kern w:val="0"/>
                <w:szCs w:val="21"/>
              </w:rPr>
            </w:pPr>
            <w:r>
              <w:rPr>
                <w:rFonts w:hint="eastAsia" w:ascii="黑体" w:hAnsi="黑体" w:eastAsia="黑体" w:cs="黑体"/>
                <w:kern w:val="0"/>
                <w:szCs w:val="21"/>
                <w:u w:val="single"/>
              </w:rPr>
              <w:t>非因产品管理人主观因素导致</w:t>
            </w:r>
            <w:r>
              <w:rPr>
                <w:rFonts w:ascii="黑体" w:hAnsi="黑体" w:eastAsia="黑体" w:cs="黑体"/>
                <w:kern w:val="0"/>
                <w:szCs w:val="21"/>
                <w:u w:val="single"/>
              </w:rPr>
              <w:t>单</w:t>
            </w:r>
            <w:r>
              <w:rPr>
                <w:rFonts w:hint="eastAsia" w:ascii="黑体" w:hAnsi="黑体" w:eastAsia="黑体" w:cs="黑体"/>
                <w:kern w:val="0"/>
                <w:szCs w:val="21"/>
                <w:u w:val="single"/>
              </w:rPr>
              <w:t>一</w:t>
            </w:r>
            <w:r>
              <w:rPr>
                <w:rFonts w:ascii="黑体" w:hAnsi="黑体" w:eastAsia="黑体" w:cs="黑体"/>
                <w:kern w:val="0"/>
                <w:szCs w:val="21"/>
                <w:u w:val="single"/>
              </w:rPr>
              <w:t>投资者持有份额比例超过</w:t>
            </w:r>
            <w:r>
              <w:rPr>
                <w:rFonts w:hint="eastAsia" w:ascii="黑体" w:hAnsi="黑体" w:eastAsia="黑体" w:cs="黑体"/>
                <w:kern w:val="0"/>
                <w:szCs w:val="21"/>
                <w:u w:val="single"/>
              </w:rPr>
              <w:t>总份额</w:t>
            </w:r>
            <w:r>
              <w:rPr>
                <w:rFonts w:ascii="黑体" w:hAnsi="黑体" w:eastAsia="黑体" w:cs="黑体"/>
                <w:kern w:val="0"/>
                <w:szCs w:val="21"/>
                <w:u w:val="single"/>
              </w:rPr>
              <w:t>的50%</w:t>
            </w:r>
            <w:r>
              <w:rPr>
                <w:rFonts w:hint="eastAsia" w:ascii="黑体" w:hAnsi="黑体" w:eastAsia="黑体" w:cs="黑体"/>
                <w:kern w:val="0"/>
                <w:szCs w:val="21"/>
                <w:u w:val="single"/>
              </w:rPr>
              <w:t>（含</w:t>
            </w:r>
            <w:r>
              <w:rPr>
                <w:rFonts w:ascii="黑体" w:hAnsi="黑体" w:eastAsia="黑体" w:cs="黑体"/>
                <w:kern w:val="0"/>
                <w:szCs w:val="21"/>
                <w:u w:val="single"/>
              </w:rPr>
              <w:t>）时，</w:t>
            </w:r>
            <w:r>
              <w:rPr>
                <w:rFonts w:hint="eastAsia" w:ascii="黑体" w:hAnsi="黑体" w:eastAsia="黑体" w:cs="黑体"/>
                <w:kern w:val="0"/>
                <w:szCs w:val="21"/>
                <w:u w:val="single"/>
              </w:rPr>
              <w:t>产品</w:t>
            </w:r>
            <w:r>
              <w:rPr>
                <w:rFonts w:ascii="黑体" w:hAnsi="黑体" w:eastAsia="黑体" w:cs="黑体"/>
                <w:kern w:val="0"/>
                <w:szCs w:val="21"/>
                <w:u w:val="single"/>
              </w:rPr>
              <w:t>管理人</w:t>
            </w:r>
            <w:r>
              <w:rPr>
                <w:rFonts w:hint="eastAsia" w:ascii="黑体" w:hAnsi="黑体" w:eastAsia="黑体" w:cs="黑体"/>
                <w:kern w:val="0"/>
                <w:szCs w:val="21"/>
                <w:u w:val="single"/>
              </w:rPr>
              <w:t>将暂停接受</w:t>
            </w:r>
            <w:r>
              <w:rPr>
                <w:rFonts w:ascii="黑体" w:hAnsi="黑体" w:eastAsia="黑体" w:cs="黑体"/>
                <w:kern w:val="0"/>
                <w:szCs w:val="21"/>
                <w:u w:val="single"/>
              </w:rPr>
              <w:t>其</w:t>
            </w:r>
            <w:r>
              <w:rPr>
                <w:rFonts w:hint="eastAsia" w:ascii="黑体" w:hAnsi="黑体" w:eastAsia="黑体" w:cs="黑体"/>
                <w:kern w:val="0"/>
                <w:szCs w:val="21"/>
                <w:u w:val="single"/>
              </w:rPr>
              <w:t>认（</w:t>
            </w:r>
            <w:r>
              <w:rPr>
                <w:rFonts w:ascii="黑体" w:hAnsi="黑体" w:eastAsia="黑体" w:cs="黑体"/>
                <w:kern w:val="0"/>
                <w:szCs w:val="21"/>
                <w:u w:val="single"/>
              </w:rPr>
              <w:t>申</w:t>
            </w:r>
            <w:r>
              <w:rPr>
                <w:rFonts w:hint="eastAsia" w:ascii="黑体" w:hAnsi="黑体" w:eastAsia="黑体" w:cs="黑体"/>
                <w:kern w:val="0"/>
                <w:szCs w:val="21"/>
                <w:u w:val="single"/>
              </w:rPr>
              <w:t>）</w:t>
            </w:r>
            <w:r>
              <w:rPr>
                <w:rFonts w:ascii="黑体" w:hAnsi="黑体" w:eastAsia="黑体" w:cs="黑体"/>
                <w:kern w:val="0"/>
                <w:szCs w:val="21"/>
                <w:u w:val="single"/>
              </w:rPr>
              <w:t>购申请。</w:t>
            </w:r>
          </w:p>
          <w:p w14:paraId="1E5FADCF">
            <w:pPr>
              <w:rPr>
                <w:rFonts w:ascii="黑体" w:hAnsi="黑体" w:eastAsia="黑体"/>
                <w:szCs w:val="21"/>
              </w:rPr>
            </w:pPr>
            <w:r>
              <w:rPr>
                <w:rFonts w:ascii="黑体" w:hAnsi="黑体" w:eastAsia="黑体" w:cs="黑体"/>
                <w:kern w:val="0"/>
                <w:szCs w:val="21"/>
              </w:rPr>
              <w:t>2</w:t>
            </w:r>
            <w:r>
              <w:rPr>
                <w:rFonts w:hint="eastAsia" w:ascii="黑体" w:hAnsi="黑体" w:eastAsia="黑体" w:cs="黑体"/>
                <w:kern w:val="0"/>
                <w:szCs w:val="21"/>
              </w:rPr>
              <w:t>、单个投资者对本产品</w:t>
            </w:r>
            <w:r>
              <w:rPr>
                <w:rFonts w:ascii="黑体" w:hAnsi="黑体" w:eastAsia="黑体" w:cs="黑体"/>
                <w:kern w:val="0"/>
                <w:szCs w:val="21"/>
              </w:rPr>
              <w:t>的最低持有</w:t>
            </w:r>
            <w:r>
              <w:rPr>
                <w:rFonts w:hint="eastAsia" w:ascii="黑体" w:hAnsi="黑体" w:eastAsia="黑体" w:cs="黑体"/>
                <w:kern w:val="0"/>
                <w:szCs w:val="21"/>
              </w:rPr>
              <w:t>金额</w:t>
            </w:r>
            <w:r>
              <w:rPr>
                <w:rFonts w:ascii="黑体" w:hAnsi="黑体" w:eastAsia="黑体" w:cs="黑体"/>
                <w:kern w:val="0"/>
                <w:szCs w:val="21"/>
              </w:rPr>
              <w:t>为</w:t>
            </w:r>
            <w:r>
              <w:rPr>
                <w:rFonts w:ascii="黑体" w:hAnsi="黑体" w:eastAsia="黑体" w:cs="黑体"/>
                <w:b/>
                <w:bCs/>
                <w:kern w:val="0"/>
                <w:szCs w:val="21"/>
              </w:rPr>
              <w:t>A、</w:t>
            </w:r>
            <w:r>
              <w:rPr>
                <w:rFonts w:hint="eastAsia" w:ascii="黑体" w:hAnsi="黑体" w:eastAsia="黑体" w:cs="黑体"/>
                <w:b/>
                <w:bCs/>
                <w:kern w:val="0"/>
                <w:szCs w:val="21"/>
              </w:rPr>
              <w:t>B</w:t>
            </w:r>
            <w:r>
              <w:rPr>
                <w:rFonts w:hint="eastAsia" w:ascii="黑体" w:hAnsi="黑体" w:eastAsia="黑体" w:cs="黑体"/>
                <w:b/>
                <w:kern w:val="0"/>
                <w:szCs w:val="21"/>
                <w:lang w:eastAsia="zh-CN"/>
              </w:rPr>
              <w:t>、</w:t>
            </w:r>
            <w:r>
              <w:rPr>
                <w:rFonts w:hint="eastAsia" w:ascii="黑体" w:hAnsi="黑体" w:eastAsia="黑体" w:cs="黑体"/>
                <w:b/>
                <w:kern w:val="0"/>
                <w:szCs w:val="21"/>
                <w:lang w:val="en-US" w:eastAsia="zh-CN"/>
              </w:rPr>
              <w:t>C、D、E、F、G、P、J</w:t>
            </w:r>
            <w:r>
              <w:rPr>
                <w:rFonts w:hint="eastAsia" w:ascii="黑体" w:hAnsi="黑体" w:eastAsia="黑体" w:cs="黑体"/>
                <w:b/>
                <w:bCs/>
                <w:kern w:val="0"/>
                <w:szCs w:val="21"/>
              </w:rPr>
              <w:t>份额：0</w:t>
            </w:r>
            <w:r>
              <w:rPr>
                <w:rFonts w:ascii="黑体" w:hAnsi="黑体" w:eastAsia="黑体" w:cs="黑体"/>
                <w:b/>
                <w:bCs/>
                <w:kern w:val="0"/>
                <w:szCs w:val="21"/>
              </w:rPr>
              <w:t>.01元</w:t>
            </w:r>
            <w:r>
              <w:rPr>
                <w:rFonts w:hint="eastAsia" w:ascii="黑体" w:hAnsi="黑体" w:eastAsia="黑体" w:cs="黑体"/>
                <w:b/>
                <w:bCs/>
                <w:kern w:val="0"/>
                <w:szCs w:val="21"/>
              </w:rPr>
              <w:t>，</w:t>
            </w:r>
            <w:r>
              <w:rPr>
                <w:rFonts w:ascii="黑体" w:hAnsi="黑体" w:eastAsia="黑体" w:cs="黑体"/>
                <w:kern w:val="0"/>
                <w:szCs w:val="21"/>
              </w:rPr>
              <w:t>若投资者持有不足该</w:t>
            </w:r>
            <w:r>
              <w:rPr>
                <w:rFonts w:hint="eastAsia" w:ascii="黑体" w:hAnsi="黑体" w:eastAsia="黑体" w:cs="黑体"/>
                <w:kern w:val="0"/>
                <w:szCs w:val="21"/>
              </w:rPr>
              <w:t>金额</w:t>
            </w:r>
            <w:r>
              <w:rPr>
                <w:rFonts w:ascii="黑体" w:hAnsi="黑体" w:eastAsia="黑体" w:cs="黑体"/>
                <w:kern w:val="0"/>
                <w:szCs w:val="21"/>
              </w:rPr>
              <w:t>时</w:t>
            </w:r>
            <w:r>
              <w:rPr>
                <w:rFonts w:hint="eastAsia" w:ascii="黑体" w:hAnsi="黑体" w:eastAsia="黑体" w:cs="黑体"/>
                <w:kern w:val="0"/>
                <w:szCs w:val="21"/>
              </w:rPr>
              <w:t>，产品管理人可对投资者持有的产品剩余金额进行强制赎回。</w:t>
            </w:r>
          </w:p>
        </w:tc>
      </w:tr>
      <w:tr w14:paraId="5976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7FD4464B">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销售</w:t>
            </w:r>
            <w:r>
              <w:rPr>
                <w:rFonts w:ascii="黑体" w:hAnsi="黑体" w:eastAsia="黑体" w:cs="黑体"/>
                <w:kern w:val="0"/>
                <w:szCs w:val="21"/>
              </w:rPr>
              <w:t>区域</w:t>
            </w:r>
          </w:p>
        </w:tc>
        <w:tc>
          <w:tcPr>
            <w:tcW w:w="6458" w:type="dxa"/>
          </w:tcPr>
          <w:p w14:paraId="0D999F04">
            <w:pPr>
              <w:autoSpaceDE w:val="0"/>
              <w:autoSpaceDN w:val="0"/>
              <w:adjustRightInd w:val="0"/>
              <w:jc w:val="left"/>
              <w:rPr>
                <w:rFonts w:ascii="黑体" w:hAnsi="黑体" w:eastAsia="黑体" w:cs="黑体"/>
                <w:kern w:val="0"/>
                <w:szCs w:val="21"/>
              </w:rPr>
            </w:pPr>
            <w:r>
              <w:rPr>
                <w:rFonts w:hint="eastAsia" w:ascii="黑体" w:hAnsi="黑体" w:eastAsia="黑体" w:cs="黑体"/>
                <w:kern w:val="0"/>
                <w:szCs w:val="21"/>
              </w:rPr>
              <w:t>全国（不含港澳台地区）</w:t>
            </w:r>
          </w:p>
        </w:tc>
      </w:tr>
      <w:tr w14:paraId="4FD5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52365E76">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管理</w:t>
            </w:r>
            <w:r>
              <w:rPr>
                <w:rFonts w:ascii="黑体" w:hAnsi="黑体" w:eastAsia="黑体" w:cs="黑体"/>
                <w:kern w:val="0"/>
                <w:szCs w:val="21"/>
              </w:rPr>
              <w:t>机构/产品管理人</w:t>
            </w:r>
          </w:p>
        </w:tc>
        <w:tc>
          <w:tcPr>
            <w:tcW w:w="6458" w:type="dxa"/>
          </w:tcPr>
          <w:p w14:paraId="0AD2B0CF">
            <w:pPr>
              <w:autoSpaceDE w:val="0"/>
              <w:autoSpaceDN w:val="0"/>
              <w:adjustRightInd w:val="0"/>
              <w:jc w:val="left"/>
              <w:rPr>
                <w:rFonts w:ascii="黑体" w:hAnsi="黑体" w:eastAsia="黑体" w:cs="黑体"/>
                <w:kern w:val="0"/>
                <w:szCs w:val="21"/>
              </w:rPr>
            </w:pPr>
            <w:r>
              <w:rPr>
                <w:rFonts w:hint="eastAsia" w:ascii="黑体" w:hAnsi="黑体" w:eastAsia="黑体" w:cs="黑体"/>
                <w:kern w:val="0"/>
                <w:szCs w:val="21"/>
              </w:rPr>
              <w:t>宁银理财</w:t>
            </w:r>
            <w:r>
              <w:rPr>
                <w:rFonts w:ascii="黑体" w:hAnsi="黑体" w:eastAsia="黑体" w:cs="黑体"/>
                <w:kern w:val="0"/>
                <w:szCs w:val="21"/>
              </w:rPr>
              <w:t>有限责任公司</w:t>
            </w:r>
          </w:p>
        </w:tc>
      </w:tr>
      <w:tr w14:paraId="795E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5555CECC">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销售</w:t>
            </w:r>
            <w:r>
              <w:rPr>
                <w:rFonts w:ascii="黑体" w:hAnsi="黑体" w:eastAsia="黑体" w:cs="黑体"/>
                <w:kern w:val="0"/>
                <w:szCs w:val="21"/>
              </w:rPr>
              <w:t>机构</w:t>
            </w:r>
          </w:p>
        </w:tc>
        <w:tc>
          <w:tcPr>
            <w:tcW w:w="6458" w:type="dxa"/>
          </w:tcPr>
          <w:p w14:paraId="57EB4FBC">
            <w:pPr>
              <w:autoSpaceDE w:val="0"/>
              <w:autoSpaceDN w:val="0"/>
              <w:adjustRightInd w:val="0"/>
              <w:jc w:val="left"/>
              <w:rPr>
                <w:rFonts w:hint="default" w:ascii="黑体" w:hAnsi="黑体" w:eastAsia="黑体" w:cs="黑体"/>
                <w:kern w:val="0"/>
                <w:szCs w:val="21"/>
                <w:lang w:val="en-US" w:eastAsia="zh-CN"/>
              </w:rPr>
            </w:pPr>
            <w:r>
              <w:rPr>
                <w:rFonts w:hint="eastAsia" w:ascii="黑体" w:hAnsi="黑体" w:eastAsia="黑体" w:cs="黑体"/>
                <w:kern w:val="0"/>
                <w:szCs w:val="21"/>
              </w:rPr>
              <w:t>宁银理财</w:t>
            </w:r>
            <w:r>
              <w:rPr>
                <w:rFonts w:ascii="黑体" w:hAnsi="黑体" w:eastAsia="黑体" w:cs="黑体"/>
                <w:kern w:val="0"/>
                <w:szCs w:val="21"/>
              </w:rPr>
              <w:t>有限责任公司</w:t>
            </w:r>
            <w:r>
              <w:rPr>
                <w:rFonts w:hint="eastAsia" w:ascii="黑体" w:hAnsi="黑体" w:eastAsia="黑体" w:cs="黑体"/>
                <w:kern w:val="0"/>
                <w:szCs w:val="21"/>
              </w:rPr>
              <w:t>、宁波银行股份有限公司、浙江网商银行股份有限公司</w:t>
            </w:r>
            <w:r>
              <w:rPr>
                <w:rFonts w:hint="eastAsia" w:ascii="黑体" w:hAnsi="黑体" w:eastAsia="黑体" w:cs="黑体"/>
                <w:kern w:val="0"/>
                <w:szCs w:val="21"/>
                <w:lang w:eastAsia="zh-CN"/>
              </w:rPr>
              <w:t>、广东华兴银行股份有限公司、广州银行股份有限公司、四川天府银行股份有限公司、中山农村商业银行股份有限公司、广州农村商业银行股份有限公司、广东南粤银行股份有限公司、吉林银行股份有限公司、哈尔滨银行股份有限公司、广发银行股份有限公司、湖南银行股份有限公司、青岛农村商业银行股份有限公司</w:t>
            </w:r>
          </w:p>
        </w:tc>
      </w:tr>
      <w:tr w14:paraId="095B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6810CB75">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托管机构</w:t>
            </w:r>
          </w:p>
        </w:tc>
        <w:tc>
          <w:tcPr>
            <w:tcW w:w="6458" w:type="dxa"/>
          </w:tcPr>
          <w:p w14:paraId="675A2C21">
            <w:pPr>
              <w:autoSpaceDE w:val="0"/>
              <w:autoSpaceDN w:val="0"/>
              <w:adjustRightInd w:val="0"/>
              <w:jc w:val="left"/>
              <w:rPr>
                <w:rFonts w:ascii="黑体" w:hAnsi="黑体" w:eastAsia="黑体" w:cs="黑体"/>
                <w:kern w:val="0"/>
                <w:szCs w:val="21"/>
              </w:rPr>
            </w:pPr>
            <w:r>
              <w:rPr>
                <w:rFonts w:hint="eastAsia" w:ascii="黑体" w:hAnsi="黑体" w:eastAsia="黑体" w:cs="黑体"/>
                <w:kern w:val="0"/>
                <w:szCs w:val="21"/>
              </w:rPr>
              <w:t>宁波银行股份有限公司</w:t>
            </w:r>
          </w:p>
        </w:tc>
      </w:tr>
      <w:tr w14:paraId="1F1A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05EADFC3">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境外托管人</w:t>
            </w:r>
          </w:p>
        </w:tc>
        <w:tc>
          <w:tcPr>
            <w:tcW w:w="6458" w:type="dxa"/>
          </w:tcPr>
          <w:p w14:paraId="1E96ED4B">
            <w:pPr>
              <w:autoSpaceDE w:val="0"/>
              <w:autoSpaceDN w:val="0"/>
              <w:adjustRightInd w:val="0"/>
              <w:jc w:val="left"/>
              <w:rPr>
                <w:rFonts w:ascii="黑体" w:hAnsi="黑体" w:eastAsia="黑体" w:cs="黑体"/>
                <w:kern w:val="0"/>
                <w:szCs w:val="21"/>
              </w:rPr>
            </w:pPr>
            <w:r>
              <w:rPr>
                <w:rFonts w:hint="eastAsia" w:ascii="黑体" w:hAnsi="黑体" w:eastAsia="黑体" w:cs="黑体"/>
                <w:kern w:val="0"/>
                <w:szCs w:val="21"/>
              </w:rPr>
              <w:t>中国民生银行股份有限公司香港分行</w:t>
            </w:r>
          </w:p>
        </w:tc>
      </w:tr>
      <w:tr w14:paraId="5A95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4499512E">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投资合作机构</w:t>
            </w:r>
          </w:p>
        </w:tc>
        <w:tc>
          <w:tcPr>
            <w:tcW w:w="6458" w:type="dxa"/>
          </w:tcPr>
          <w:p w14:paraId="03328652">
            <w:pPr>
              <w:autoSpaceDE w:val="0"/>
              <w:autoSpaceDN w:val="0"/>
              <w:adjustRightInd w:val="0"/>
              <w:jc w:val="left"/>
              <w:rPr>
                <w:rFonts w:ascii="黑体" w:hAnsi="黑体" w:eastAsia="黑体" w:cs="黑体"/>
                <w:kern w:val="0"/>
                <w:szCs w:val="21"/>
              </w:rPr>
            </w:pPr>
            <w:r>
              <w:rPr>
                <w:rFonts w:hint="eastAsia" w:ascii="黑体" w:hAnsi="黑体" w:eastAsia="黑体" w:cs="黑体"/>
                <w:kern w:val="0"/>
                <w:szCs w:val="21"/>
              </w:rPr>
              <w:t>投资合作机构包括但不限于理财产品所投资资产管理产品的发行机构、根据合同约定从事理财产品受托投资的机构以及与理财产品投资管理相关的投资顾问等。</w:t>
            </w:r>
          </w:p>
          <w:p w14:paraId="4AAEA5B2">
            <w:pPr>
              <w:autoSpaceDE w:val="0"/>
              <w:autoSpaceDN w:val="0"/>
              <w:adjustRightInd w:val="0"/>
              <w:jc w:val="left"/>
              <w:rPr>
                <w:rFonts w:ascii="黑体" w:hAnsi="黑体" w:eastAsia="黑体" w:cs="黑体"/>
                <w:kern w:val="0"/>
                <w:szCs w:val="21"/>
              </w:rPr>
            </w:pPr>
            <w:r>
              <w:rPr>
                <w:rFonts w:hint="eastAsia" w:ascii="黑体" w:hAnsi="黑体" w:eastAsia="黑体" w:cs="黑体"/>
                <w:kern w:val="0"/>
                <w:szCs w:val="21"/>
              </w:rPr>
              <w:t>本理财产品投资合作机构可能包括但不限于太平资产管理有限公司、民生通惠资产管理有限公司、永赢资产管理有限公司、博时资本管理有限公司、平安证券股份有限公司、中国国际金融股份有限公司、五矿国际信托有限公司、华润深国投信托有限公司、平安信托有限责任公司、中国对外经济贸易信托有限公司、光大永明资产管理股份有限公司等。</w:t>
            </w:r>
          </w:p>
          <w:p w14:paraId="48CC2435">
            <w:pPr>
              <w:autoSpaceDE w:val="0"/>
              <w:autoSpaceDN w:val="0"/>
              <w:adjustRightInd w:val="0"/>
              <w:jc w:val="left"/>
              <w:rPr>
                <w:rFonts w:ascii="黑体" w:hAnsi="黑体" w:eastAsia="黑体" w:cs="黑体"/>
                <w:kern w:val="0"/>
                <w:szCs w:val="21"/>
              </w:rPr>
            </w:pPr>
            <w:r>
              <w:rPr>
                <w:rFonts w:hint="eastAsia" w:ascii="黑体" w:hAnsi="黑体" w:eastAsia="黑体" w:cs="黑体"/>
                <w:kern w:val="0"/>
                <w:szCs w:val="21"/>
              </w:rPr>
              <w:t>后续新增投资合作机构时，管理人将对合作机构的资质条件、专业服务能力和风险管理水平等进行充分评价，切实履行投资管理职责。</w:t>
            </w:r>
          </w:p>
        </w:tc>
      </w:tr>
      <w:tr w14:paraId="76FA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0AD2DFBF">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产品</w:t>
            </w:r>
            <w:r>
              <w:rPr>
                <w:rFonts w:ascii="黑体" w:hAnsi="黑体" w:eastAsia="黑体" w:cs="黑体"/>
                <w:kern w:val="0"/>
                <w:szCs w:val="21"/>
              </w:rPr>
              <w:t>费用</w:t>
            </w:r>
            <w:r>
              <w:rPr>
                <w:rFonts w:hint="eastAsia" w:ascii="黑体" w:hAnsi="黑体" w:eastAsia="黑体" w:cs="黑体"/>
                <w:kern w:val="0"/>
                <w:szCs w:val="21"/>
              </w:rPr>
              <w:t>及</w:t>
            </w:r>
            <w:r>
              <w:rPr>
                <w:rFonts w:ascii="黑体" w:hAnsi="黑体" w:eastAsia="黑体" w:cs="黑体"/>
                <w:kern w:val="0"/>
                <w:szCs w:val="21"/>
              </w:rPr>
              <w:t>税收</w:t>
            </w:r>
            <w:r>
              <w:rPr>
                <w:rFonts w:hint="eastAsia" w:ascii="黑体" w:hAnsi="黑体" w:eastAsia="黑体" w:cs="黑体"/>
                <w:kern w:val="0"/>
                <w:szCs w:val="21"/>
              </w:rPr>
              <w:t>规定</w:t>
            </w:r>
          </w:p>
        </w:tc>
        <w:tc>
          <w:tcPr>
            <w:tcW w:w="6458" w:type="dxa"/>
          </w:tcPr>
          <w:p w14:paraId="679BBF19">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本产品收取的费用为销售服务费、固定管理费、托管费和浮动管理费等。其中，</w:t>
            </w:r>
          </w:p>
          <w:p w14:paraId="2399D2DB">
            <w:pPr>
              <w:autoSpaceDE w:val="0"/>
              <w:autoSpaceDN w:val="0"/>
              <w:adjustRightInd w:val="0"/>
              <w:jc w:val="left"/>
              <w:rPr>
                <w:rFonts w:ascii="黑体" w:hAnsi="黑体" w:eastAsia="黑体" w:cs="黑体"/>
                <w:kern w:val="0"/>
                <w:szCs w:val="21"/>
              </w:rPr>
            </w:pPr>
            <w:r>
              <w:rPr>
                <w:rFonts w:hint="eastAsia" w:ascii="黑体" w:hAnsi="黑体" w:eastAsia="黑体" w:cs="黑体"/>
                <w:kern w:val="0"/>
                <w:szCs w:val="21"/>
              </w:rPr>
              <w:t>1、销售服务费：【A份额】年化费率【0.45%】、【B份额】年化费率【0.45%】、【</w:t>
            </w:r>
            <w:r>
              <w:rPr>
                <w:rFonts w:hint="eastAsia" w:ascii="黑体" w:hAnsi="黑体" w:eastAsia="黑体" w:cs="黑体"/>
                <w:kern w:val="0"/>
                <w:szCs w:val="21"/>
                <w:lang w:val="en-US" w:eastAsia="zh-CN"/>
              </w:rPr>
              <w:t>C</w:t>
            </w:r>
            <w:r>
              <w:rPr>
                <w:rFonts w:hint="eastAsia" w:ascii="黑体" w:hAnsi="黑体" w:eastAsia="黑体" w:cs="黑体"/>
                <w:kern w:val="0"/>
                <w:szCs w:val="21"/>
              </w:rPr>
              <w:t>份额】年化费率【0.45%】、【</w:t>
            </w:r>
            <w:r>
              <w:rPr>
                <w:rFonts w:hint="eastAsia" w:ascii="黑体" w:hAnsi="黑体" w:eastAsia="黑体" w:cs="黑体"/>
                <w:kern w:val="0"/>
                <w:szCs w:val="21"/>
                <w:lang w:val="en-US" w:eastAsia="zh-CN"/>
              </w:rPr>
              <w:t>D</w:t>
            </w:r>
            <w:r>
              <w:rPr>
                <w:rFonts w:hint="eastAsia" w:ascii="黑体" w:hAnsi="黑体" w:eastAsia="黑体" w:cs="黑体"/>
                <w:kern w:val="0"/>
                <w:szCs w:val="21"/>
              </w:rPr>
              <w:t>份额】年化费率【0.45%】、【</w:t>
            </w:r>
            <w:r>
              <w:rPr>
                <w:rFonts w:hint="eastAsia" w:ascii="黑体" w:hAnsi="黑体" w:eastAsia="黑体" w:cs="黑体"/>
                <w:kern w:val="0"/>
                <w:szCs w:val="21"/>
                <w:lang w:val="en-US" w:eastAsia="zh-CN"/>
              </w:rPr>
              <w:t>E</w:t>
            </w:r>
            <w:r>
              <w:rPr>
                <w:rFonts w:hint="eastAsia" w:ascii="黑体" w:hAnsi="黑体" w:eastAsia="黑体" w:cs="黑体"/>
                <w:kern w:val="0"/>
                <w:szCs w:val="21"/>
              </w:rPr>
              <w:t>份额】年化费率【0.45%】、【</w:t>
            </w:r>
            <w:r>
              <w:rPr>
                <w:rFonts w:hint="eastAsia" w:ascii="黑体" w:hAnsi="黑体" w:eastAsia="黑体" w:cs="黑体"/>
                <w:kern w:val="0"/>
                <w:szCs w:val="21"/>
                <w:lang w:val="en-US" w:eastAsia="zh-CN"/>
              </w:rPr>
              <w:t>F</w:t>
            </w:r>
            <w:r>
              <w:rPr>
                <w:rFonts w:hint="eastAsia" w:ascii="黑体" w:hAnsi="黑体" w:eastAsia="黑体" w:cs="黑体"/>
                <w:kern w:val="0"/>
                <w:szCs w:val="21"/>
              </w:rPr>
              <w:t>份额】年化费率【0.45%】、【</w:t>
            </w:r>
            <w:r>
              <w:rPr>
                <w:rFonts w:hint="eastAsia" w:ascii="黑体" w:hAnsi="黑体" w:eastAsia="黑体" w:cs="黑体"/>
                <w:kern w:val="0"/>
                <w:szCs w:val="21"/>
                <w:lang w:val="en-US" w:eastAsia="zh-CN"/>
              </w:rPr>
              <w:t>G</w:t>
            </w:r>
            <w:r>
              <w:rPr>
                <w:rFonts w:hint="eastAsia" w:ascii="黑体" w:hAnsi="黑体" w:eastAsia="黑体" w:cs="黑体"/>
                <w:kern w:val="0"/>
                <w:szCs w:val="21"/>
              </w:rPr>
              <w:t>份额】年化费率【0.45%】、【</w:t>
            </w:r>
            <w:r>
              <w:rPr>
                <w:rFonts w:hint="eastAsia" w:ascii="黑体" w:hAnsi="黑体" w:eastAsia="黑体" w:cs="黑体"/>
                <w:kern w:val="0"/>
                <w:szCs w:val="21"/>
                <w:lang w:val="en-US" w:eastAsia="zh-CN"/>
              </w:rPr>
              <w:t>P</w:t>
            </w:r>
            <w:r>
              <w:rPr>
                <w:rFonts w:hint="eastAsia" w:ascii="黑体" w:hAnsi="黑体" w:eastAsia="黑体" w:cs="黑体"/>
                <w:kern w:val="0"/>
                <w:szCs w:val="21"/>
              </w:rPr>
              <w:t>份额】年化费率【0.45%】、【</w:t>
            </w:r>
            <w:r>
              <w:rPr>
                <w:rFonts w:hint="eastAsia" w:ascii="黑体" w:hAnsi="黑体" w:eastAsia="黑体" w:cs="黑体"/>
                <w:kern w:val="0"/>
                <w:szCs w:val="21"/>
                <w:lang w:val="en-US" w:eastAsia="zh-CN"/>
              </w:rPr>
              <w:t>J</w:t>
            </w:r>
            <w:r>
              <w:rPr>
                <w:rFonts w:hint="eastAsia" w:ascii="黑体" w:hAnsi="黑体" w:eastAsia="黑体" w:cs="黑体"/>
                <w:kern w:val="0"/>
                <w:szCs w:val="21"/>
              </w:rPr>
              <w:t>份额】年化费率【0.45%】；</w:t>
            </w:r>
          </w:p>
          <w:p w14:paraId="11B83E43">
            <w:pPr>
              <w:autoSpaceDE w:val="0"/>
              <w:autoSpaceDN w:val="0"/>
              <w:adjustRightInd w:val="0"/>
              <w:jc w:val="left"/>
              <w:rPr>
                <w:rFonts w:ascii="黑体" w:hAnsi="黑体" w:eastAsia="黑体" w:cs="黑体"/>
                <w:kern w:val="0"/>
                <w:szCs w:val="21"/>
              </w:rPr>
            </w:pPr>
            <w:r>
              <w:rPr>
                <w:rFonts w:hint="eastAsia" w:ascii="黑体" w:hAnsi="黑体" w:eastAsia="黑体" w:cs="黑体"/>
                <w:kern w:val="0"/>
                <w:szCs w:val="21"/>
              </w:rPr>
              <w:t>2、固定管理费：【</w:t>
            </w:r>
            <w:r>
              <w:rPr>
                <w:rFonts w:ascii="黑体" w:hAnsi="黑体" w:eastAsia="黑体" w:cs="黑体"/>
                <w:kern w:val="0"/>
                <w:szCs w:val="21"/>
              </w:rPr>
              <w:t>A份额</w:t>
            </w:r>
            <w:r>
              <w:rPr>
                <w:rFonts w:hint="eastAsia" w:ascii="黑体" w:hAnsi="黑体" w:eastAsia="黑体" w:cs="黑体"/>
                <w:kern w:val="0"/>
                <w:szCs w:val="21"/>
              </w:rPr>
              <w:t>】</w:t>
            </w:r>
            <w:r>
              <w:rPr>
                <w:rFonts w:ascii="黑体" w:hAnsi="黑体" w:eastAsia="黑体" w:cs="黑体"/>
                <w:kern w:val="0"/>
                <w:szCs w:val="21"/>
              </w:rPr>
              <w:t>年化</w:t>
            </w:r>
            <w:r>
              <w:rPr>
                <w:rFonts w:hint="eastAsia" w:ascii="黑体" w:hAnsi="黑体" w:eastAsia="黑体" w:cs="黑体"/>
                <w:kern w:val="0"/>
                <w:szCs w:val="21"/>
              </w:rPr>
              <w:t>费率【</w:t>
            </w:r>
            <w:r>
              <w:rPr>
                <w:rFonts w:ascii="黑体" w:hAnsi="黑体" w:eastAsia="黑体" w:cs="黑体"/>
                <w:kern w:val="0"/>
                <w:szCs w:val="21"/>
              </w:rPr>
              <w:t>0.</w:t>
            </w:r>
            <w:r>
              <w:rPr>
                <w:rFonts w:hint="eastAsia" w:ascii="黑体" w:hAnsi="黑体" w:eastAsia="黑体" w:cs="黑体"/>
                <w:kern w:val="0"/>
                <w:szCs w:val="21"/>
              </w:rPr>
              <w:t>45</w:t>
            </w:r>
            <w:r>
              <w:rPr>
                <w:rFonts w:ascii="黑体" w:hAnsi="黑体" w:eastAsia="黑体" w:cs="黑体"/>
                <w:kern w:val="0"/>
                <w:szCs w:val="21"/>
              </w:rPr>
              <w:t>%</w:t>
            </w:r>
            <w:r>
              <w:rPr>
                <w:rFonts w:hint="eastAsia" w:ascii="黑体" w:hAnsi="黑体" w:eastAsia="黑体" w:cs="黑体"/>
                <w:kern w:val="0"/>
                <w:szCs w:val="21"/>
              </w:rPr>
              <w:t>】、【</w:t>
            </w:r>
            <w:r>
              <w:rPr>
                <w:rFonts w:ascii="黑体" w:hAnsi="黑体" w:eastAsia="黑体" w:cs="黑体"/>
                <w:kern w:val="0"/>
                <w:szCs w:val="21"/>
              </w:rPr>
              <w:t>B份额</w:t>
            </w:r>
            <w:r>
              <w:rPr>
                <w:rFonts w:hint="eastAsia" w:ascii="黑体" w:hAnsi="黑体" w:eastAsia="黑体" w:cs="黑体"/>
                <w:kern w:val="0"/>
                <w:szCs w:val="21"/>
              </w:rPr>
              <w:t>】</w:t>
            </w:r>
            <w:r>
              <w:rPr>
                <w:rFonts w:ascii="黑体" w:hAnsi="黑体" w:eastAsia="黑体" w:cs="黑体"/>
                <w:kern w:val="0"/>
                <w:szCs w:val="21"/>
              </w:rPr>
              <w:t>年化</w:t>
            </w:r>
            <w:r>
              <w:rPr>
                <w:rFonts w:hint="eastAsia" w:ascii="黑体" w:hAnsi="黑体" w:eastAsia="黑体" w:cs="黑体"/>
                <w:kern w:val="0"/>
                <w:szCs w:val="21"/>
              </w:rPr>
              <w:t>费率【</w:t>
            </w:r>
            <w:r>
              <w:rPr>
                <w:rFonts w:ascii="黑体" w:hAnsi="黑体" w:eastAsia="黑体" w:cs="黑体"/>
                <w:kern w:val="0"/>
                <w:szCs w:val="21"/>
              </w:rPr>
              <w:t>0.</w:t>
            </w:r>
            <w:r>
              <w:rPr>
                <w:rFonts w:hint="eastAsia" w:ascii="黑体" w:hAnsi="黑体" w:eastAsia="黑体" w:cs="黑体"/>
                <w:kern w:val="0"/>
                <w:szCs w:val="21"/>
              </w:rPr>
              <w:t>45</w:t>
            </w:r>
            <w:r>
              <w:rPr>
                <w:rFonts w:ascii="黑体" w:hAnsi="黑体" w:eastAsia="黑体" w:cs="黑体"/>
                <w:kern w:val="0"/>
                <w:szCs w:val="21"/>
              </w:rPr>
              <w:t>%</w:t>
            </w:r>
            <w:r>
              <w:rPr>
                <w:rFonts w:hint="eastAsia" w:ascii="黑体" w:hAnsi="黑体" w:eastAsia="黑体" w:cs="黑体"/>
                <w:kern w:val="0"/>
                <w:szCs w:val="21"/>
              </w:rPr>
              <w:t>】、【</w:t>
            </w:r>
            <w:r>
              <w:rPr>
                <w:rFonts w:hint="eastAsia" w:ascii="黑体" w:hAnsi="黑体" w:eastAsia="黑体" w:cs="黑体"/>
                <w:kern w:val="0"/>
                <w:szCs w:val="21"/>
                <w:lang w:val="en-US" w:eastAsia="zh-CN"/>
              </w:rPr>
              <w:t>C</w:t>
            </w:r>
            <w:r>
              <w:rPr>
                <w:rFonts w:hint="eastAsia" w:ascii="黑体" w:hAnsi="黑体" w:eastAsia="黑体" w:cs="黑体"/>
                <w:kern w:val="0"/>
                <w:szCs w:val="21"/>
              </w:rPr>
              <w:t>份额】年化费率【0.45%】、【</w:t>
            </w:r>
            <w:r>
              <w:rPr>
                <w:rFonts w:hint="eastAsia" w:ascii="黑体" w:hAnsi="黑体" w:eastAsia="黑体" w:cs="黑体"/>
                <w:kern w:val="0"/>
                <w:szCs w:val="21"/>
                <w:lang w:val="en-US" w:eastAsia="zh-CN"/>
              </w:rPr>
              <w:t>D</w:t>
            </w:r>
            <w:r>
              <w:rPr>
                <w:rFonts w:hint="eastAsia" w:ascii="黑体" w:hAnsi="黑体" w:eastAsia="黑体" w:cs="黑体"/>
                <w:kern w:val="0"/>
                <w:szCs w:val="21"/>
              </w:rPr>
              <w:t>份额】年化费率【0.45%】、【</w:t>
            </w:r>
            <w:r>
              <w:rPr>
                <w:rFonts w:hint="eastAsia" w:ascii="黑体" w:hAnsi="黑体" w:eastAsia="黑体" w:cs="黑体"/>
                <w:kern w:val="0"/>
                <w:szCs w:val="21"/>
                <w:lang w:val="en-US" w:eastAsia="zh-CN"/>
              </w:rPr>
              <w:t>E</w:t>
            </w:r>
            <w:r>
              <w:rPr>
                <w:rFonts w:hint="eastAsia" w:ascii="黑体" w:hAnsi="黑体" w:eastAsia="黑体" w:cs="黑体"/>
                <w:kern w:val="0"/>
                <w:szCs w:val="21"/>
              </w:rPr>
              <w:t>份额】年化费率【0.45%】、【</w:t>
            </w:r>
            <w:r>
              <w:rPr>
                <w:rFonts w:hint="eastAsia" w:ascii="黑体" w:hAnsi="黑体" w:eastAsia="黑体" w:cs="黑体"/>
                <w:kern w:val="0"/>
                <w:szCs w:val="21"/>
                <w:lang w:val="en-US" w:eastAsia="zh-CN"/>
              </w:rPr>
              <w:t>F</w:t>
            </w:r>
            <w:r>
              <w:rPr>
                <w:rFonts w:hint="eastAsia" w:ascii="黑体" w:hAnsi="黑体" w:eastAsia="黑体" w:cs="黑体"/>
                <w:kern w:val="0"/>
                <w:szCs w:val="21"/>
              </w:rPr>
              <w:t>份额】年化费率【0.45%】、【</w:t>
            </w:r>
            <w:r>
              <w:rPr>
                <w:rFonts w:hint="eastAsia" w:ascii="黑体" w:hAnsi="黑体" w:eastAsia="黑体" w:cs="黑体"/>
                <w:kern w:val="0"/>
                <w:szCs w:val="21"/>
                <w:lang w:val="en-US" w:eastAsia="zh-CN"/>
              </w:rPr>
              <w:t>G</w:t>
            </w:r>
            <w:r>
              <w:rPr>
                <w:rFonts w:hint="eastAsia" w:ascii="黑体" w:hAnsi="黑体" w:eastAsia="黑体" w:cs="黑体"/>
                <w:kern w:val="0"/>
                <w:szCs w:val="21"/>
              </w:rPr>
              <w:t>份额】年化费率【0.45%】、【</w:t>
            </w:r>
            <w:r>
              <w:rPr>
                <w:rFonts w:hint="eastAsia" w:ascii="黑体" w:hAnsi="黑体" w:eastAsia="黑体" w:cs="黑体"/>
                <w:kern w:val="0"/>
                <w:szCs w:val="21"/>
                <w:lang w:val="en-US" w:eastAsia="zh-CN"/>
              </w:rPr>
              <w:t>P</w:t>
            </w:r>
            <w:r>
              <w:rPr>
                <w:rFonts w:hint="eastAsia" w:ascii="黑体" w:hAnsi="黑体" w:eastAsia="黑体" w:cs="黑体"/>
                <w:kern w:val="0"/>
                <w:szCs w:val="21"/>
              </w:rPr>
              <w:t>份额】年化费率【0.45%</w:t>
            </w:r>
            <w:r>
              <w:rPr>
                <w:rFonts w:hint="eastAsia" w:ascii="黑体" w:hAnsi="黑体" w:eastAsia="黑体" w:cs="黑体"/>
                <w:kern w:val="0"/>
                <w:szCs w:val="21"/>
                <w:lang w:eastAsia="zh-CN"/>
              </w:rPr>
              <w:t>】</w:t>
            </w:r>
            <w:r>
              <w:rPr>
                <w:rFonts w:hint="eastAsia" w:ascii="黑体" w:hAnsi="黑体" w:eastAsia="黑体" w:cs="黑体"/>
                <w:kern w:val="0"/>
                <w:szCs w:val="21"/>
              </w:rPr>
              <w:t>、【</w:t>
            </w:r>
            <w:r>
              <w:rPr>
                <w:rFonts w:hint="eastAsia" w:ascii="黑体" w:hAnsi="黑体" w:eastAsia="黑体" w:cs="黑体"/>
                <w:kern w:val="0"/>
                <w:szCs w:val="21"/>
                <w:lang w:val="en-US" w:eastAsia="zh-CN"/>
              </w:rPr>
              <w:t>J</w:t>
            </w:r>
            <w:r>
              <w:rPr>
                <w:rFonts w:hint="eastAsia" w:ascii="黑体" w:hAnsi="黑体" w:eastAsia="黑体" w:cs="黑体"/>
                <w:kern w:val="0"/>
                <w:szCs w:val="21"/>
              </w:rPr>
              <w:t>份额】年化费率【0.45%</w:t>
            </w:r>
            <w:r>
              <w:rPr>
                <w:rFonts w:hint="eastAsia" w:ascii="黑体" w:hAnsi="黑体" w:eastAsia="黑体" w:cs="黑体"/>
                <w:kern w:val="0"/>
                <w:szCs w:val="21"/>
                <w:lang w:eastAsia="zh-CN"/>
              </w:rPr>
              <w:t>】</w:t>
            </w:r>
            <w:r>
              <w:rPr>
                <w:rFonts w:hint="eastAsia" w:ascii="黑体" w:hAnsi="黑体" w:eastAsia="黑体" w:cs="黑体"/>
                <w:kern w:val="0"/>
                <w:szCs w:val="21"/>
              </w:rPr>
              <w:t>；</w:t>
            </w:r>
            <w:r>
              <w:rPr>
                <w:rFonts w:ascii="黑体" w:hAnsi="黑体" w:eastAsia="黑体" w:cs="黑体"/>
                <w:kern w:val="0"/>
                <w:szCs w:val="21"/>
              </w:rPr>
              <w:t xml:space="preserve"> </w:t>
            </w:r>
          </w:p>
          <w:p w14:paraId="618DBCB8">
            <w:pPr>
              <w:autoSpaceDE w:val="0"/>
              <w:autoSpaceDN w:val="0"/>
              <w:adjustRightInd w:val="0"/>
              <w:jc w:val="left"/>
              <w:rPr>
                <w:rFonts w:ascii="黑体" w:hAnsi="黑体" w:eastAsia="黑体" w:cs="黑体"/>
                <w:kern w:val="0"/>
                <w:szCs w:val="21"/>
              </w:rPr>
            </w:pPr>
            <w:r>
              <w:rPr>
                <w:rFonts w:hint="eastAsia" w:ascii="黑体" w:hAnsi="黑体" w:eastAsia="黑体" w:cs="黑体"/>
                <w:kern w:val="0"/>
                <w:szCs w:val="21"/>
              </w:rPr>
              <w:t>3、托管费年化费率【0.01%】；</w:t>
            </w:r>
          </w:p>
          <w:p w14:paraId="613CA18A">
            <w:pPr>
              <w:autoSpaceDE w:val="0"/>
              <w:autoSpaceDN w:val="0"/>
              <w:adjustRightInd w:val="0"/>
              <w:jc w:val="left"/>
              <w:rPr>
                <w:rFonts w:ascii="黑体" w:hAnsi="黑体" w:eastAsia="黑体" w:cs="黑体"/>
                <w:kern w:val="0"/>
                <w:szCs w:val="21"/>
              </w:rPr>
            </w:pPr>
            <w:r>
              <w:rPr>
                <w:rFonts w:hint="eastAsia" w:ascii="黑体" w:hAnsi="黑体" w:eastAsia="黑体" w:cs="黑体"/>
                <w:kern w:val="0"/>
                <w:szCs w:val="21"/>
              </w:rPr>
              <w:t>4、浮动管理费：</w:t>
            </w:r>
          </w:p>
          <w:p w14:paraId="717557CA">
            <w:pPr>
              <w:autoSpaceDE w:val="0"/>
              <w:autoSpaceDN w:val="0"/>
              <w:adjustRightInd w:val="0"/>
              <w:jc w:val="left"/>
              <w:rPr>
                <w:rFonts w:ascii="黑体" w:hAnsi="黑体" w:eastAsia="黑体" w:cs="黑体"/>
                <w:kern w:val="0"/>
                <w:szCs w:val="21"/>
              </w:rPr>
            </w:pPr>
            <w:r>
              <w:rPr>
                <w:rFonts w:hint="eastAsia" w:ascii="黑体" w:hAnsi="黑体" w:eastAsia="黑体" w:cs="黑体"/>
                <w:kern w:val="0"/>
                <w:szCs w:val="21"/>
              </w:rPr>
              <w:t>投资者赎回份额对应的持有区间的折合年化收益率【A份额超过3.50%】、【B份额超过3.50%】、【</w:t>
            </w:r>
            <w:r>
              <w:rPr>
                <w:rFonts w:hint="eastAsia" w:ascii="黑体" w:hAnsi="黑体" w:eastAsia="黑体" w:cs="黑体"/>
                <w:kern w:val="0"/>
                <w:szCs w:val="21"/>
                <w:lang w:val="en-US" w:eastAsia="zh-CN"/>
              </w:rPr>
              <w:t>C</w:t>
            </w:r>
            <w:r>
              <w:rPr>
                <w:rFonts w:hint="eastAsia" w:ascii="黑体" w:hAnsi="黑体" w:eastAsia="黑体" w:cs="黑体"/>
                <w:kern w:val="0"/>
                <w:szCs w:val="21"/>
              </w:rPr>
              <w:t>份额超过3.50%】、【</w:t>
            </w:r>
            <w:r>
              <w:rPr>
                <w:rFonts w:hint="eastAsia" w:ascii="黑体" w:hAnsi="黑体" w:eastAsia="黑体" w:cs="黑体"/>
                <w:kern w:val="0"/>
                <w:szCs w:val="21"/>
                <w:lang w:val="en-US" w:eastAsia="zh-CN"/>
              </w:rPr>
              <w:t>D</w:t>
            </w:r>
            <w:r>
              <w:rPr>
                <w:rFonts w:hint="eastAsia" w:ascii="黑体" w:hAnsi="黑体" w:eastAsia="黑体" w:cs="黑体"/>
                <w:kern w:val="0"/>
                <w:szCs w:val="21"/>
              </w:rPr>
              <w:t>份额超过3.50%】、【</w:t>
            </w:r>
            <w:r>
              <w:rPr>
                <w:rFonts w:hint="eastAsia" w:ascii="黑体" w:hAnsi="黑体" w:eastAsia="黑体" w:cs="黑体"/>
                <w:kern w:val="0"/>
                <w:szCs w:val="21"/>
                <w:lang w:val="en-US" w:eastAsia="zh-CN"/>
              </w:rPr>
              <w:t>E</w:t>
            </w:r>
            <w:r>
              <w:rPr>
                <w:rFonts w:hint="eastAsia" w:ascii="黑体" w:hAnsi="黑体" w:eastAsia="黑体" w:cs="黑体"/>
                <w:kern w:val="0"/>
                <w:szCs w:val="21"/>
              </w:rPr>
              <w:t>份额超过3.50%】、【</w:t>
            </w:r>
            <w:r>
              <w:rPr>
                <w:rFonts w:hint="eastAsia" w:ascii="黑体" w:hAnsi="黑体" w:eastAsia="黑体" w:cs="黑体"/>
                <w:kern w:val="0"/>
                <w:szCs w:val="21"/>
                <w:lang w:val="en-US" w:eastAsia="zh-CN"/>
              </w:rPr>
              <w:t>F</w:t>
            </w:r>
            <w:r>
              <w:rPr>
                <w:rFonts w:hint="eastAsia" w:ascii="黑体" w:hAnsi="黑体" w:eastAsia="黑体" w:cs="黑体"/>
                <w:kern w:val="0"/>
                <w:szCs w:val="21"/>
              </w:rPr>
              <w:t>份额超过3.50%】、【</w:t>
            </w:r>
            <w:r>
              <w:rPr>
                <w:rFonts w:hint="eastAsia" w:ascii="黑体" w:hAnsi="黑体" w:eastAsia="黑体" w:cs="黑体"/>
                <w:kern w:val="0"/>
                <w:szCs w:val="21"/>
                <w:lang w:val="en-US" w:eastAsia="zh-CN"/>
              </w:rPr>
              <w:t>G</w:t>
            </w:r>
            <w:r>
              <w:rPr>
                <w:rFonts w:hint="eastAsia" w:ascii="黑体" w:hAnsi="黑体" w:eastAsia="黑体" w:cs="黑体"/>
                <w:kern w:val="0"/>
                <w:szCs w:val="21"/>
              </w:rPr>
              <w:t>份额超过3.50%】、【</w:t>
            </w:r>
            <w:r>
              <w:rPr>
                <w:rFonts w:hint="eastAsia" w:ascii="黑体" w:hAnsi="黑体" w:eastAsia="黑体" w:cs="黑体"/>
                <w:kern w:val="0"/>
                <w:szCs w:val="21"/>
                <w:lang w:val="en-US" w:eastAsia="zh-CN"/>
              </w:rPr>
              <w:t>P</w:t>
            </w:r>
            <w:r>
              <w:rPr>
                <w:rFonts w:hint="eastAsia" w:ascii="黑体" w:hAnsi="黑体" w:eastAsia="黑体" w:cs="黑体"/>
                <w:kern w:val="0"/>
                <w:szCs w:val="21"/>
              </w:rPr>
              <w:t>份额超过3.50%】、【</w:t>
            </w:r>
            <w:r>
              <w:rPr>
                <w:rFonts w:hint="eastAsia" w:ascii="黑体" w:hAnsi="黑体" w:eastAsia="黑体" w:cs="黑体"/>
                <w:kern w:val="0"/>
                <w:szCs w:val="21"/>
                <w:lang w:val="en-US" w:eastAsia="zh-CN"/>
              </w:rPr>
              <w:t>J</w:t>
            </w:r>
            <w:r>
              <w:rPr>
                <w:rFonts w:hint="eastAsia" w:ascii="黑体" w:hAnsi="黑体" w:eastAsia="黑体" w:cs="黑体"/>
                <w:kern w:val="0"/>
                <w:szCs w:val="21"/>
              </w:rPr>
              <w:t>份额超过3.50%】的部分，管理人按照【55%】的比例收取浮动管理费。</w:t>
            </w:r>
          </w:p>
          <w:p w14:paraId="2B264A3C">
            <w:pPr>
              <w:widowControl/>
              <w:rPr>
                <w:rFonts w:ascii="黑体" w:hAnsi="黑体" w:eastAsia="黑体" w:cs="黑体"/>
                <w:b/>
                <w:kern w:val="0"/>
                <w:szCs w:val="21"/>
              </w:rPr>
            </w:pPr>
            <w:r>
              <w:rPr>
                <w:rFonts w:hint="eastAsia" w:ascii="黑体" w:hAnsi="黑体" w:eastAsia="黑体" w:cs="黑体"/>
                <w:b/>
                <w:kern w:val="0"/>
                <w:szCs w:val="21"/>
              </w:rPr>
              <w:t>详见</w:t>
            </w:r>
            <w:r>
              <w:rPr>
                <w:rFonts w:ascii="黑体" w:hAnsi="黑体" w:eastAsia="黑体" w:cs="黑体"/>
                <w:b/>
                <w:kern w:val="0"/>
                <w:szCs w:val="21"/>
              </w:rPr>
              <w:t>本说明书第</w:t>
            </w:r>
            <w:r>
              <w:rPr>
                <w:rFonts w:hint="eastAsia" w:ascii="黑体" w:hAnsi="黑体" w:eastAsia="黑体" w:cs="黑体"/>
                <w:b/>
                <w:kern w:val="0"/>
                <w:szCs w:val="21"/>
              </w:rPr>
              <w:t>六</w:t>
            </w:r>
            <w:r>
              <w:rPr>
                <w:rFonts w:ascii="黑体" w:hAnsi="黑体" w:eastAsia="黑体" w:cs="黑体"/>
                <w:b/>
                <w:kern w:val="0"/>
                <w:szCs w:val="21"/>
              </w:rPr>
              <w:t>部分</w:t>
            </w:r>
            <w:r>
              <w:rPr>
                <w:rFonts w:hint="eastAsia" w:ascii="黑体" w:hAnsi="黑体" w:eastAsia="黑体" w:cs="黑体"/>
                <w:b/>
                <w:kern w:val="0"/>
                <w:szCs w:val="21"/>
              </w:rPr>
              <w:t>产品费用、收益及税收说明</w:t>
            </w:r>
            <w:r>
              <w:rPr>
                <w:rFonts w:ascii="黑体" w:hAnsi="黑体" w:eastAsia="黑体" w:cs="黑体"/>
                <w:b/>
                <w:kern w:val="0"/>
                <w:szCs w:val="21"/>
              </w:rPr>
              <w:t>。</w:t>
            </w:r>
          </w:p>
        </w:tc>
      </w:tr>
      <w:tr w14:paraId="3804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055502DD">
            <w:pPr>
              <w:autoSpaceDE w:val="0"/>
              <w:autoSpaceDN w:val="0"/>
              <w:adjustRightInd w:val="0"/>
              <w:rPr>
                <w:rFonts w:ascii="黑体" w:hAnsi="黑体" w:eastAsia="黑体" w:cs="黑体"/>
                <w:kern w:val="0"/>
                <w:szCs w:val="21"/>
              </w:rPr>
            </w:pPr>
            <w:r>
              <w:rPr>
                <w:rFonts w:hint="eastAsia" w:ascii="黑体" w:hAnsi="黑体" w:eastAsia="黑体" w:cs="黑体"/>
                <w:kern w:val="0"/>
                <w:szCs w:val="21"/>
              </w:rPr>
              <w:t>其他</w:t>
            </w:r>
          </w:p>
        </w:tc>
        <w:tc>
          <w:tcPr>
            <w:tcW w:w="6458" w:type="dxa"/>
          </w:tcPr>
          <w:p w14:paraId="24BB3D6E">
            <w:pPr>
              <w:rPr>
                <w:rFonts w:ascii="黑体" w:hAnsi="黑体" w:eastAsia="黑体" w:cs="黑体"/>
                <w:kern w:val="0"/>
                <w:szCs w:val="21"/>
              </w:rPr>
            </w:pPr>
            <w:r>
              <w:rPr>
                <w:rFonts w:ascii="黑体" w:hAnsi="黑体" w:eastAsia="黑体" w:cs="黑体"/>
                <w:kern w:val="0"/>
                <w:szCs w:val="21"/>
              </w:rPr>
              <w:t>1、</w:t>
            </w:r>
            <w:r>
              <w:rPr>
                <w:rFonts w:hint="eastAsia" w:ascii="黑体" w:hAnsi="黑体" w:eastAsia="黑体" w:cs="黑体"/>
                <w:b/>
                <w:kern w:val="0"/>
                <w:szCs w:val="21"/>
              </w:rPr>
              <w:t>在</w:t>
            </w:r>
            <w:r>
              <w:rPr>
                <w:rFonts w:ascii="黑体" w:hAnsi="黑体" w:eastAsia="黑体" w:cs="黑体"/>
                <w:b/>
                <w:kern w:val="0"/>
                <w:szCs w:val="21"/>
              </w:rPr>
              <w:t>本</w:t>
            </w:r>
            <w:r>
              <w:rPr>
                <w:rFonts w:hint="eastAsia" w:ascii="黑体" w:hAnsi="黑体" w:eastAsia="黑体" w:cs="黑体"/>
                <w:b/>
                <w:kern w:val="0"/>
                <w:szCs w:val="21"/>
              </w:rPr>
              <w:t>产品存续期内，产品</w:t>
            </w:r>
            <w:r>
              <w:rPr>
                <w:rFonts w:ascii="黑体" w:hAnsi="黑体" w:eastAsia="黑体" w:cs="黑体"/>
                <w:b/>
                <w:kern w:val="0"/>
                <w:szCs w:val="21"/>
              </w:rPr>
              <w:t>管理人</w:t>
            </w:r>
            <w:r>
              <w:rPr>
                <w:rFonts w:hint="eastAsia" w:ascii="黑体" w:hAnsi="黑体" w:eastAsia="黑体" w:cs="黑体"/>
                <w:b/>
                <w:kern w:val="0"/>
                <w:szCs w:val="21"/>
              </w:rPr>
              <w:t>有权根据市场情况调整本产品前述产品要素，调整前将进行相关信息披露。</w:t>
            </w:r>
          </w:p>
          <w:p w14:paraId="141D5E1C">
            <w:pPr>
              <w:rPr>
                <w:rFonts w:ascii="黑体" w:hAnsi="黑体" w:eastAsia="黑体" w:cs="黑体"/>
                <w:kern w:val="0"/>
                <w:szCs w:val="21"/>
              </w:rPr>
            </w:pPr>
            <w:r>
              <w:rPr>
                <w:rFonts w:ascii="黑体" w:hAnsi="黑体" w:eastAsia="黑体" w:cs="黑体"/>
                <w:kern w:val="0"/>
                <w:szCs w:val="21"/>
              </w:rPr>
              <w:t>2</w:t>
            </w:r>
            <w:r>
              <w:rPr>
                <w:rFonts w:hint="eastAsia" w:ascii="黑体" w:hAnsi="黑体" w:eastAsia="黑体" w:cs="黑体"/>
                <w:kern w:val="0"/>
                <w:szCs w:val="21"/>
              </w:rPr>
              <w:t>、产品成立日和到期日如遇非工作日，则顺延至下一工作日。</w:t>
            </w:r>
          </w:p>
          <w:p w14:paraId="4E5EA058">
            <w:pPr>
              <w:rPr>
                <w:rFonts w:ascii="黑体" w:hAnsi="黑体" w:eastAsia="黑体" w:cs="黑体"/>
                <w:kern w:val="0"/>
                <w:szCs w:val="21"/>
              </w:rPr>
            </w:pPr>
            <w:r>
              <w:rPr>
                <w:rFonts w:ascii="黑体" w:hAnsi="黑体" w:eastAsia="黑体" w:cs="黑体"/>
                <w:kern w:val="0"/>
                <w:szCs w:val="21"/>
              </w:rPr>
              <w:t>3、</w:t>
            </w:r>
            <w:r>
              <w:rPr>
                <w:rFonts w:hint="eastAsia" w:ascii="黑体" w:hAnsi="黑体" w:eastAsia="黑体" w:cs="黑体"/>
                <w:szCs w:val="21"/>
              </w:rPr>
              <w:t>本产品说明书中的工作日指上海证券交易所、深圳证券交易所及全国银行间债券市场同时开放交易的工作日。</w:t>
            </w:r>
          </w:p>
          <w:p w14:paraId="295B8B8A">
            <w:pPr>
              <w:rPr>
                <w:rFonts w:ascii="黑体" w:hAnsi="黑体" w:eastAsia="黑体" w:cs="黑体"/>
                <w:kern w:val="0"/>
                <w:szCs w:val="21"/>
              </w:rPr>
            </w:pPr>
            <w:r>
              <w:rPr>
                <w:rFonts w:ascii="黑体" w:hAnsi="黑体" w:eastAsia="黑体" w:cs="黑体"/>
                <w:kern w:val="0"/>
                <w:szCs w:val="21"/>
              </w:rPr>
              <w:t>4</w:t>
            </w:r>
            <w:r>
              <w:rPr>
                <w:rFonts w:hint="eastAsia" w:ascii="黑体" w:hAnsi="黑体" w:eastAsia="黑体" w:cs="黑体"/>
                <w:kern w:val="0"/>
                <w:szCs w:val="21"/>
              </w:rPr>
              <w:t>、其他：无</w:t>
            </w:r>
          </w:p>
        </w:tc>
      </w:tr>
    </w:tbl>
    <w:p w14:paraId="62B992EB">
      <w:pPr>
        <w:autoSpaceDE w:val="0"/>
        <w:autoSpaceDN w:val="0"/>
        <w:adjustRightInd w:val="0"/>
        <w:jc w:val="left"/>
        <w:rPr>
          <w:rFonts w:ascii="黑体" w:hAnsi="黑体" w:eastAsia="黑体" w:cs="黑体"/>
          <w:b/>
          <w:kern w:val="0"/>
          <w:szCs w:val="21"/>
        </w:rPr>
      </w:pPr>
    </w:p>
    <w:p w14:paraId="2F8E024F">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三、产品投资管理</w:t>
      </w:r>
    </w:p>
    <w:p w14:paraId="19B0C451">
      <w:pPr>
        <w:autoSpaceDE w:val="0"/>
        <w:autoSpaceDN w:val="0"/>
        <w:adjustRightInd w:val="0"/>
        <w:jc w:val="left"/>
        <w:rPr>
          <w:rFonts w:ascii="黑体" w:hAnsi="黑体" w:eastAsia="黑体" w:cs="黑体"/>
          <w:bCs/>
          <w:kern w:val="0"/>
          <w:szCs w:val="21"/>
        </w:rPr>
      </w:pPr>
      <w:r>
        <w:rPr>
          <w:rFonts w:hint="eastAsia" w:ascii="黑体" w:hAnsi="黑体" w:eastAsia="黑体" w:cs="黑体"/>
          <w:bCs/>
          <w:kern w:val="0"/>
          <w:szCs w:val="21"/>
        </w:rPr>
        <w:t>（一</w:t>
      </w:r>
      <w:r>
        <w:rPr>
          <w:rFonts w:ascii="黑体" w:hAnsi="黑体" w:eastAsia="黑体" w:cs="黑体"/>
          <w:bCs/>
          <w:kern w:val="0"/>
          <w:szCs w:val="21"/>
        </w:rPr>
        <w:t>）</w:t>
      </w:r>
      <w:r>
        <w:rPr>
          <w:rFonts w:hint="eastAsia" w:ascii="黑体" w:hAnsi="黑体" w:eastAsia="黑体" w:cs="黑体"/>
          <w:bCs/>
          <w:kern w:val="0"/>
          <w:szCs w:val="21"/>
        </w:rPr>
        <w:t>投资范围</w:t>
      </w:r>
    </w:p>
    <w:p w14:paraId="4B40EF2C">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本产品主要投资于以下符合监管要求的各类资产：</w:t>
      </w:r>
    </w:p>
    <w:p w14:paraId="1084A8D3">
      <w:pPr>
        <w:autoSpaceDE w:val="0"/>
        <w:autoSpaceDN w:val="0"/>
        <w:adjustRightInd w:val="0"/>
        <w:ind w:firstLine="420" w:firstLineChars="200"/>
        <w:jc w:val="left"/>
        <w:rPr>
          <w:rFonts w:ascii="黑体" w:hAnsi="黑体" w:eastAsia="黑体" w:cs="黑体"/>
          <w:kern w:val="0"/>
          <w:szCs w:val="21"/>
          <w:highlight w:val="none"/>
        </w:rPr>
      </w:pPr>
      <w:r>
        <w:rPr>
          <w:rFonts w:hint="eastAsia" w:ascii="黑体" w:hAnsi="黑体" w:eastAsia="黑体" w:cs="黑体"/>
          <w:kern w:val="0"/>
          <w:szCs w:val="21"/>
          <w:highlight w:val="none"/>
        </w:rPr>
        <w:t>一是固定收益类资产，包括但不限于各类债券、存款、货币市场工具、质押式和买断式债券逆回购、公募资产管理产品等；二是权益类资产，包括但不限于股票、ETF、公募资产管理产品等，其中刨除优先股外权益净敞口不超过5%；三是商品及衍生品类资产（本产品配置商品及金融衍生品类资产以对冲市场风险和追踪价格趋势为主要目的，根据风险管理原则，本产品本着谨慎原则参与商品及金融衍生品类资产的投资），包括但不限于大宗商品（如商品型基金等）、金融衍生工具（如期货、场外期权、收益互换等）等。以及通过其他具有专业投资能力和资质的受金融监督管理部门监管的机构发行的资产管理产品所投资的前述资产。</w:t>
      </w:r>
    </w:p>
    <w:p w14:paraId="20664649">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当金融市场发生重大变化、产品出现较大比例规模变化等情况，导致投资比例非因管理人主观因素导致突破下述限制的，产品管理人将在流动性受限资产可出售、可转让或者恢复交易之日的15个交易日内将投资比例调整至符合要求。产品管理人将本着诚实信用、谨慎勤勉的原则，在规定的范围内运用理财资金进行投资。</w:t>
      </w:r>
    </w:p>
    <w:p w14:paraId="0A16C3D1">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具体投向如下：</w:t>
      </w:r>
    </w:p>
    <w:tbl>
      <w:tblPr>
        <w:tblStyle w:val="7"/>
        <w:tblW w:w="43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9"/>
        <w:gridCol w:w="2128"/>
      </w:tblGrid>
      <w:tr w14:paraId="193E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0" w:type="pct"/>
          </w:tcPr>
          <w:p w14:paraId="2662DDD4">
            <w:pPr>
              <w:ind w:firstLine="420" w:firstLineChars="200"/>
              <w:rPr>
                <w:rFonts w:ascii="黑体" w:hAnsi="黑体" w:eastAsia="黑体"/>
                <w:szCs w:val="21"/>
              </w:rPr>
            </w:pPr>
            <w:r>
              <w:rPr>
                <w:rFonts w:hint="eastAsia" w:ascii="黑体" w:hAnsi="黑体" w:eastAsia="黑体"/>
                <w:szCs w:val="21"/>
              </w:rPr>
              <w:t>投资资产</w:t>
            </w:r>
          </w:p>
        </w:tc>
        <w:tc>
          <w:tcPr>
            <w:tcW w:w="1450" w:type="pct"/>
          </w:tcPr>
          <w:p w14:paraId="39E4CAA2">
            <w:pPr>
              <w:rPr>
                <w:rFonts w:ascii="黑体" w:hAnsi="黑体" w:eastAsia="黑体"/>
                <w:szCs w:val="21"/>
              </w:rPr>
            </w:pPr>
            <w:r>
              <w:rPr>
                <w:rFonts w:hint="eastAsia" w:ascii="黑体" w:hAnsi="黑体" w:eastAsia="黑体"/>
                <w:szCs w:val="21"/>
              </w:rPr>
              <w:t>计划配置比例</w:t>
            </w:r>
          </w:p>
        </w:tc>
      </w:tr>
      <w:tr w14:paraId="3B18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0" w:type="pct"/>
            <w:tcBorders>
              <w:top w:val="single" w:color="auto" w:sz="4" w:space="0"/>
              <w:left w:val="single" w:color="auto" w:sz="4" w:space="0"/>
              <w:bottom w:val="single" w:color="auto" w:sz="4" w:space="0"/>
              <w:right w:val="single" w:color="auto" w:sz="4" w:space="0"/>
            </w:tcBorders>
            <w:vAlign w:val="bottom"/>
          </w:tcPr>
          <w:p w14:paraId="1C3DA1CD">
            <w:pPr>
              <w:ind w:firstLine="420" w:firstLineChars="200"/>
              <w:rPr>
                <w:rFonts w:ascii="黑体" w:hAnsi="黑体" w:eastAsia="黑体"/>
                <w:szCs w:val="21"/>
              </w:rPr>
            </w:pPr>
            <w:r>
              <w:rPr>
                <w:rFonts w:hint="eastAsia" w:ascii="黑体" w:hAnsi="黑体" w:eastAsia="黑体"/>
                <w:szCs w:val="21"/>
              </w:rPr>
              <w:t>固定收益类资产</w:t>
            </w:r>
          </w:p>
        </w:tc>
        <w:tc>
          <w:tcPr>
            <w:tcW w:w="1450" w:type="pct"/>
            <w:tcBorders>
              <w:top w:val="single" w:color="auto" w:sz="4" w:space="0"/>
              <w:left w:val="single" w:color="auto" w:sz="4" w:space="0"/>
              <w:bottom w:val="single" w:color="auto" w:sz="4" w:space="0"/>
              <w:right w:val="single" w:color="auto" w:sz="4" w:space="0"/>
            </w:tcBorders>
          </w:tcPr>
          <w:p w14:paraId="037503A0">
            <w:pPr>
              <w:ind w:firstLine="420" w:firstLineChars="200"/>
              <w:rPr>
                <w:rFonts w:ascii="黑体" w:hAnsi="黑体" w:eastAsia="黑体"/>
                <w:szCs w:val="21"/>
              </w:rPr>
            </w:pPr>
            <w:r>
              <w:rPr>
                <w:rFonts w:ascii="黑体" w:hAnsi="黑体" w:eastAsia="黑体"/>
                <w:szCs w:val="21"/>
              </w:rPr>
              <w:t>80%-100%</w:t>
            </w:r>
          </w:p>
        </w:tc>
      </w:tr>
      <w:tr w14:paraId="140B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0" w:type="pct"/>
            <w:tcBorders>
              <w:top w:val="single" w:color="auto" w:sz="4" w:space="0"/>
              <w:left w:val="single" w:color="auto" w:sz="4" w:space="0"/>
              <w:bottom w:val="single" w:color="auto" w:sz="4" w:space="0"/>
              <w:right w:val="single" w:color="auto" w:sz="4" w:space="0"/>
            </w:tcBorders>
            <w:vAlign w:val="bottom"/>
          </w:tcPr>
          <w:p w14:paraId="42D31BBE">
            <w:pPr>
              <w:ind w:firstLine="420" w:firstLineChars="200"/>
              <w:rPr>
                <w:rFonts w:ascii="黑体" w:hAnsi="黑体" w:eastAsia="黑体"/>
                <w:szCs w:val="21"/>
              </w:rPr>
            </w:pPr>
            <w:r>
              <w:rPr>
                <w:rFonts w:hint="eastAsia" w:ascii="黑体" w:hAnsi="黑体" w:eastAsia="黑体"/>
                <w:szCs w:val="21"/>
              </w:rPr>
              <w:t>权益类资产</w:t>
            </w:r>
          </w:p>
        </w:tc>
        <w:tc>
          <w:tcPr>
            <w:tcW w:w="1450" w:type="pct"/>
            <w:tcBorders>
              <w:top w:val="single" w:color="auto" w:sz="4" w:space="0"/>
              <w:left w:val="single" w:color="auto" w:sz="4" w:space="0"/>
              <w:bottom w:val="single" w:color="auto" w:sz="4" w:space="0"/>
              <w:right w:val="single" w:color="auto" w:sz="4" w:space="0"/>
            </w:tcBorders>
          </w:tcPr>
          <w:p w14:paraId="37DC2888">
            <w:pPr>
              <w:ind w:firstLine="420" w:firstLineChars="200"/>
              <w:rPr>
                <w:rFonts w:ascii="黑体" w:hAnsi="黑体" w:eastAsia="黑体"/>
                <w:szCs w:val="21"/>
              </w:rPr>
            </w:pPr>
            <w:r>
              <w:rPr>
                <w:rFonts w:ascii="黑体" w:hAnsi="黑体" w:eastAsia="黑体"/>
                <w:szCs w:val="21"/>
              </w:rPr>
              <w:t>0%-20%</w:t>
            </w:r>
          </w:p>
        </w:tc>
      </w:tr>
      <w:tr w14:paraId="7CB6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0" w:type="pct"/>
            <w:tcBorders>
              <w:top w:val="single" w:color="auto" w:sz="4" w:space="0"/>
              <w:left w:val="single" w:color="auto" w:sz="4" w:space="0"/>
              <w:bottom w:val="single" w:color="auto" w:sz="4" w:space="0"/>
              <w:right w:val="single" w:color="auto" w:sz="4" w:space="0"/>
            </w:tcBorders>
            <w:vAlign w:val="bottom"/>
          </w:tcPr>
          <w:p w14:paraId="22091CAA">
            <w:pPr>
              <w:ind w:firstLine="420" w:firstLineChars="200"/>
              <w:rPr>
                <w:rFonts w:ascii="黑体" w:hAnsi="黑体" w:eastAsia="黑体"/>
                <w:szCs w:val="21"/>
              </w:rPr>
            </w:pPr>
            <w:r>
              <w:rPr>
                <w:rFonts w:hint="eastAsia" w:ascii="黑体" w:hAnsi="黑体" w:eastAsia="黑体"/>
                <w:szCs w:val="21"/>
              </w:rPr>
              <w:t>商品及金融衍生品类资产</w:t>
            </w:r>
          </w:p>
        </w:tc>
        <w:tc>
          <w:tcPr>
            <w:tcW w:w="1450" w:type="pct"/>
            <w:tcBorders>
              <w:top w:val="single" w:color="auto" w:sz="4" w:space="0"/>
              <w:left w:val="single" w:color="auto" w:sz="4" w:space="0"/>
              <w:bottom w:val="single" w:color="auto" w:sz="4" w:space="0"/>
              <w:right w:val="single" w:color="auto" w:sz="4" w:space="0"/>
            </w:tcBorders>
          </w:tcPr>
          <w:p w14:paraId="529D6EF6">
            <w:pPr>
              <w:ind w:firstLine="420" w:firstLineChars="200"/>
              <w:rPr>
                <w:rFonts w:ascii="黑体" w:hAnsi="黑体" w:eastAsia="黑体"/>
                <w:szCs w:val="21"/>
              </w:rPr>
            </w:pPr>
            <w:r>
              <w:rPr>
                <w:rFonts w:ascii="黑体" w:hAnsi="黑体" w:eastAsia="黑体"/>
                <w:szCs w:val="21"/>
              </w:rPr>
              <w:t>0%-20%</w:t>
            </w:r>
          </w:p>
        </w:tc>
      </w:tr>
    </w:tbl>
    <w:p w14:paraId="6A0F32B9">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1、</w:t>
      </w:r>
      <w:r>
        <w:rPr>
          <w:rFonts w:hint="eastAsia" w:ascii="黑体" w:hAnsi="黑体" w:eastAsia="黑体"/>
          <w:szCs w:val="21"/>
        </w:rPr>
        <w:t>本产品可以通过质押式和买断式债券正回购进行融资。</w:t>
      </w:r>
      <w:r>
        <w:rPr>
          <w:rFonts w:hint="eastAsia" w:ascii="黑体" w:hAnsi="黑体" w:eastAsia="黑体" w:cs="黑体"/>
          <w:kern w:val="0"/>
          <w:szCs w:val="21"/>
        </w:rPr>
        <w:t>本产品</w:t>
      </w:r>
      <w:r>
        <w:rPr>
          <w:rFonts w:ascii="黑体" w:hAnsi="黑体" w:eastAsia="黑体" w:cs="黑体"/>
          <w:kern w:val="0"/>
          <w:szCs w:val="21"/>
        </w:rPr>
        <w:t>的</w:t>
      </w:r>
      <w:r>
        <w:rPr>
          <w:rFonts w:hint="eastAsia" w:ascii="黑体" w:hAnsi="黑体" w:eastAsia="黑体" w:cs="黑体"/>
          <w:kern w:val="0"/>
          <w:szCs w:val="21"/>
        </w:rPr>
        <w:t>杠杆率</w:t>
      </w:r>
      <w:r>
        <w:rPr>
          <w:rFonts w:ascii="黑体" w:hAnsi="黑体" w:eastAsia="黑体" w:cs="黑体"/>
          <w:kern w:val="0"/>
          <w:szCs w:val="21"/>
        </w:rPr>
        <w:t>不超过140%</w:t>
      </w:r>
      <w:r>
        <w:rPr>
          <w:rFonts w:hint="eastAsia" w:ascii="黑体" w:hAnsi="黑体" w:eastAsia="黑体" w:cs="黑体"/>
          <w:kern w:val="0"/>
          <w:szCs w:val="21"/>
        </w:rPr>
        <w:t>。</w:t>
      </w:r>
    </w:p>
    <w:p w14:paraId="6419D52C">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2、本产品存续期间的投资比例将按上述计划配置比例合理浮动，非因主观因素导致突</w:t>
      </w:r>
      <w:r>
        <w:rPr>
          <w:rFonts w:hint="eastAsia" w:ascii="黑体" w:hAnsi="黑体" w:eastAsia="黑体" w:cs="黑体"/>
          <w:kern w:val="0"/>
          <w:szCs w:val="21"/>
        </w:rPr>
        <w:t>破上述比例限制的，产品管理人将在流动性受限资产可出售、可转让或者恢复交易之日的</w:t>
      </w:r>
      <w:r>
        <w:rPr>
          <w:rFonts w:ascii="黑体" w:hAnsi="黑体" w:eastAsia="黑体" w:cs="黑体"/>
          <w:kern w:val="0"/>
          <w:szCs w:val="21"/>
        </w:rPr>
        <w:t>15个</w:t>
      </w:r>
      <w:r>
        <w:rPr>
          <w:rFonts w:hint="eastAsia" w:ascii="黑体" w:hAnsi="黑体" w:eastAsia="黑体" w:cs="黑体"/>
          <w:kern w:val="0"/>
          <w:szCs w:val="21"/>
        </w:rPr>
        <w:t>交易日内</w:t>
      </w:r>
      <w:r>
        <w:rPr>
          <w:rFonts w:ascii="黑体" w:hAnsi="黑体" w:eastAsia="黑体" w:cs="黑体"/>
          <w:kern w:val="0"/>
          <w:szCs w:val="21"/>
        </w:rPr>
        <w:t>将投资比例调整至符合要求</w:t>
      </w:r>
      <w:r>
        <w:rPr>
          <w:rFonts w:hint="eastAsia" w:ascii="黑体" w:hAnsi="黑体" w:eastAsia="黑体" w:cs="黑体"/>
          <w:kern w:val="0"/>
          <w:szCs w:val="21"/>
        </w:rPr>
        <w:t>，国务院银行业监督管理机构规定的特殊情形除外。</w:t>
      </w:r>
    </w:p>
    <w:p w14:paraId="64B488CA">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3、在本产品存续期内，前述投资比例暂时超出浮动区间且可能对产品单位净值产生重大影响的，产品管理人将根据</w:t>
      </w:r>
      <w:r>
        <w:rPr>
          <w:rFonts w:hint="eastAsia" w:ascii="黑体" w:hAnsi="黑体" w:eastAsia="黑体" w:cs="黑体"/>
          <w:kern w:val="0"/>
          <w:szCs w:val="21"/>
        </w:rPr>
        <w:t>理财产品销售文件约定向投资者进行信息披露。</w:t>
      </w:r>
    </w:p>
    <w:p w14:paraId="28FC1D04">
      <w:pPr>
        <w:autoSpaceDE w:val="0"/>
        <w:autoSpaceDN w:val="0"/>
        <w:adjustRightInd w:val="0"/>
        <w:ind w:firstLine="422" w:firstLineChars="200"/>
        <w:jc w:val="left"/>
        <w:rPr>
          <w:rFonts w:ascii="黑体" w:hAnsi="黑体" w:eastAsia="黑体" w:cs="黑体"/>
          <w:b/>
          <w:kern w:val="0"/>
          <w:szCs w:val="21"/>
        </w:rPr>
      </w:pPr>
      <w:r>
        <w:rPr>
          <w:rFonts w:ascii="黑体" w:hAnsi="黑体" w:eastAsia="黑体" w:cs="黑体"/>
          <w:b/>
          <w:kern w:val="0"/>
          <w:szCs w:val="21"/>
        </w:rPr>
        <w:t>4、</w:t>
      </w:r>
      <w:r>
        <w:rPr>
          <w:rFonts w:hint="eastAsia" w:ascii="黑体" w:hAnsi="黑体" w:eastAsia="黑体" w:cs="黑体"/>
          <w:b/>
          <w:kern w:val="0"/>
          <w:szCs w:val="21"/>
        </w:rPr>
        <w:t>产品</w:t>
      </w:r>
      <w:r>
        <w:rPr>
          <w:rFonts w:ascii="黑体" w:hAnsi="黑体" w:eastAsia="黑体" w:cs="黑体"/>
          <w:b/>
          <w:kern w:val="0"/>
          <w:szCs w:val="21"/>
        </w:rPr>
        <w:t>管理人</w:t>
      </w:r>
      <w:r>
        <w:rPr>
          <w:rFonts w:hint="eastAsia" w:ascii="黑体" w:hAnsi="黑体" w:eastAsia="黑体" w:cs="黑体"/>
          <w:b/>
          <w:kern w:val="0"/>
          <w:szCs w:val="21"/>
        </w:rPr>
        <w:t>有权对投资范围、投资品种或投资比例进行调整，若发生调整情况，将提前至少</w:t>
      </w:r>
      <w:r>
        <w:rPr>
          <w:rFonts w:ascii="黑体" w:hAnsi="黑体" w:eastAsia="黑体" w:cs="黑体"/>
          <w:b/>
          <w:kern w:val="0"/>
          <w:szCs w:val="21"/>
        </w:rPr>
        <w:t>3个工作日进行相关信息披露。</w:t>
      </w:r>
      <w:r>
        <w:rPr>
          <w:rFonts w:hint="eastAsia" w:ascii="黑体" w:hAnsi="黑体" w:eastAsia="黑体" w:cs="黑体"/>
          <w:b/>
          <w:kern w:val="0"/>
          <w:szCs w:val="21"/>
        </w:rPr>
        <w:t>上述情况下产品</w:t>
      </w:r>
      <w:r>
        <w:rPr>
          <w:rFonts w:ascii="黑体" w:hAnsi="黑体" w:eastAsia="黑体" w:cs="黑体"/>
          <w:b/>
          <w:kern w:val="0"/>
          <w:szCs w:val="21"/>
        </w:rPr>
        <w:t>管理人</w:t>
      </w:r>
      <w:r>
        <w:rPr>
          <w:rFonts w:hint="eastAsia" w:ascii="黑体" w:hAnsi="黑体" w:eastAsia="黑体" w:cs="黑体"/>
          <w:b/>
          <w:kern w:val="0"/>
          <w:szCs w:val="21"/>
        </w:rPr>
        <w:t>将可能开放赎回，具体以信息披露公告为准。投资者不同意公告内容的，可按公告约定全部赎回本产品。若投资者在公告执行后继续持有本产品的，视同接受公告内容。进行上述调整时，除高风险类型的理财产品超出比例范围投资较低风险资产外，产品</w:t>
      </w:r>
      <w:r>
        <w:rPr>
          <w:rFonts w:ascii="黑体" w:hAnsi="黑体" w:eastAsia="黑体" w:cs="黑体"/>
          <w:b/>
          <w:kern w:val="0"/>
          <w:szCs w:val="21"/>
        </w:rPr>
        <w:t>管理人</w:t>
      </w:r>
      <w:r>
        <w:rPr>
          <w:rFonts w:hint="eastAsia" w:ascii="黑体" w:hAnsi="黑体" w:eastAsia="黑体" w:cs="黑体"/>
          <w:b/>
          <w:kern w:val="0"/>
          <w:szCs w:val="21"/>
        </w:rPr>
        <w:t>将事先取得投资者书面同意。</w:t>
      </w:r>
    </w:p>
    <w:p w14:paraId="2D14CEEC">
      <w:pPr>
        <w:autoSpaceDE w:val="0"/>
        <w:autoSpaceDN w:val="0"/>
        <w:adjustRightInd w:val="0"/>
        <w:jc w:val="left"/>
        <w:rPr>
          <w:rFonts w:ascii="黑体" w:hAnsi="黑体" w:eastAsia="黑体" w:cs="黑体"/>
          <w:bCs/>
          <w:kern w:val="0"/>
          <w:szCs w:val="21"/>
        </w:rPr>
      </w:pPr>
      <w:r>
        <w:rPr>
          <w:rFonts w:hint="eastAsia" w:ascii="黑体" w:hAnsi="黑体" w:eastAsia="黑体" w:cs="黑体"/>
          <w:bCs/>
          <w:kern w:val="0"/>
          <w:szCs w:val="21"/>
        </w:rPr>
        <w:t>（二</w:t>
      </w:r>
      <w:r>
        <w:rPr>
          <w:rFonts w:ascii="黑体" w:hAnsi="黑体" w:eastAsia="黑体" w:cs="黑体"/>
          <w:bCs/>
          <w:kern w:val="0"/>
          <w:szCs w:val="21"/>
        </w:rPr>
        <w:t>）</w:t>
      </w:r>
      <w:r>
        <w:rPr>
          <w:rFonts w:hint="eastAsia" w:ascii="黑体" w:hAnsi="黑体" w:eastAsia="黑体" w:cs="黑体"/>
          <w:bCs/>
          <w:kern w:val="0"/>
          <w:szCs w:val="21"/>
        </w:rPr>
        <w:t>拟</w:t>
      </w:r>
      <w:r>
        <w:rPr>
          <w:rFonts w:ascii="黑体" w:hAnsi="黑体" w:eastAsia="黑体" w:cs="黑体"/>
          <w:bCs/>
          <w:kern w:val="0"/>
          <w:szCs w:val="21"/>
        </w:rPr>
        <w:t>投资市场</w:t>
      </w:r>
      <w:r>
        <w:rPr>
          <w:rFonts w:hint="eastAsia" w:ascii="黑体" w:hAnsi="黑体" w:eastAsia="黑体" w:cs="黑体"/>
          <w:bCs/>
          <w:kern w:val="0"/>
          <w:szCs w:val="21"/>
        </w:rPr>
        <w:t>和</w:t>
      </w:r>
      <w:r>
        <w:rPr>
          <w:rFonts w:ascii="黑体" w:hAnsi="黑体" w:eastAsia="黑体" w:cs="黑体"/>
          <w:bCs/>
          <w:kern w:val="0"/>
          <w:szCs w:val="21"/>
        </w:rPr>
        <w:t>资产</w:t>
      </w:r>
      <w:r>
        <w:rPr>
          <w:rFonts w:hint="eastAsia" w:ascii="黑体" w:hAnsi="黑体" w:eastAsia="黑体" w:cs="黑体"/>
          <w:bCs/>
          <w:kern w:val="0"/>
          <w:szCs w:val="21"/>
        </w:rPr>
        <w:t>的</w:t>
      </w:r>
      <w:r>
        <w:rPr>
          <w:rFonts w:ascii="黑体" w:hAnsi="黑体" w:eastAsia="黑体" w:cs="黑体"/>
          <w:bCs/>
          <w:kern w:val="0"/>
          <w:szCs w:val="21"/>
        </w:rPr>
        <w:t>风险评估</w:t>
      </w:r>
    </w:p>
    <w:p w14:paraId="74E6403E">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1、</w:t>
      </w:r>
      <w:r>
        <w:rPr>
          <w:rFonts w:hint="eastAsia" w:ascii="黑体" w:hAnsi="黑体" w:eastAsia="黑体" w:cs="黑体"/>
          <w:kern w:val="0"/>
          <w:szCs w:val="21"/>
        </w:rPr>
        <w:t>产品拟</w:t>
      </w:r>
      <w:r>
        <w:rPr>
          <w:rFonts w:ascii="黑体" w:hAnsi="黑体" w:eastAsia="黑体" w:cs="黑体"/>
          <w:kern w:val="0"/>
          <w:szCs w:val="21"/>
        </w:rPr>
        <w:t>投资</w:t>
      </w:r>
      <w:r>
        <w:rPr>
          <w:rFonts w:hint="eastAsia" w:ascii="黑体" w:hAnsi="黑体" w:eastAsia="黑体" w:cs="黑体"/>
          <w:kern w:val="0"/>
          <w:szCs w:val="21"/>
        </w:rPr>
        <w:t>资产</w:t>
      </w:r>
      <w:r>
        <w:rPr>
          <w:rFonts w:ascii="黑体" w:hAnsi="黑体" w:eastAsia="黑体" w:cs="黑体"/>
          <w:kern w:val="0"/>
          <w:szCs w:val="21"/>
        </w:rPr>
        <w:t>类型</w:t>
      </w:r>
      <w:r>
        <w:rPr>
          <w:rFonts w:hint="eastAsia" w:ascii="黑体" w:hAnsi="黑体" w:eastAsia="黑体" w:cs="黑体"/>
          <w:kern w:val="0"/>
          <w:szCs w:val="21"/>
        </w:rPr>
        <w:t>以</w:t>
      </w:r>
      <w:r>
        <w:rPr>
          <w:rFonts w:ascii="黑体" w:hAnsi="黑体" w:eastAsia="黑体" w:cs="黑体"/>
          <w:kern w:val="0"/>
          <w:szCs w:val="21"/>
        </w:rPr>
        <w:t>本说明</w:t>
      </w:r>
      <w:r>
        <w:rPr>
          <w:rFonts w:hint="eastAsia" w:ascii="黑体" w:hAnsi="黑体" w:eastAsia="黑体" w:cs="黑体"/>
          <w:kern w:val="0"/>
          <w:szCs w:val="21"/>
        </w:rPr>
        <w:t>书</w:t>
      </w:r>
      <w:r>
        <w:rPr>
          <w:rFonts w:ascii="黑体" w:hAnsi="黑体" w:eastAsia="黑体" w:cs="黑体"/>
          <w:kern w:val="0"/>
          <w:szCs w:val="21"/>
        </w:rPr>
        <w:t>第</w:t>
      </w:r>
      <w:r>
        <w:rPr>
          <w:rFonts w:hint="eastAsia" w:ascii="黑体" w:hAnsi="黑体" w:eastAsia="黑体" w:cs="黑体"/>
          <w:kern w:val="0"/>
          <w:szCs w:val="21"/>
        </w:rPr>
        <w:t>三（一）</w:t>
      </w:r>
      <w:r>
        <w:rPr>
          <w:rFonts w:ascii="黑体" w:hAnsi="黑体" w:eastAsia="黑体" w:cs="黑体"/>
          <w:kern w:val="0"/>
          <w:szCs w:val="21"/>
        </w:rPr>
        <w:t>条</w:t>
      </w:r>
      <w:r>
        <w:rPr>
          <w:rFonts w:hint="eastAsia" w:ascii="黑体" w:hAnsi="黑体" w:eastAsia="黑体" w:cs="黑体"/>
          <w:kern w:val="0"/>
          <w:szCs w:val="21"/>
        </w:rPr>
        <w:t>载明</w:t>
      </w:r>
      <w:r>
        <w:rPr>
          <w:rFonts w:ascii="黑体" w:hAnsi="黑体" w:eastAsia="黑体" w:cs="黑体"/>
          <w:kern w:val="0"/>
          <w:szCs w:val="21"/>
        </w:rPr>
        <w:t>为准。</w:t>
      </w:r>
    </w:p>
    <w:p w14:paraId="555A91DE">
      <w:pPr>
        <w:autoSpaceDE w:val="0"/>
        <w:autoSpaceDN w:val="0"/>
        <w:adjustRightInd w:val="0"/>
        <w:ind w:firstLine="422" w:firstLineChars="200"/>
        <w:jc w:val="left"/>
        <w:rPr>
          <w:rFonts w:ascii="黑体" w:hAnsi="黑体" w:eastAsia="黑体" w:cs="黑体"/>
          <w:b/>
          <w:kern w:val="0"/>
          <w:szCs w:val="21"/>
        </w:rPr>
      </w:pPr>
      <w:r>
        <w:rPr>
          <w:rFonts w:hint="eastAsia" w:ascii="黑体" w:hAnsi="黑体" w:eastAsia="黑体" w:cs="黑体"/>
          <w:b/>
          <w:kern w:val="0"/>
          <w:szCs w:val="21"/>
        </w:rPr>
        <w:t>投资于上述</w:t>
      </w:r>
      <w:r>
        <w:rPr>
          <w:rFonts w:ascii="黑体" w:hAnsi="黑体" w:eastAsia="黑体" w:cs="黑体"/>
          <w:b/>
          <w:kern w:val="0"/>
          <w:szCs w:val="21"/>
        </w:rPr>
        <w:t>市场和资产</w:t>
      </w:r>
      <w:r>
        <w:rPr>
          <w:rFonts w:hint="eastAsia" w:ascii="黑体" w:hAnsi="黑体" w:eastAsia="黑体" w:cs="黑体"/>
          <w:b/>
          <w:kern w:val="0"/>
          <w:szCs w:val="21"/>
        </w:rPr>
        <w:t>，可能</w:t>
      </w:r>
      <w:r>
        <w:rPr>
          <w:rFonts w:ascii="黑体" w:hAnsi="黑体" w:eastAsia="黑体" w:cs="黑体"/>
          <w:b/>
          <w:kern w:val="0"/>
          <w:szCs w:val="21"/>
        </w:rPr>
        <w:t>面临</w:t>
      </w:r>
      <w:r>
        <w:rPr>
          <w:rFonts w:hint="eastAsia" w:ascii="黑体" w:hAnsi="黑体" w:eastAsia="黑体" w:cs="黑体"/>
          <w:b/>
          <w:kern w:val="0"/>
          <w:szCs w:val="21"/>
        </w:rPr>
        <w:t>包括但不限于</w:t>
      </w:r>
      <w:r>
        <w:rPr>
          <w:rFonts w:ascii="黑体" w:hAnsi="黑体" w:eastAsia="黑体" w:cs="黑体"/>
          <w:b/>
          <w:kern w:val="0"/>
          <w:szCs w:val="21"/>
        </w:rPr>
        <w:t>如下风险：</w:t>
      </w:r>
    </w:p>
    <w:p w14:paraId="5DD7668F">
      <w:pPr>
        <w:autoSpaceDE w:val="0"/>
        <w:autoSpaceDN w:val="0"/>
        <w:adjustRightInd w:val="0"/>
        <w:ind w:firstLine="422" w:firstLineChars="200"/>
        <w:jc w:val="left"/>
        <w:rPr>
          <w:rFonts w:ascii="黑体" w:hAnsi="黑体" w:eastAsia="黑体" w:cs="黑体"/>
          <w:b/>
          <w:kern w:val="0"/>
          <w:szCs w:val="21"/>
        </w:rPr>
      </w:pPr>
      <w:r>
        <w:rPr>
          <w:rFonts w:hint="eastAsia" w:ascii="黑体" w:hAnsi="黑体" w:eastAsia="黑体" w:cs="黑体"/>
          <w:b/>
          <w:kern w:val="0"/>
          <w:szCs w:val="21"/>
        </w:rPr>
        <w:t>政策风险</w:t>
      </w:r>
      <w:r>
        <w:rPr>
          <w:rFonts w:ascii="黑体" w:hAnsi="黑体" w:eastAsia="黑体" w:cs="黑体"/>
          <w:b/>
          <w:kern w:val="0"/>
          <w:szCs w:val="21"/>
        </w:rPr>
        <w:t>：</w:t>
      </w:r>
      <w:r>
        <w:rPr>
          <w:rFonts w:hint="eastAsia" w:ascii="黑体" w:hAnsi="黑体" w:eastAsia="黑体" w:cs="黑体"/>
          <w:b/>
          <w:kern w:val="0"/>
          <w:szCs w:val="21"/>
        </w:rPr>
        <w:t>理财产品在运作过程中，由于国家宏观政策以及市场相关法律法规、监管规定发生变化，导致产品的发行、投资、兑付等流程受到影响，进而影响产品的投资运作和收益的风险。</w:t>
      </w:r>
    </w:p>
    <w:p w14:paraId="62C8AE4A">
      <w:pPr>
        <w:autoSpaceDE w:val="0"/>
        <w:autoSpaceDN w:val="0"/>
        <w:adjustRightInd w:val="0"/>
        <w:ind w:firstLine="422" w:firstLineChars="200"/>
        <w:jc w:val="left"/>
        <w:rPr>
          <w:rFonts w:ascii="黑体" w:hAnsi="黑体" w:eastAsia="黑体" w:cs="黑体"/>
          <w:b/>
          <w:kern w:val="0"/>
          <w:szCs w:val="21"/>
        </w:rPr>
      </w:pPr>
      <w:bookmarkStart w:id="2" w:name="_Hlk81141915"/>
      <w:r>
        <w:rPr>
          <w:rFonts w:hint="eastAsia" w:ascii="黑体" w:hAnsi="黑体" w:eastAsia="黑体" w:cs="宋体"/>
          <w:b/>
          <w:kern w:val="0"/>
          <w:szCs w:val="21"/>
        </w:rPr>
        <w:t>市场风险：</w:t>
      </w:r>
      <w:r>
        <w:rPr>
          <w:rFonts w:hint="eastAsia" w:ascii="黑体" w:hAnsi="黑体" w:eastAsia="黑体" w:cs="黑体"/>
          <w:b/>
          <w:kern w:val="0"/>
          <w:szCs w:val="21"/>
        </w:rPr>
        <w:t>理财产品在运作过程中，由于市场变化造成产品所投资产价格波动、从而影响理财产品收益的风险。市场风险包括但不限于投资债券面临的利率变化及债券价格波动带来的风险，投资股票面临的股票价格波动带来的风险，投资商品及金融衍生品面临的商品及衍生品价格波动带来的风险等。</w:t>
      </w:r>
      <w:bookmarkEnd w:id="2"/>
    </w:p>
    <w:p w14:paraId="06995114">
      <w:pPr>
        <w:autoSpaceDE w:val="0"/>
        <w:autoSpaceDN w:val="0"/>
        <w:adjustRightInd w:val="0"/>
        <w:ind w:firstLine="422" w:firstLineChars="200"/>
        <w:jc w:val="left"/>
        <w:rPr>
          <w:rFonts w:ascii="黑体" w:hAnsi="黑体" w:eastAsia="黑体" w:cs="黑体"/>
          <w:b/>
          <w:kern w:val="0"/>
          <w:szCs w:val="21"/>
        </w:rPr>
      </w:pPr>
      <w:r>
        <w:rPr>
          <w:rFonts w:hint="eastAsia" w:ascii="黑体" w:hAnsi="黑体" w:eastAsia="黑体" w:cs="黑体"/>
          <w:b/>
          <w:kern w:val="0"/>
          <w:szCs w:val="21"/>
        </w:rPr>
        <w:t>信用风险：理财产品所投资产的相关债务人或关联责任人（包括但不限于担保人）等信用状况恶化、不能如期履约的风险。</w:t>
      </w:r>
    </w:p>
    <w:p w14:paraId="21A9B684">
      <w:pPr>
        <w:autoSpaceDE w:val="0"/>
        <w:autoSpaceDN w:val="0"/>
        <w:adjustRightInd w:val="0"/>
        <w:ind w:firstLine="422" w:firstLineChars="200"/>
        <w:jc w:val="left"/>
        <w:rPr>
          <w:rFonts w:ascii="黑体" w:hAnsi="黑体" w:eastAsia="黑体" w:cs="宋体"/>
          <w:b/>
          <w:kern w:val="0"/>
          <w:szCs w:val="21"/>
        </w:rPr>
      </w:pPr>
      <w:r>
        <w:rPr>
          <w:rFonts w:hint="eastAsia" w:ascii="黑体" w:hAnsi="黑体" w:eastAsia="黑体" w:cs="宋体"/>
          <w:b/>
          <w:kern w:val="0"/>
          <w:szCs w:val="21"/>
        </w:rPr>
        <w:t>流动性风险：在特定市场环境下，理财产品所投资的上述部分市场或资产可能出现流动性较差的情况，导致理财产品存在无法通过变现资产等途径以合理成本及时获得充足资金，用于满足投资者赎回需求、履行其他支付义务的风险。对于有明确投资期限的理财产品，在存续期内如果您产生流动性需求，可能面临理财产品投资期限与资金需求日不匹配的流动性风险。此外，针对开放式产品，投资者只能在开放期的交易时间内进行申购、赎回，开放期内若发生巨额赎回，投资者将面临不能及时赎回理财产品的流动性风险。</w:t>
      </w:r>
    </w:p>
    <w:p w14:paraId="7F81C86A">
      <w:pPr>
        <w:autoSpaceDE w:val="0"/>
        <w:autoSpaceDN w:val="0"/>
        <w:adjustRightInd w:val="0"/>
        <w:ind w:firstLine="422" w:firstLineChars="200"/>
        <w:jc w:val="left"/>
        <w:rPr>
          <w:rFonts w:ascii="黑体" w:hAnsi="黑体" w:eastAsia="黑体" w:cs="黑体"/>
          <w:b/>
          <w:kern w:val="0"/>
          <w:szCs w:val="21"/>
        </w:rPr>
      </w:pPr>
      <w:r>
        <w:rPr>
          <w:rFonts w:hint="eastAsia" w:ascii="黑体" w:hAnsi="黑体" w:eastAsia="黑体" w:cs="宋体"/>
          <w:b/>
          <w:kern w:val="0"/>
          <w:szCs w:val="21"/>
        </w:rPr>
        <w:t>提前终止风险：</w:t>
      </w:r>
      <w:r>
        <w:rPr>
          <w:rFonts w:hint="eastAsia" w:ascii="黑体" w:hAnsi="黑体" w:eastAsia="黑体" w:cs="黑体"/>
          <w:b/>
          <w:kern w:val="0"/>
          <w:szCs w:val="21"/>
        </w:rPr>
        <w:t>在本产品存续期内，如遇包括但不限于国家金融政策发生重大调整、金融市场发生重大波动、</w:t>
      </w:r>
      <w:r>
        <w:rPr>
          <w:rFonts w:ascii="黑体" w:hAnsi="黑体" w:eastAsia="黑体" w:cs="黑体"/>
          <w:b/>
          <w:kern w:val="0"/>
          <w:szCs w:val="21"/>
        </w:rPr>
        <w:t>不可抗力</w:t>
      </w:r>
      <w:r>
        <w:rPr>
          <w:rFonts w:hint="eastAsia" w:ascii="黑体" w:hAnsi="黑体" w:eastAsia="黑体" w:cs="黑体"/>
          <w:b/>
          <w:kern w:val="0"/>
          <w:szCs w:val="21"/>
        </w:rPr>
        <w:t>、产品存续规模低于产品最低成立规模或产品管理人认为影响产品运作需要提前终止产品的其他情况，产品管理人有权提前终止产品，并至少于提前终止日前</w:t>
      </w:r>
      <w:r>
        <w:rPr>
          <w:rFonts w:ascii="黑体" w:hAnsi="黑体" w:eastAsia="黑体" w:cs="黑体"/>
          <w:b/>
          <w:kern w:val="0"/>
          <w:szCs w:val="21"/>
        </w:rPr>
        <w:t>3个工作日进行公告，相关兑付安排规则</w:t>
      </w:r>
      <w:r>
        <w:rPr>
          <w:rFonts w:hint="eastAsia" w:ascii="黑体" w:hAnsi="黑体" w:eastAsia="黑体" w:cs="黑体"/>
          <w:b/>
          <w:kern w:val="0"/>
          <w:szCs w:val="21"/>
        </w:rPr>
        <w:t>将在</w:t>
      </w:r>
      <w:r>
        <w:rPr>
          <w:rFonts w:ascii="黑体" w:hAnsi="黑体" w:eastAsia="黑体" w:cs="黑体"/>
          <w:b/>
          <w:kern w:val="0"/>
          <w:szCs w:val="21"/>
        </w:rPr>
        <w:t>公告</w:t>
      </w:r>
      <w:r>
        <w:rPr>
          <w:rFonts w:hint="eastAsia" w:ascii="黑体" w:hAnsi="黑体" w:eastAsia="黑体" w:cs="黑体"/>
          <w:b/>
          <w:kern w:val="0"/>
          <w:szCs w:val="21"/>
        </w:rPr>
        <w:t>中</w:t>
      </w:r>
      <w:r>
        <w:rPr>
          <w:rFonts w:ascii="黑体" w:hAnsi="黑体" w:eastAsia="黑体" w:cs="黑体"/>
          <w:b/>
          <w:kern w:val="0"/>
          <w:szCs w:val="21"/>
        </w:rPr>
        <w:t>披露。</w:t>
      </w:r>
      <w:r>
        <w:rPr>
          <w:rFonts w:hint="eastAsia" w:ascii="黑体" w:hAnsi="黑体" w:eastAsia="黑体" w:cs="黑体"/>
          <w:b/>
          <w:kern w:val="0"/>
          <w:szCs w:val="21"/>
        </w:rPr>
        <w:t>（具体信息及相关规则见七、理财产品到期与终止。）</w:t>
      </w:r>
    </w:p>
    <w:p w14:paraId="758815B1">
      <w:pPr>
        <w:autoSpaceDE w:val="0"/>
        <w:autoSpaceDN w:val="0"/>
        <w:adjustRightInd w:val="0"/>
        <w:ind w:firstLine="422" w:firstLineChars="200"/>
        <w:jc w:val="left"/>
        <w:rPr>
          <w:rFonts w:ascii="黑体" w:hAnsi="黑体" w:eastAsia="黑体" w:cs="黑体"/>
          <w:kern w:val="0"/>
          <w:szCs w:val="21"/>
        </w:rPr>
      </w:pPr>
      <w:r>
        <w:rPr>
          <w:rFonts w:hint="eastAsia" w:ascii="黑体" w:hAnsi="黑体" w:eastAsia="黑体" w:cs="黑体"/>
          <w:b/>
          <w:kern w:val="0"/>
          <w:szCs w:val="21"/>
        </w:rPr>
        <w:t>以上风险仅为列举性质，详见产品风险揭示书。</w:t>
      </w:r>
    </w:p>
    <w:p w14:paraId="0A190072">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2、综合考虑本产品的投资组合、同类产品过往业绩和风险水平（包括但不限于拟投资市场和资产的风险评估等）等因素，</w:t>
      </w:r>
      <w:r>
        <w:rPr>
          <w:rFonts w:ascii="黑体" w:hAnsi="黑体" w:eastAsia="黑体" w:cs="黑体"/>
          <w:b/>
          <w:kern w:val="0"/>
          <w:szCs w:val="21"/>
        </w:rPr>
        <w:t>本产品评级为PR2风险</w:t>
      </w:r>
      <w:r>
        <w:rPr>
          <w:rFonts w:ascii="黑体" w:hAnsi="黑体" w:eastAsia="黑体" w:cs="黑体"/>
          <w:kern w:val="0"/>
          <w:szCs w:val="21"/>
        </w:rPr>
        <w:t>（本评级为公司内部评级，仅供参考</w:t>
      </w:r>
      <w:r>
        <w:rPr>
          <w:rFonts w:hint="eastAsia" w:ascii="黑体" w:hAnsi="黑体" w:eastAsia="黑体" w:cs="黑体"/>
          <w:kern w:val="0"/>
          <w:szCs w:val="21"/>
        </w:rPr>
        <w:t>，该产品通过代理销售机构渠道销售的，理财产品评级应当以代理销售机构最终披露的评级结果为准）。</w:t>
      </w:r>
    </w:p>
    <w:p w14:paraId="2D9D0809">
      <w:pPr>
        <w:autoSpaceDE w:val="0"/>
        <w:autoSpaceDN w:val="0"/>
        <w:adjustRightInd w:val="0"/>
        <w:ind w:firstLine="420" w:firstLineChars="200"/>
        <w:jc w:val="left"/>
        <w:rPr>
          <w:rFonts w:ascii="黑体" w:hAnsi="黑体" w:eastAsia="黑体" w:cs="黑体"/>
          <w:kern w:val="0"/>
          <w:szCs w:val="21"/>
        </w:rPr>
      </w:pPr>
    </w:p>
    <w:p w14:paraId="0A5A1762">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四、产品交易相关规则</w:t>
      </w:r>
    </w:p>
    <w:p w14:paraId="64A29F97">
      <w:pPr>
        <w:autoSpaceDE w:val="0"/>
        <w:autoSpaceDN w:val="0"/>
        <w:adjustRightInd w:val="0"/>
        <w:jc w:val="left"/>
        <w:rPr>
          <w:rFonts w:ascii="黑体" w:hAnsi="黑体" w:eastAsia="黑体" w:cs="宋体"/>
          <w:kern w:val="0"/>
          <w:szCs w:val="21"/>
        </w:rPr>
      </w:pPr>
      <w:r>
        <w:rPr>
          <w:rFonts w:hint="eastAsia" w:ascii="黑体" w:hAnsi="黑体" w:eastAsia="黑体" w:cs="宋体"/>
          <w:kern w:val="0"/>
          <w:szCs w:val="21"/>
        </w:rPr>
        <w:t>（一）认购和</w:t>
      </w:r>
      <w:r>
        <w:rPr>
          <w:rFonts w:ascii="黑体" w:hAnsi="黑体" w:eastAsia="黑体" w:cs="宋体"/>
          <w:kern w:val="0"/>
          <w:szCs w:val="21"/>
        </w:rPr>
        <w:t>申购</w:t>
      </w:r>
      <w:r>
        <w:rPr>
          <w:rFonts w:hint="eastAsia" w:ascii="黑体" w:hAnsi="黑体" w:eastAsia="黑体" w:cs="宋体"/>
          <w:kern w:val="0"/>
          <w:szCs w:val="21"/>
        </w:rPr>
        <w:t>相关规则</w:t>
      </w:r>
    </w:p>
    <w:p w14:paraId="6DCCF67E">
      <w:pPr>
        <w:autoSpaceDE w:val="0"/>
        <w:autoSpaceDN w:val="0"/>
        <w:adjustRightInd w:val="0"/>
        <w:ind w:firstLine="420" w:firstLineChars="200"/>
        <w:jc w:val="left"/>
        <w:rPr>
          <w:rFonts w:ascii="黑体" w:hAnsi="黑体" w:eastAsia="黑体" w:cs="黑体"/>
          <w:b/>
          <w:kern w:val="0"/>
          <w:szCs w:val="21"/>
        </w:rPr>
      </w:pPr>
      <w:r>
        <w:rPr>
          <w:rFonts w:ascii="黑体" w:hAnsi="黑体" w:eastAsia="黑体" w:cs="黑体"/>
          <w:kern w:val="0"/>
          <w:szCs w:val="21"/>
        </w:rPr>
        <w:t>1</w:t>
      </w:r>
      <w:r>
        <w:rPr>
          <w:rFonts w:hint="eastAsia" w:ascii="黑体" w:hAnsi="黑体" w:eastAsia="黑体" w:cs="黑体"/>
          <w:kern w:val="0"/>
          <w:szCs w:val="21"/>
        </w:rPr>
        <w:t>、产品募集期内，投资者可以</w:t>
      </w:r>
      <w:r>
        <w:rPr>
          <w:rFonts w:ascii="黑体" w:hAnsi="黑体" w:eastAsia="黑体" w:cs="黑体"/>
          <w:kern w:val="0"/>
          <w:szCs w:val="21"/>
        </w:rPr>
        <w:t>对本产品进行认购、追加</w:t>
      </w:r>
      <w:r>
        <w:rPr>
          <w:rFonts w:hint="eastAsia" w:ascii="黑体" w:hAnsi="黑体" w:eastAsia="黑体" w:cs="黑体"/>
          <w:kern w:val="0"/>
          <w:szCs w:val="21"/>
        </w:rPr>
        <w:t>、</w:t>
      </w:r>
      <w:r>
        <w:rPr>
          <w:rFonts w:ascii="黑体" w:hAnsi="黑体" w:eastAsia="黑体" w:cs="黑体"/>
          <w:kern w:val="0"/>
          <w:szCs w:val="21"/>
        </w:rPr>
        <w:t>撤单</w:t>
      </w:r>
      <w:r>
        <w:rPr>
          <w:rFonts w:hint="eastAsia" w:ascii="黑体" w:hAnsi="黑体" w:eastAsia="黑体" w:cs="黑体"/>
          <w:kern w:val="0"/>
          <w:szCs w:val="21"/>
        </w:rPr>
        <w:t>，销售机构有权在投资者指定账户中对相应资金进行冻结或通过相关支付渠道</w:t>
      </w:r>
      <w:r>
        <w:rPr>
          <w:rFonts w:ascii="黑体" w:hAnsi="黑体" w:eastAsia="黑体" w:cs="黑体"/>
          <w:kern w:val="0"/>
          <w:szCs w:val="21"/>
        </w:rPr>
        <w:t>(</w:t>
      </w:r>
      <w:r>
        <w:rPr>
          <w:rFonts w:hint="eastAsia" w:ascii="黑体" w:hAnsi="黑体" w:eastAsia="黑体" w:cs="黑体"/>
          <w:kern w:val="0"/>
          <w:szCs w:val="21"/>
        </w:rPr>
        <w:t>如有</w:t>
      </w:r>
      <w:r>
        <w:rPr>
          <w:rFonts w:ascii="黑体" w:hAnsi="黑体" w:eastAsia="黑体" w:cs="黑体"/>
          <w:kern w:val="0"/>
          <w:szCs w:val="21"/>
        </w:rPr>
        <w:t>)划转，具体以销售机构实际</w:t>
      </w:r>
      <w:r>
        <w:rPr>
          <w:rFonts w:hint="eastAsia" w:ascii="黑体" w:hAnsi="黑体" w:eastAsia="黑体" w:cs="黑体"/>
          <w:kern w:val="0"/>
          <w:szCs w:val="21"/>
        </w:rPr>
        <w:t>处理为准，产品</w:t>
      </w:r>
      <w:r>
        <w:rPr>
          <w:rFonts w:ascii="黑体" w:hAnsi="黑体" w:eastAsia="黑体" w:cs="黑体"/>
          <w:kern w:val="0"/>
          <w:szCs w:val="21"/>
        </w:rPr>
        <w:t>管理人将在</w:t>
      </w:r>
      <w:r>
        <w:rPr>
          <w:rFonts w:hint="eastAsia" w:ascii="黑体" w:hAnsi="黑体" w:eastAsia="黑体" w:cs="黑体"/>
          <w:kern w:val="0"/>
          <w:szCs w:val="21"/>
        </w:rPr>
        <w:t>产品成立日</w:t>
      </w:r>
      <w:r>
        <w:rPr>
          <w:rFonts w:ascii="黑体" w:hAnsi="黑体" w:eastAsia="黑体" w:cs="黑体"/>
          <w:kern w:val="0"/>
          <w:szCs w:val="21"/>
        </w:rPr>
        <w:t>对</w:t>
      </w:r>
      <w:r>
        <w:rPr>
          <w:rFonts w:hint="eastAsia" w:ascii="黑体" w:hAnsi="黑体" w:eastAsia="黑体" w:cs="黑体"/>
          <w:kern w:val="0"/>
          <w:szCs w:val="21"/>
        </w:rPr>
        <w:t>募集期</w:t>
      </w:r>
      <w:r>
        <w:rPr>
          <w:rFonts w:ascii="黑体" w:hAnsi="黑体" w:eastAsia="黑体" w:cs="黑体"/>
          <w:kern w:val="0"/>
          <w:szCs w:val="21"/>
        </w:rPr>
        <w:t>的认购</w:t>
      </w:r>
      <w:r>
        <w:rPr>
          <w:rFonts w:hint="eastAsia" w:ascii="黑体" w:hAnsi="黑体" w:eastAsia="黑体" w:cs="黑体"/>
          <w:kern w:val="0"/>
          <w:szCs w:val="21"/>
        </w:rPr>
        <w:t>及</w:t>
      </w:r>
      <w:r>
        <w:rPr>
          <w:rFonts w:ascii="黑体" w:hAnsi="黑体" w:eastAsia="黑体" w:cs="黑体"/>
          <w:kern w:val="0"/>
          <w:szCs w:val="21"/>
        </w:rPr>
        <w:t>追加</w:t>
      </w:r>
      <w:r>
        <w:rPr>
          <w:rFonts w:hint="eastAsia" w:ascii="黑体" w:hAnsi="黑体" w:eastAsia="黑体" w:cs="黑体"/>
          <w:kern w:val="0"/>
          <w:szCs w:val="21"/>
        </w:rPr>
        <w:t>申请进行</w:t>
      </w:r>
      <w:bookmarkStart w:id="3" w:name="_Hlk33019208"/>
      <w:r>
        <w:rPr>
          <w:rFonts w:hint="eastAsia" w:ascii="黑体" w:hAnsi="黑体" w:eastAsia="黑体" w:cs="黑体"/>
          <w:kern w:val="0"/>
          <w:szCs w:val="21"/>
        </w:rPr>
        <w:t>确认和划款</w:t>
      </w:r>
      <w:bookmarkEnd w:id="3"/>
      <w:r>
        <w:rPr>
          <w:rFonts w:hint="eastAsia" w:ascii="黑体" w:hAnsi="黑体" w:eastAsia="黑体" w:cs="黑体"/>
          <w:kern w:val="0"/>
          <w:szCs w:val="21"/>
        </w:rPr>
        <w:t>。</w:t>
      </w:r>
      <w:r>
        <w:rPr>
          <w:rFonts w:hint="eastAsia" w:ascii="黑体" w:hAnsi="黑体" w:eastAsia="黑体" w:cs="黑体"/>
          <w:b/>
          <w:kern w:val="0"/>
          <w:szCs w:val="21"/>
        </w:rPr>
        <w:t>募集期内管理人不向投资者认购款项计付利息，销售机构是否计付利息以销售机构为准。</w:t>
      </w:r>
    </w:p>
    <w:p w14:paraId="706679C1">
      <w:pPr>
        <w:autoSpaceDE w:val="0"/>
        <w:autoSpaceDN w:val="0"/>
        <w:adjustRightInd w:val="0"/>
        <w:ind w:firstLine="422" w:firstLineChars="200"/>
        <w:jc w:val="left"/>
        <w:rPr>
          <w:rFonts w:ascii="黑体" w:hAnsi="黑体" w:eastAsia="黑体" w:cs="黑体"/>
          <w:b/>
          <w:kern w:val="0"/>
          <w:szCs w:val="21"/>
        </w:rPr>
      </w:pPr>
      <w:r>
        <w:rPr>
          <w:rFonts w:hint="eastAsia" w:ascii="黑体" w:hAnsi="黑体" w:eastAsia="黑体" w:cs="黑体"/>
          <w:b/>
          <w:kern w:val="0"/>
          <w:szCs w:val="21"/>
        </w:rPr>
        <w:t>产品募集期单位净值为</w:t>
      </w:r>
      <w:r>
        <w:rPr>
          <w:rFonts w:ascii="黑体" w:hAnsi="黑体" w:eastAsia="黑体" w:cs="黑体"/>
          <w:b/>
          <w:kern w:val="0"/>
          <w:szCs w:val="21"/>
        </w:rPr>
        <w:t>1元，募集期认购价格采用募集期单位净值。</w:t>
      </w:r>
    </w:p>
    <w:p w14:paraId="34B344C0">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2、</w:t>
      </w:r>
      <w:r>
        <w:rPr>
          <w:rFonts w:hint="eastAsia" w:ascii="黑体" w:hAnsi="黑体" w:eastAsia="黑体" w:cs="黑体"/>
          <w:kern w:val="0"/>
          <w:szCs w:val="21"/>
        </w:rPr>
        <w:t>产品存续期间，</w:t>
      </w:r>
      <w:r>
        <w:rPr>
          <w:rFonts w:hint="eastAsia" w:ascii="黑体" w:hAnsi="黑体" w:eastAsia="黑体" w:cs="黑体"/>
          <w:color w:val="000000" w:themeColor="text1"/>
          <w:kern w:val="0"/>
          <w:szCs w:val="21"/>
          <w14:textFill>
            <w14:solidFill>
              <w14:schemeClr w14:val="tx1"/>
            </w14:solidFill>
          </w14:textFill>
        </w:rPr>
        <w:t>投资者可以对</w:t>
      </w:r>
      <w:r>
        <w:rPr>
          <w:rFonts w:hint="eastAsia" w:ascii="黑体" w:hAnsi="黑体" w:eastAsia="黑体" w:cs="黑体"/>
          <w:kern w:val="0"/>
          <w:szCs w:val="21"/>
        </w:rPr>
        <w:t>本产品</w:t>
      </w:r>
      <w:r>
        <w:rPr>
          <w:rFonts w:ascii="黑体" w:hAnsi="黑体" w:eastAsia="黑体" w:cs="黑体"/>
          <w:kern w:val="0"/>
          <w:szCs w:val="21"/>
        </w:rPr>
        <w:t>进行申购、追加、撤单</w:t>
      </w:r>
      <w:r>
        <w:rPr>
          <w:rFonts w:hint="eastAsia" w:ascii="黑体" w:hAnsi="黑体" w:eastAsia="黑体" w:cs="黑体"/>
          <w:kern w:val="0"/>
          <w:szCs w:val="21"/>
        </w:rPr>
        <w:t>，销售机构有权在投资者指定账户中对相应资金进行冻结或通过相关支付渠道</w:t>
      </w:r>
      <w:r>
        <w:rPr>
          <w:rFonts w:ascii="黑体" w:hAnsi="黑体" w:eastAsia="黑体" w:cs="黑体"/>
          <w:kern w:val="0"/>
          <w:szCs w:val="21"/>
        </w:rPr>
        <w:t>(如有)划转，具体以销售机构实际处理为准，产品管理人将在申购受理日对上述申购及追加申请进行处理，投资者实际申购、追加申购金额以产品管理人确认的金额为准，投资者的申购、追加申购金额将于申购确认日内划款。产品申购交易时间规则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0887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C614FFE">
            <w:pPr>
              <w:autoSpaceDE w:val="0"/>
              <w:autoSpaceDN w:val="0"/>
              <w:adjustRightInd w:val="0"/>
              <w:jc w:val="center"/>
              <w:rPr>
                <w:rFonts w:ascii="黑体" w:hAnsi="黑体" w:eastAsia="黑体" w:cs="黑体"/>
                <w:b/>
                <w:kern w:val="0"/>
                <w:szCs w:val="21"/>
              </w:rPr>
            </w:pPr>
            <w:r>
              <w:rPr>
                <w:rFonts w:hint="eastAsia" w:ascii="黑体" w:hAnsi="黑体" w:eastAsia="黑体" w:cs="黑体"/>
                <w:b/>
                <w:kern w:val="0"/>
                <w:szCs w:val="21"/>
              </w:rPr>
              <w:t>申购发起时间</w:t>
            </w:r>
          </w:p>
        </w:tc>
        <w:tc>
          <w:tcPr>
            <w:tcW w:w="2765" w:type="dxa"/>
            <w:vAlign w:val="center"/>
          </w:tcPr>
          <w:p w14:paraId="1C469FBD">
            <w:pPr>
              <w:autoSpaceDE w:val="0"/>
              <w:autoSpaceDN w:val="0"/>
              <w:adjustRightInd w:val="0"/>
              <w:jc w:val="center"/>
              <w:rPr>
                <w:rFonts w:ascii="黑体" w:hAnsi="黑体" w:eastAsia="黑体" w:cs="黑体"/>
                <w:b/>
                <w:kern w:val="0"/>
                <w:szCs w:val="21"/>
              </w:rPr>
            </w:pPr>
            <w:r>
              <w:rPr>
                <w:rFonts w:hint="eastAsia" w:ascii="黑体" w:hAnsi="黑体" w:eastAsia="黑体" w:cs="黑体"/>
                <w:b/>
                <w:kern w:val="0"/>
                <w:szCs w:val="21"/>
              </w:rPr>
              <w:t>申购受理日</w:t>
            </w:r>
          </w:p>
        </w:tc>
        <w:tc>
          <w:tcPr>
            <w:tcW w:w="2766" w:type="dxa"/>
            <w:vAlign w:val="center"/>
          </w:tcPr>
          <w:p w14:paraId="5C6ACEAE">
            <w:pPr>
              <w:autoSpaceDE w:val="0"/>
              <w:autoSpaceDN w:val="0"/>
              <w:adjustRightInd w:val="0"/>
              <w:jc w:val="center"/>
              <w:rPr>
                <w:rFonts w:ascii="黑体" w:hAnsi="黑体" w:eastAsia="黑体" w:cs="黑体"/>
                <w:b/>
                <w:kern w:val="0"/>
                <w:szCs w:val="21"/>
              </w:rPr>
            </w:pPr>
            <w:r>
              <w:rPr>
                <w:rFonts w:hint="eastAsia" w:ascii="黑体" w:hAnsi="黑体" w:eastAsia="黑体" w:cs="黑体"/>
                <w:b/>
                <w:kern w:val="0"/>
                <w:szCs w:val="21"/>
              </w:rPr>
              <w:t>申购确认日</w:t>
            </w:r>
          </w:p>
        </w:tc>
      </w:tr>
      <w:tr w14:paraId="5E47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CA2EC43">
            <w:pPr>
              <w:autoSpaceDE w:val="0"/>
              <w:autoSpaceDN w:val="0"/>
              <w:adjustRightInd w:val="0"/>
              <w:jc w:val="center"/>
              <w:rPr>
                <w:rFonts w:ascii="黑体" w:hAnsi="黑体" w:eastAsia="黑体" w:cs="黑体"/>
                <w:kern w:val="0"/>
                <w:szCs w:val="21"/>
              </w:rPr>
            </w:pPr>
            <w:r>
              <w:rPr>
                <w:rFonts w:hint="eastAsia" w:ascii="黑体" w:hAnsi="黑体" w:eastAsia="黑体" w:cs="黑体"/>
                <w:kern w:val="0"/>
                <w:szCs w:val="21"/>
              </w:rPr>
              <w:t>每个工作日</w:t>
            </w:r>
            <w:r>
              <w:rPr>
                <w:rFonts w:ascii="黑体" w:hAnsi="黑体" w:eastAsia="黑体" w:cs="黑体"/>
                <w:kern w:val="0"/>
                <w:szCs w:val="21"/>
              </w:rPr>
              <w:t>0:00-1</w:t>
            </w:r>
            <w:r>
              <w:rPr>
                <w:rFonts w:hint="eastAsia" w:ascii="黑体" w:hAnsi="黑体" w:eastAsia="黑体" w:cs="黑体"/>
                <w:kern w:val="0"/>
                <w:szCs w:val="21"/>
              </w:rPr>
              <w:t>7</w:t>
            </w:r>
            <w:r>
              <w:rPr>
                <w:rFonts w:ascii="黑体" w:hAnsi="黑体" w:eastAsia="黑体" w:cs="黑体"/>
                <w:kern w:val="0"/>
                <w:szCs w:val="21"/>
              </w:rPr>
              <w:t>:00</w:t>
            </w:r>
          </w:p>
        </w:tc>
        <w:tc>
          <w:tcPr>
            <w:tcW w:w="2765" w:type="dxa"/>
            <w:vAlign w:val="center"/>
          </w:tcPr>
          <w:p w14:paraId="714EB049">
            <w:pPr>
              <w:autoSpaceDE w:val="0"/>
              <w:autoSpaceDN w:val="0"/>
              <w:adjustRightInd w:val="0"/>
              <w:jc w:val="center"/>
              <w:rPr>
                <w:rFonts w:ascii="黑体" w:hAnsi="黑体" w:eastAsia="黑体" w:cs="黑体"/>
                <w:kern w:val="0"/>
                <w:szCs w:val="21"/>
              </w:rPr>
            </w:pPr>
            <w:r>
              <w:rPr>
                <w:rFonts w:hint="eastAsia" w:ascii="黑体" w:hAnsi="黑体" w:eastAsia="黑体" w:cs="黑体"/>
                <w:kern w:val="0"/>
                <w:szCs w:val="21"/>
              </w:rPr>
              <w:t>发起当日</w:t>
            </w:r>
          </w:p>
        </w:tc>
        <w:tc>
          <w:tcPr>
            <w:tcW w:w="2766" w:type="dxa"/>
            <w:vAlign w:val="center"/>
          </w:tcPr>
          <w:p w14:paraId="72CDDA93">
            <w:pPr>
              <w:autoSpaceDE w:val="0"/>
              <w:autoSpaceDN w:val="0"/>
              <w:adjustRightInd w:val="0"/>
              <w:jc w:val="center"/>
              <w:rPr>
                <w:rFonts w:ascii="黑体" w:hAnsi="黑体" w:eastAsia="黑体" w:cs="黑体"/>
                <w:kern w:val="0"/>
                <w:szCs w:val="21"/>
              </w:rPr>
            </w:pPr>
            <w:r>
              <w:rPr>
                <w:rFonts w:hint="eastAsia" w:ascii="黑体" w:hAnsi="黑体" w:eastAsia="黑体" w:cs="黑体"/>
                <w:kern w:val="0"/>
                <w:szCs w:val="21"/>
              </w:rPr>
              <w:t>受理日下一工作日</w:t>
            </w:r>
          </w:p>
        </w:tc>
      </w:tr>
      <w:tr w14:paraId="66E6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2765" w:type="dxa"/>
            <w:vAlign w:val="center"/>
          </w:tcPr>
          <w:p w14:paraId="6CDE8809">
            <w:pPr>
              <w:autoSpaceDE w:val="0"/>
              <w:autoSpaceDN w:val="0"/>
              <w:adjustRightInd w:val="0"/>
              <w:jc w:val="center"/>
              <w:rPr>
                <w:rFonts w:ascii="黑体" w:hAnsi="黑体" w:eastAsia="黑体" w:cs="黑体"/>
                <w:kern w:val="0"/>
                <w:szCs w:val="21"/>
              </w:rPr>
            </w:pPr>
            <w:r>
              <w:rPr>
                <w:rFonts w:hint="eastAsia" w:ascii="黑体" w:hAnsi="黑体" w:eastAsia="黑体" w:cs="黑体"/>
                <w:kern w:val="0"/>
                <w:szCs w:val="21"/>
              </w:rPr>
              <w:t>每个工作日</w:t>
            </w:r>
            <w:r>
              <w:rPr>
                <w:rFonts w:ascii="黑体" w:hAnsi="黑体" w:eastAsia="黑体" w:cs="黑体"/>
                <w:kern w:val="0"/>
                <w:szCs w:val="21"/>
              </w:rPr>
              <w:t>1</w:t>
            </w:r>
            <w:r>
              <w:rPr>
                <w:rFonts w:hint="eastAsia" w:ascii="黑体" w:hAnsi="黑体" w:eastAsia="黑体" w:cs="黑体"/>
                <w:kern w:val="0"/>
                <w:szCs w:val="21"/>
              </w:rPr>
              <w:t>7</w:t>
            </w:r>
            <w:r>
              <w:rPr>
                <w:rFonts w:ascii="黑体" w:hAnsi="黑体" w:eastAsia="黑体" w:cs="黑体"/>
                <w:kern w:val="0"/>
                <w:szCs w:val="21"/>
              </w:rPr>
              <w:t>:00-24:00</w:t>
            </w:r>
          </w:p>
        </w:tc>
        <w:tc>
          <w:tcPr>
            <w:tcW w:w="2765" w:type="dxa"/>
            <w:vAlign w:val="center"/>
          </w:tcPr>
          <w:p w14:paraId="3015C059">
            <w:pPr>
              <w:autoSpaceDE w:val="0"/>
              <w:autoSpaceDN w:val="0"/>
              <w:adjustRightInd w:val="0"/>
              <w:jc w:val="center"/>
              <w:rPr>
                <w:rFonts w:ascii="黑体" w:hAnsi="黑体" w:eastAsia="黑体" w:cs="黑体"/>
                <w:kern w:val="0"/>
                <w:szCs w:val="21"/>
              </w:rPr>
            </w:pPr>
            <w:r>
              <w:rPr>
                <w:rFonts w:hint="eastAsia" w:ascii="黑体" w:hAnsi="黑体" w:eastAsia="黑体" w:cs="黑体"/>
                <w:kern w:val="0"/>
                <w:szCs w:val="21"/>
              </w:rPr>
              <w:t>发起日下一工作日</w:t>
            </w:r>
          </w:p>
        </w:tc>
        <w:tc>
          <w:tcPr>
            <w:tcW w:w="2766" w:type="dxa"/>
            <w:vAlign w:val="center"/>
          </w:tcPr>
          <w:p w14:paraId="4D80F291">
            <w:pPr>
              <w:autoSpaceDE w:val="0"/>
              <w:autoSpaceDN w:val="0"/>
              <w:adjustRightInd w:val="0"/>
              <w:jc w:val="center"/>
              <w:rPr>
                <w:rFonts w:ascii="黑体" w:hAnsi="黑体" w:eastAsia="黑体" w:cs="黑体"/>
                <w:kern w:val="0"/>
                <w:szCs w:val="21"/>
              </w:rPr>
            </w:pPr>
            <w:r>
              <w:rPr>
                <w:rFonts w:hint="eastAsia" w:ascii="黑体" w:hAnsi="黑体" w:eastAsia="黑体" w:cs="黑体"/>
                <w:kern w:val="0"/>
                <w:szCs w:val="21"/>
              </w:rPr>
              <w:t>受理日下一工作日</w:t>
            </w:r>
          </w:p>
        </w:tc>
      </w:tr>
      <w:tr w14:paraId="44CA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2765" w:type="dxa"/>
            <w:vAlign w:val="center"/>
          </w:tcPr>
          <w:p w14:paraId="3702D7EC">
            <w:pPr>
              <w:autoSpaceDE w:val="0"/>
              <w:autoSpaceDN w:val="0"/>
              <w:adjustRightInd w:val="0"/>
              <w:jc w:val="center"/>
              <w:rPr>
                <w:rFonts w:ascii="黑体" w:hAnsi="黑体" w:eastAsia="黑体" w:cs="黑体"/>
                <w:kern w:val="0"/>
                <w:szCs w:val="21"/>
              </w:rPr>
            </w:pPr>
            <w:r>
              <w:rPr>
                <w:rFonts w:hint="eastAsia" w:ascii="黑体" w:hAnsi="黑体" w:eastAsia="黑体" w:cs="黑体"/>
                <w:kern w:val="0"/>
                <w:szCs w:val="21"/>
              </w:rPr>
              <w:t>非工作日</w:t>
            </w:r>
            <w:r>
              <w:rPr>
                <w:rFonts w:ascii="黑体" w:hAnsi="黑体" w:eastAsia="黑体" w:cs="黑体"/>
                <w:kern w:val="0"/>
                <w:szCs w:val="21"/>
              </w:rPr>
              <w:t>0:00-24:00</w:t>
            </w:r>
          </w:p>
        </w:tc>
        <w:tc>
          <w:tcPr>
            <w:tcW w:w="2765" w:type="dxa"/>
            <w:vAlign w:val="center"/>
          </w:tcPr>
          <w:p w14:paraId="032252F4">
            <w:pPr>
              <w:autoSpaceDE w:val="0"/>
              <w:autoSpaceDN w:val="0"/>
              <w:adjustRightInd w:val="0"/>
              <w:jc w:val="center"/>
              <w:rPr>
                <w:rFonts w:ascii="黑体" w:hAnsi="黑体" w:eastAsia="黑体" w:cs="黑体"/>
                <w:kern w:val="0"/>
                <w:szCs w:val="21"/>
              </w:rPr>
            </w:pPr>
            <w:r>
              <w:rPr>
                <w:rFonts w:hint="eastAsia" w:ascii="黑体" w:hAnsi="黑体" w:eastAsia="黑体" w:cs="黑体"/>
                <w:kern w:val="0"/>
                <w:szCs w:val="21"/>
              </w:rPr>
              <w:t>发起日下一工作日</w:t>
            </w:r>
          </w:p>
        </w:tc>
        <w:tc>
          <w:tcPr>
            <w:tcW w:w="2766" w:type="dxa"/>
            <w:vAlign w:val="center"/>
          </w:tcPr>
          <w:p w14:paraId="56D5026D">
            <w:pPr>
              <w:autoSpaceDE w:val="0"/>
              <w:autoSpaceDN w:val="0"/>
              <w:adjustRightInd w:val="0"/>
              <w:jc w:val="center"/>
              <w:rPr>
                <w:rFonts w:ascii="黑体" w:hAnsi="黑体" w:eastAsia="黑体" w:cs="黑体"/>
                <w:kern w:val="0"/>
                <w:szCs w:val="21"/>
              </w:rPr>
            </w:pPr>
            <w:r>
              <w:rPr>
                <w:rFonts w:hint="eastAsia" w:ascii="黑体" w:hAnsi="黑体" w:eastAsia="黑体" w:cs="黑体"/>
                <w:kern w:val="0"/>
                <w:szCs w:val="21"/>
              </w:rPr>
              <w:t>受理日下一工作日</w:t>
            </w:r>
          </w:p>
        </w:tc>
      </w:tr>
    </w:tbl>
    <w:p w14:paraId="3A02587D">
      <w:pPr>
        <w:autoSpaceDE w:val="0"/>
        <w:autoSpaceDN w:val="0"/>
        <w:adjustRightInd w:val="0"/>
        <w:ind w:firstLine="422" w:firstLineChars="200"/>
        <w:jc w:val="left"/>
        <w:rPr>
          <w:rFonts w:ascii="黑体" w:hAnsi="黑体" w:eastAsia="黑体" w:cs="黑体"/>
          <w:kern w:val="0"/>
          <w:szCs w:val="21"/>
        </w:rPr>
      </w:pPr>
      <w:r>
        <w:rPr>
          <w:rFonts w:hint="eastAsia" w:ascii="黑体" w:hAnsi="黑体" w:eastAsia="黑体" w:cs="黑体"/>
          <w:b/>
          <w:kern w:val="0"/>
          <w:szCs w:val="21"/>
        </w:rPr>
        <w:t>具体申购确认时间以销售机构展示为准。</w:t>
      </w:r>
    </w:p>
    <w:p w14:paraId="32F4E13C">
      <w:pPr>
        <w:autoSpaceDE w:val="0"/>
        <w:autoSpaceDN w:val="0"/>
        <w:adjustRightInd w:val="0"/>
        <w:ind w:firstLine="422" w:firstLineChars="200"/>
        <w:jc w:val="left"/>
        <w:rPr>
          <w:rFonts w:ascii="黑体" w:hAnsi="黑体" w:eastAsia="黑体" w:cs="黑体"/>
          <w:b/>
          <w:kern w:val="0"/>
          <w:szCs w:val="21"/>
        </w:rPr>
      </w:pPr>
      <w:r>
        <w:rPr>
          <w:rFonts w:hint="eastAsia" w:ascii="黑体" w:hAnsi="黑体" w:eastAsia="黑体" w:cs="黑体"/>
          <w:b/>
          <w:kern w:val="0"/>
          <w:szCs w:val="21"/>
        </w:rPr>
        <w:t>申购</w:t>
      </w:r>
      <w:r>
        <w:rPr>
          <w:rFonts w:ascii="黑体" w:hAnsi="黑体" w:eastAsia="黑体" w:cs="黑体"/>
          <w:b/>
          <w:kern w:val="0"/>
          <w:szCs w:val="21"/>
        </w:rPr>
        <w:t>、追加</w:t>
      </w:r>
      <w:r>
        <w:rPr>
          <w:rFonts w:hint="eastAsia" w:ascii="黑体" w:hAnsi="黑体" w:eastAsia="黑体" w:cs="黑体"/>
          <w:b/>
          <w:kern w:val="0"/>
          <w:szCs w:val="21"/>
        </w:rPr>
        <w:t>的价格采用申购受理日的产品净值。</w:t>
      </w:r>
    </w:p>
    <w:p w14:paraId="14B32884">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3</w:t>
      </w:r>
      <w:r>
        <w:rPr>
          <w:rFonts w:hint="eastAsia" w:ascii="黑体" w:hAnsi="黑体" w:eastAsia="黑体" w:cs="黑体"/>
          <w:kern w:val="0"/>
          <w:szCs w:val="21"/>
        </w:rPr>
        <w:t>、产品采用金额认（申）购规则</w:t>
      </w:r>
      <w:r>
        <w:rPr>
          <w:rFonts w:ascii="黑体" w:hAnsi="黑体" w:eastAsia="黑体" w:cs="黑体"/>
          <w:kern w:val="0"/>
          <w:szCs w:val="21"/>
        </w:rPr>
        <w:t>，</w:t>
      </w:r>
      <w:r>
        <w:rPr>
          <w:rFonts w:hint="eastAsia" w:ascii="黑体" w:hAnsi="黑体" w:eastAsia="黑体" w:cs="黑体"/>
          <w:kern w:val="0"/>
          <w:szCs w:val="21"/>
        </w:rPr>
        <w:t>即认（申）购以金额确定投资者</w:t>
      </w:r>
      <w:r>
        <w:rPr>
          <w:rFonts w:ascii="黑体" w:hAnsi="黑体" w:eastAsia="黑体" w:cs="黑体"/>
          <w:kern w:val="0"/>
          <w:szCs w:val="21"/>
        </w:rPr>
        <w:t>对应的</w:t>
      </w:r>
      <w:r>
        <w:rPr>
          <w:rFonts w:hint="eastAsia" w:ascii="黑体" w:hAnsi="黑体" w:eastAsia="黑体" w:cs="黑体"/>
          <w:kern w:val="0"/>
          <w:szCs w:val="21"/>
        </w:rPr>
        <w:t>产品份额</w:t>
      </w:r>
      <w:r>
        <w:rPr>
          <w:rFonts w:ascii="黑体" w:hAnsi="黑体" w:eastAsia="黑体" w:cs="黑体"/>
          <w:kern w:val="0"/>
          <w:szCs w:val="21"/>
        </w:rPr>
        <w:t>。</w:t>
      </w:r>
    </w:p>
    <w:p w14:paraId="2659D627">
      <w:pPr>
        <w:autoSpaceDE w:val="0"/>
        <w:autoSpaceDN w:val="0"/>
        <w:adjustRightInd w:val="0"/>
        <w:ind w:firstLine="422" w:firstLineChars="200"/>
        <w:jc w:val="left"/>
        <w:rPr>
          <w:rFonts w:ascii="黑体" w:hAnsi="黑体" w:eastAsia="黑体" w:cs="黑体"/>
          <w:b/>
          <w:kern w:val="0"/>
          <w:szCs w:val="21"/>
        </w:rPr>
      </w:pPr>
      <w:r>
        <w:rPr>
          <w:rFonts w:ascii="黑体" w:hAnsi="黑体" w:eastAsia="黑体" w:cs="黑体"/>
          <w:b/>
          <w:kern w:val="0"/>
          <w:szCs w:val="21"/>
        </w:rPr>
        <w:t>4</w:t>
      </w:r>
      <w:r>
        <w:rPr>
          <w:rFonts w:hint="eastAsia" w:ascii="黑体" w:hAnsi="黑体" w:eastAsia="黑体" w:cs="黑体"/>
          <w:b/>
          <w:kern w:val="0"/>
          <w:szCs w:val="21"/>
        </w:rPr>
        <w:t>、产品募集期</w:t>
      </w:r>
      <w:r>
        <w:rPr>
          <w:rFonts w:ascii="黑体" w:hAnsi="黑体" w:eastAsia="黑体" w:cs="黑体"/>
          <w:b/>
          <w:kern w:val="0"/>
          <w:szCs w:val="21"/>
        </w:rPr>
        <w:t>及</w:t>
      </w:r>
      <w:r>
        <w:rPr>
          <w:rFonts w:hint="eastAsia" w:ascii="黑体" w:hAnsi="黑体" w:eastAsia="黑体" w:cs="黑体"/>
          <w:b/>
          <w:kern w:val="0"/>
          <w:szCs w:val="21"/>
        </w:rPr>
        <w:t>存续期内，若出现以下情况，产品</w:t>
      </w:r>
      <w:r>
        <w:rPr>
          <w:rFonts w:ascii="黑体" w:hAnsi="黑体" w:eastAsia="黑体" w:cs="黑体"/>
          <w:b/>
          <w:kern w:val="0"/>
          <w:szCs w:val="21"/>
        </w:rPr>
        <w:t>管理人</w:t>
      </w:r>
      <w:r>
        <w:rPr>
          <w:rFonts w:hint="eastAsia" w:ascii="黑体" w:hAnsi="黑体" w:eastAsia="黑体" w:cs="黑体"/>
          <w:b/>
          <w:kern w:val="0"/>
          <w:szCs w:val="21"/>
        </w:rPr>
        <w:t>有权拒绝或暂停接受投资者的认（申）购或追加认（申）购申请：</w:t>
      </w:r>
    </w:p>
    <w:p w14:paraId="5F796584">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w:t>
      </w:r>
      <w:r>
        <w:rPr>
          <w:rFonts w:ascii="黑体" w:hAnsi="黑体" w:eastAsia="黑体" w:cs="黑体"/>
          <w:kern w:val="0"/>
          <w:szCs w:val="21"/>
        </w:rPr>
        <w:t>1）因不可抗力导致</w:t>
      </w:r>
      <w:r>
        <w:rPr>
          <w:rFonts w:hint="eastAsia" w:ascii="黑体" w:hAnsi="黑体" w:eastAsia="黑体" w:cs="黑体"/>
          <w:kern w:val="0"/>
          <w:szCs w:val="21"/>
        </w:rPr>
        <w:t>产品管理机构无法接受投资者认（申）购或追加认（申）购申请；</w:t>
      </w:r>
    </w:p>
    <w:p w14:paraId="07BB40B9">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w:t>
      </w:r>
      <w:r>
        <w:rPr>
          <w:rFonts w:ascii="黑体" w:hAnsi="黑体" w:eastAsia="黑体" w:cs="黑体"/>
          <w:kern w:val="0"/>
          <w:szCs w:val="21"/>
        </w:rPr>
        <w:t>2）继续接受认（申）购申请可能对产品存量投资者利益构成重大不利影响；</w:t>
      </w:r>
    </w:p>
    <w:p w14:paraId="4694BC56">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w:t>
      </w:r>
      <w:r>
        <w:rPr>
          <w:rFonts w:ascii="黑体" w:hAnsi="黑体" w:eastAsia="黑体" w:cs="黑体"/>
          <w:kern w:val="0"/>
          <w:szCs w:val="21"/>
        </w:rPr>
        <w:t>3</w:t>
      </w:r>
      <w:r>
        <w:rPr>
          <w:rFonts w:hint="eastAsia" w:ascii="黑体" w:hAnsi="黑体" w:eastAsia="黑体" w:cs="黑体"/>
          <w:kern w:val="0"/>
          <w:szCs w:val="21"/>
        </w:rPr>
        <w:t>）法律、法规或相关监管认定的其他情形，以及本说明书约定的其他情形。</w:t>
      </w:r>
    </w:p>
    <w:p w14:paraId="271DD2F0">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5、其他</w:t>
      </w:r>
      <w:r>
        <w:rPr>
          <w:rFonts w:hint="eastAsia" w:ascii="黑体" w:hAnsi="黑体" w:eastAsia="黑体" w:cs="黑体"/>
          <w:kern w:val="0"/>
          <w:szCs w:val="21"/>
        </w:rPr>
        <w:t>：无</w:t>
      </w:r>
    </w:p>
    <w:p w14:paraId="7FD3C6AB">
      <w:pPr>
        <w:autoSpaceDE w:val="0"/>
        <w:autoSpaceDN w:val="0"/>
        <w:adjustRightInd w:val="0"/>
        <w:jc w:val="left"/>
        <w:rPr>
          <w:rFonts w:ascii="黑体" w:hAnsi="黑体" w:eastAsia="黑体" w:cs="宋体"/>
          <w:kern w:val="0"/>
          <w:szCs w:val="21"/>
        </w:rPr>
      </w:pPr>
      <w:r>
        <w:rPr>
          <w:rFonts w:hint="eastAsia" w:ascii="黑体" w:hAnsi="黑体" w:eastAsia="黑体" w:cs="宋体"/>
          <w:kern w:val="0"/>
          <w:szCs w:val="21"/>
        </w:rPr>
        <w:t>（二）赎回相关规则</w:t>
      </w:r>
    </w:p>
    <w:p w14:paraId="7D3A6886">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1</w:t>
      </w:r>
      <w:r>
        <w:rPr>
          <w:rFonts w:hint="eastAsia" w:ascii="黑体" w:hAnsi="黑体" w:eastAsia="黑体" w:cs="黑体"/>
          <w:kern w:val="0"/>
          <w:szCs w:val="21"/>
        </w:rPr>
        <w:t>、</w:t>
      </w:r>
      <w:r>
        <w:rPr>
          <w:rFonts w:hint="eastAsia" w:ascii="黑体" w:hAnsi="黑体"/>
          <w:kern w:val="0"/>
        </w:rPr>
        <w:t>产品</w:t>
      </w:r>
      <w:r>
        <w:rPr>
          <w:rFonts w:hint="eastAsia" w:ascii="黑体" w:hAnsi="黑体" w:eastAsia="黑体" w:cs="黑体"/>
          <w:kern w:val="0"/>
          <w:szCs w:val="21"/>
        </w:rPr>
        <w:t>存续期间，投资者可以对满足最短持有期限要求的本产品份额进行</w:t>
      </w:r>
      <w:r>
        <w:rPr>
          <w:rFonts w:hint="eastAsia" w:ascii="黑体" w:hAnsi="黑体"/>
          <w:kern w:val="0"/>
        </w:rPr>
        <w:t>赎回</w:t>
      </w:r>
      <w:r>
        <w:rPr>
          <w:rFonts w:hint="eastAsia" w:ascii="黑体" w:hAnsi="黑体" w:eastAsia="黑体" w:cs="黑体"/>
          <w:kern w:val="0"/>
          <w:szCs w:val="21"/>
        </w:rPr>
        <w:t>，产品管理人将在赎回受理日对上述赎回申请进行处理，在赎回确认日</w:t>
      </w:r>
      <w:r>
        <w:rPr>
          <w:rFonts w:ascii="黑体" w:hAnsi="黑体" w:eastAsia="黑体" w:cs="黑体"/>
          <w:kern w:val="0"/>
          <w:szCs w:val="21"/>
        </w:rPr>
        <w:t>对上述赎回申请进行确认，</w:t>
      </w:r>
      <w:r>
        <w:rPr>
          <w:rFonts w:hint="eastAsia" w:ascii="黑体" w:hAnsi="黑体" w:eastAsia="黑体" w:cs="黑体"/>
          <w:kern w:val="0"/>
          <w:szCs w:val="21"/>
        </w:rPr>
        <w:t>投资者实际赎回份额以产品管理人确认的份额为准，</w:t>
      </w:r>
      <w:r>
        <w:rPr>
          <w:rFonts w:hint="eastAsia" w:ascii="黑体" w:hAnsi="黑体" w:eastAsia="黑体" w:cs="黑体"/>
          <w:b/>
          <w:kern w:val="0"/>
          <w:szCs w:val="21"/>
        </w:rPr>
        <w:t>投资者的赎回金额将于赎回确认日后</w:t>
      </w:r>
      <w:r>
        <w:rPr>
          <w:rFonts w:ascii="黑体" w:hAnsi="黑体" w:eastAsia="黑体" w:cs="黑体"/>
          <w:b/>
          <w:kern w:val="0"/>
          <w:szCs w:val="21"/>
        </w:rPr>
        <w:t>3</w:t>
      </w:r>
      <w:r>
        <w:rPr>
          <w:rFonts w:hint="eastAsia" w:ascii="黑体" w:hAnsi="黑体" w:eastAsia="黑体" w:cs="黑体"/>
          <w:b/>
          <w:kern w:val="0"/>
          <w:szCs w:val="21"/>
        </w:rPr>
        <w:t>个工作日内到账</w:t>
      </w:r>
      <w:r>
        <w:rPr>
          <w:rFonts w:hint="eastAsia" w:ascii="黑体" w:hAnsi="黑体" w:eastAsia="黑体" w:cs="黑体"/>
          <w:kern w:val="0"/>
          <w:szCs w:val="21"/>
        </w:rPr>
        <w:t>。</w:t>
      </w:r>
    </w:p>
    <w:p w14:paraId="44C8E1C1">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赎回交易时间规则如下表所示：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0546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6989735D">
            <w:pPr>
              <w:autoSpaceDE w:val="0"/>
              <w:autoSpaceDN w:val="0"/>
              <w:adjustRightInd w:val="0"/>
              <w:jc w:val="center"/>
              <w:rPr>
                <w:rFonts w:ascii="黑体" w:hAnsi="黑体" w:eastAsia="黑体" w:cs="黑体"/>
                <w:b/>
                <w:kern w:val="0"/>
                <w:szCs w:val="21"/>
              </w:rPr>
            </w:pPr>
            <w:r>
              <w:rPr>
                <w:rFonts w:hint="eastAsia" w:ascii="黑体" w:hAnsi="黑体" w:eastAsia="黑体" w:cs="黑体"/>
                <w:b/>
                <w:kern w:val="0"/>
                <w:szCs w:val="21"/>
              </w:rPr>
              <w:t>赎回发起时间</w:t>
            </w:r>
          </w:p>
        </w:tc>
        <w:tc>
          <w:tcPr>
            <w:tcW w:w="2765" w:type="dxa"/>
            <w:vAlign w:val="center"/>
          </w:tcPr>
          <w:p w14:paraId="591BB736">
            <w:pPr>
              <w:autoSpaceDE w:val="0"/>
              <w:autoSpaceDN w:val="0"/>
              <w:adjustRightInd w:val="0"/>
              <w:jc w:val="center"/>
              <w:rPr>
                <w:rFonts w:ascii="黑体" w:hAnsi="黑体" w:eastAsia="黑体" w:cs="黑体"/>
                <w:b/>
                <w:kern w:val="0"/>
                <w:szCs w:val="21"/>
              </w:rPr>
            </w:pPr>
            <w:r>
              <w:rPr>
                <w:rFonts w:hint="eastAsia" w:ascii="黑体" w:hAnsi="黑体" w:eastAsia="黑体" w:cs="黑体"/>
                <w:b/>
                <w:kern w:val="0"/>
                <w:szCs w:val="21"/>
              </w:rPr>
              <w:t>赎回受理日</w:t>
            </w:r>
          </w:p>
        </w:tc>
        <w:tc>
          <w:tcPr>
            <w:tcW w:w="2766" w:type="dxa"/>
            <w:vAlign w:val="center"/>
          </w:tcPr>
          <w:p w14:paraId="17507932">
            <w:pPr>
              <w:autoSpaceDE w:val="0"/>
              <w:autoSpaceDN w:val="0"/>
              <w:adjustRightInd w:val="0"/>
              <w:jc w:val="center"/>
              <w:rPr>
                <w:rFonts w:ascii="黑体" w:hAnsi="黑体" w:eastAsia="黑体" w:cs="黑体"/>
                <w:b/>
                <w:kern w:val="0"/>
                <w:szCs w:val="21"/>
              </w:rPr>
            </w:pPr>
            <w:r>
              <w:rPr>
                <w:rFonts w:hint="eastAsia" w:ascii="黑体" w:hAnsi="黑体" w:eastAsia="黑体" w:cs="黑体"/>
                <w:b/>
                <w:kern w:val="0"/>
                <w:szCs w:val="21"/>
              </w:rPr>
              <w:t>赎回确认日</w:t>
            </w:r>
          </w:p>
        </w:tc>
      </w:tr>
      <w:tr w14:paraId="02EA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73196726">
            <w:pPr>
              <w:autoSpaceDE w:val="0"/>
              <w:autoSpaceDN w:val="0"/>
              <w:adjustRightInd w:val="0"/>
              <w:jc w:val="center"/>
              <w:rPr>
                <w:rFonts w:ascii="黑体" w:hAnsi="黑体" w:eastAsia="黑体" w:cs="黑体"/>
                <w:kern w:val="0"/>
                <w:szCs w:val="21"/>
              </w:rPr>
            </w:pPr>
            <w:r>
              <w:rPr>
                <w:rFonts w:hint="eastAsia" w:ascii="黑体" w:hAnsi="黑体" w:eastAsia="黑体" w:cs="黑体"/>
                <w:kern w:val="0"/>
                <w:szCs w:val="21"/>
              </w:rPr>
              <w:t>每个工作日</w:t>
            </w:r>
            <w:r>
              <w:rPr>
                <w:rFonts w:ascii="黑体" w:hAnsi="黑体" w:eastAsia="黑体" w:cs="黑体"/>
                <w:kern w:val="0"/>
                <w:szCs w:val="21"/>
              </w:rPr>
              <w:t>0:00-1</w:t>
            </w:r>
            <w:r>
              <w:rPr>
                <w:rFonts w:hint="eastAsia" w:ascii="黑体" w:hAnsi="黑体" w:eastAsia="黑体" w:cs="黑体"/>
                <w:kern w:val="0"/>
                <w:szCs w:val="21"/>
              </w:rPr>
              <w:t>7</w:t>
            </w:r>
            <w:r>
              <w:rPr>
                <w:rFonts w:ascii="黑体" w:hAnsi="黑体" w:eastAsia="黑体" w:cs="黑体"/>
                <w:kern w:val="0"/>
                <w:szCs w:val="21"/>
              </w:rPr>
              <w:t>:00</w:t>
            </w:r>
          </w:p>
        </w:tc>
        <w:tc>
          <w:tcPr>
            <w:tcW w:w="2765" w:type="dxa"/>
            <w:vAlign w:val="center"/>
          </w:tcPr>
          <w:p w14:paraId="3097045B">
            <w:pPr>
              <w:autoSpaceDE w:val="0"/>
              <w:autoSpaceDN w:val="0"/>
              <w:adjustRightInd w:val="0"/>
              <w:jc w:val="center"/>
              <w:rPr>
                <w:rFonts w:ascii="黑体" w:hAnsi="黑体" w:eastAsia="黑体" w:cs="黑体"/>
                <w:kern w:val="0"/>
                <w:szCs w:val="21"/>
              </w:rPr>
            </w:pPr>
            <w:r>
              <w:rPr>
                <w:rFonts w:hint="eastAsia" w:ascii="黑体" w:hAnsi="黑体" w:eastAsia="黑体" w:cs="黑体"/>
                <w:kern w:val="0"/>
                <w:szCs w:val="21"/>
              </w:rPr>
              <w:t>发起当日</w:t>
            </w:r>
          </w:p>
        </w:tc>
        <w:tc>
          <w:tcPr>
            <w:tcW w:w="2766" w:type="dxa"/>
            <w:vAlign w:val="center"/>
          </w:tcPr>
          <w:p w14:paraId="2C8EF219">
            <w:pPr>
              <w:autoSpaceDE w:val="0"/>
              <w:autoSpaceDN w:val="0"/>
              <w:adjustRightInd w:val="0"/>
              <w:jc w:val="center"/>
              <w:rPr>
                <w:rFonts w:ascii="黑体" w:hAnsi="黑体" w:eastAsia="黑体" w:cs="黑体"/>
                <w:kern w:val="0"/>
                <w:szCs w:val="21"/>
              </w:rPr>
            </w:pPr>
            <w:r>
              <w:rPr>
                <w:rFonts w:hint="eastAsia" w:ascii="黑体" w:hAnsi="黑体" w:eastAsia="黑体" w:cs="黑体"/>
                <w:kern w:val="0"/>
                <w:szCs w:val="21"/>
              </w:rPr>
              <w:t>受理日下一工作日</w:t>
            </w:r>
          </w:p>
        </w:tc>
      </w:tr>
      <w:tr w14:paraId="42C7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77EA1DB5">
            <w:pPr>
              <w:autoSpaceDE w:val="0"/>
              <w:autoSpaceDN w:val="0"/>
              <w:adjustRightInd w:val="0"/>
              <w:jc w:val="center"/>
              <w:rPr>
                <w:rFonts w:ascii="黑体" w:hAnsi="黑体" w:eastAsia="黑体" w:cs="黑体"/>
                <w:kern w:val="0"/>
                <w:szCs w:val="21"/>
              </w:rPr>
            </w:pPr>
            <w:r>
              <w:rPr>
                <w:rFonts w:hint="eastAsia" w:ascii="黑体" w:hAnsi="黑体" w:eastAsia="黑体" w:cs="黑体"/>
                <w:kern w:val="0"/>
                <w:szCs w:val="21"/>
              </w:rPr>
              <w:t>每个工作日</w:t>
            </w:r>
            <w:r>
              <w:rPr>
                <w:rFonts w:ascii="黑体" w:hAnsi="黑体" w:eastAsia="黑体" w:cs="黑体"/>
                <w:kern w:val="0"/>
                <w:szCs w:val="21"/>
              </w:rPr>
              <w:t>1</w:t>
            </w:r>
            <w:r>
              <w:rPr>
                <w:rFonts w:hint="eastAsia" w:ascii="黑体" w:hAnsi="黑体" w:eastAsia="黑体" w:cs="黑体"/>
                <w:kern w:val="0"/>
                <w:szCs w:val="21"/>
              </w:rPr>
              <w:t>7</w:t>
            </w:r>
            <w:r>
              <w:rPr>
                <w:rFonts w:ascii="黑体" w:hAnsi="黑体" w:eastAsia="黑体" w:cs="黑体"/>
                <w:kern w:val="0"/>
                <w:szCs w:val="21"/>
              </w:rPr>
              <w:t>:00-24:00</w:t>
            </w:r>
          </w:p>
        </w:tc>
        <w:tc>
          <w:tcPr>
            <w:tcW w:w="2765" w:type="dxa"/>
            <w:vAlign w:val="center"/>
          </w:tcPr>
          <w:p w14:paraId="6B82A356">
            <w:pPr>
              <w:autoSpaceDE w:val="0"/>
              <w:autoSpaceDN w:val="0"/>
              <w:adjustRightInd w:val="0"/>
              <w:jc w:val="center"/>
              <w:rPr>
                <w:rFonts w:ascii="黑体" w:hAnsi="黑体" w:eastAsia="黑体" w:cs="黑体"/>
                <w:kern w:val="0"/>
                <w:szCs w:val="21"/>
              </w:rPr>
            </w:pPr>
            <w:r>
              <w:rPr>
                <w:rFonts w:hint="eastAsia" w:ascii="黑体" w:hAnsi="黑体" w:eastAsia="黑体" w:cs="黑体"/>
                <w:kern w:val="0"/>
                <w:szCs w:val="21"/>
              </w:rPr>
              <w:t>发起日下一工作日</w:t>
            </w:r>
          </w:p>
        </w:tc>
        <w:tc>
          <w:tcPr>
            <w:tcW w:w="2766" w:type="dxa"/>
            <w:vAlign w:val="center"/>
          </w:tcPr>
          <w:p w14:paraId="0DC11175">
            <w:pPr>
              <w:autoSpaceDE w:val="0"/>
              <w:autoSpaceDN w:val="0"/>
              <w:adjustRightInd w:val="0"/>
              <w:jc w:val="center"/>
              <w:rPr>
                <w:rFonts w:ascii="黑体" w:hAnsi="黑体" w:eastAsia="黑体" w:cs="黑体"/>
                <w:kern w:val="0"/>
                <w:szCs w:val="21"/>
              </w:rPr>
            </w:pPr>
            <w:r>
              <w:rPr>
                <w:rFonts w:hint="eastAsia" w:ascii="黑体" w:hAnsi="黑体" w:eastAsia="黑体" w:cs="黑体"/>
                <w:kern w:val="0"/>
                <w:szCs w:val="21"/>
              </w:rPr>
              <w:t>受理日下一工作日</w:t>
            </w:r>
          </w:p>
        </w:tc>
      </w:tr>
      <w:tr w14:paraId="6ABD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7707B75F">
            <w:pPr>
              <w:autoSpaceDE w:val="0"/>
              <w:autoSpaceDN w:val="0"/>
              <w:adjustRightInd w:val="0"/>
              <w:jc w:val="center"/>
              <w:rPr>
                <w:rFonts w:ascii="黑体" w:hAnsi="黑体" w:eastAsia="黑体" w:cs="黑体"/>
                <w:kern w:val="0"/>
                <w:szCs w:val="21"/>
              </w:rPr>
            </w:pPr>
            <w:r>
              <w:rPr>
                <w:rFonts w:hint="eastAsia" w:ascii="黑体" w:hAnsi="黑体" w:eastAsia="黑体" w:cs="黑体"/>
                <w:kern w:val="0"/>
                <w:szCs w:val="21"/>
              </w:rPr>
              <w:t>非工作日</w:t>
            </w:r>
            <w:r>
              <w:rPr>
                <w:rFonts w:ascii="黑体" w:hAnsi="黑体" w:eastAsia="黑体" w:cs="黑体"/>
                <w:kern w:val="0"/>
                <w:szCs w:val="21"/>
              </w:rPr>
              <w:t>0:00-24:00</w:t>
            </w:r>
          </w:p>
        </w:tc>
        <w:tc>
          <w:tcPr>
            <w:tcW w:w="2765" w:type="dxa"/>
            <w:vAlign w:val="center"/>
          </w:tcPr>
          <w:p w14:paraId="7E12A162">
            <w:pPr>
              <w:autoSpaceDE w:val="0"/>
              <w:autoSpaceDN w:val="0"/>
              <w:adjustRightInd w:val="0"/>
              <w:jc w:val="center"/>
              <w:rPr>
                <w:rFonts w:ascii="黑体" w:hAnsi="黑体" w:eastAsia="黑体" w:cs="黑体"/>
                <w:kern w:val="0"/>
                <w:szCs w:val="21"/>
              </w:rPr>
            </w:pPr>
            <w:r>
              <w:rPr>
                <w:rFonts w:hint="eastAsia" w:ascii="黑体" w:hAnsi="黑体" w:eastAsia="黑体" w:cs="黑体"/>
                <w:kern w:val="0"/>
                <w:szCs w:val="21"/>
              </w:rPr>
              <w:t>发起日下一工作日</w:t>
            </w:r>
          </w:p>
        </w:tc>
        <w:tc>
          <w:tcPr>
            <w:tcW w:w="2766" w:type="dxa"/>
            <w:vAlign w:val="center"/>
          </w:tcPr>
          <w:p w14:paraId="2BC61FC5">
            <w:pPr>
              <w:autoSpaceDE w:val="0"/>
              <w:autoSpaceDN w:val="0"/>
              <w:adjustRightInd w:val="0"/>
              <w:jc w:val="center"/>
              <w:rPr>
                <w:rFonts w:ascii="黑体" w:hAnsi="黑体" w:eastAsia="黑体" w:cs="黑体"/>
                <w:kern w:val="0"/>
                <w:szCs w:val="21"/>
              </w:rPr>
            </w:pPr>
            <w:r>
              <w:rPr>
                <w:rFonts w:hint="eastAsia" w:ascii="黑体" w:hAnsi="黑体" w:eastAsia="黑体" w:cs="黑体"/>
                <w:kern w:val="0"/>
                <w:szCs w:val="21"/>
              </w:rPr>
              <w:t>受理日下一工作日</w:t>
            </w:r>
          </w:p>
        </w:tc>
      </w:tr>
    </w:tbl>
    <w:p w14:paraId="035AB784">
      <w:pPr>
        <w:autoSpaceDE w:val="0"/>
        <w:autoSpaceDN w:val="0"/>
        <w:adjustRightInd w:val="0"/>
        <w:ind w:firstLine="422" w:firstLineChars="200"/>
        <w:jc w:val="left"/>
        <w:rPr>
          <w:rFonts w:ascii="黑体" w:hAnsi="黑体" w:eastAsia="黑体" w:cs="黑体"/>
          <w:kern w:val="0"/>
          <w:szCs w:val="21"/>
        </w:rPr>
      </w:pPr>
      <w:r>
        <w:rPr>
          <w:rFonts w:hint="eastAsia" w:ascii="黑体" w:hAnsi="黑体" w:eastAsia="黑体" w:cs="黑体"/>
          <w:b/>
          <w:kern w:val="0"/>
          <w:szCs w:val="21"/>
        </w:rPr>
        <w:t>具体赎回确认时间以销售机构展示为准，在途期间投资者资金不计息。</w:t>
      </w:r>
    </w:p>
    <w:p w14:paraId="4A3EF23C">
      <w:pPr>
        <w:autoSpaceDE w:val="0"/>
        <w:autoSpaceDN w:val="0"/>
        <w:adjustRightInd w:val="0"/>
        <w:ind w:firstLine="422" w:firstLineChars="200"/>
        <w:jc w:val="left"/>
        <w:rPr>
          <w:rFonts w:ascii="黑体" w:hAnsi="黑体" w:eastAsia="黑体" w:cs="黑体"/>
          <w:b/>
          <w:kern w:val="0"/>
          <w:szCs w:val="21"/>
        </w:rPr>
      </w:pPr>
      <w:r>
        <w:rPr>
          <w:rFonts w:hint="eastAsia" w:ascii="黑体" w:hAnsi="黑体" w:eastAsia="黑体"/>
          <w:b/>
          <w:kern w:val="0"/>
        </w:rPr>
        <w:t>赎回价格采用</w:t>
      </w:r>
      <w:r>
        <w:rPr>
          <w:rFonts w:hint="eastAsia" w:ascii="黑体" w:hAnsi="黑体" w:eastAsia="黑体" w:cs="黑体"/>
          <w:b/>
          <w:kern w:val="0"/>
          <w:szCs w:val="21"/>
        </w:rPr>
        <w:t>赎回受理日</w:t>
      </w:r>
      <w:r>
        <w:rPr>
          <w:rFonts w:hint="eastAsia" w:ascii="黑体" w:hAnsi="黑体" w:eastAsia="黑体"/>
          <w:b/>
          <w:kern w:val="0"/>
        </w:rPr>
        <w:t>的产品净值。</w:t>
      </w:r>
    </w:p>
    <w:p w14:paraId="7A59AA64">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2</w:t>
      </w:r>
      <w:r>
        <w:rPr>
          <w:rFonts w:hint="eastAsia" w:ascii="黑体" w:hAnsi="黑体" w:eastAsia="黑体" w:cs="黑体"/>
          <w:kern w:val="0"/>
          <w:szCs w:val="21"/>
        </w:rPr>
        <w:t>、投资者</w:t>
      </w:r>
      <w:r>
        <w:rPr>
          <w:rFonts w:ascii="黑体" w:hAnsi="黑体" w:eastAsia="黑体" w:cs="黑体"/>
          <w:kern w:val="0"/>
          <w:szCs w:val="21"/>
        </w:rPr>
        <w:t>持有</w:t>
      </w:r>
      <w:r>
        <w:rPr>
          <w:rFonts w:hint="eastAsia" w:ascii="黑体" w:hAnsi="黑体" w:eastAsia="黑体" w:cs="黑体"/>
          <w:kern w:val="0"/>
          <w:szCs w:val="21"/>
        </w:rPr>
        <w:t>本产品</w:t>
      </w:r>
      <w:r>
        <w:rPr>
          <w:rFonts w:ascii="黑体" w:hAnsi="黑体" w:eastAsia="黑体" w:cs="黑体"/>
          <w:kern w:val="0"/>
          <w:szCs w:val="21"/>
        </w:rPr>
        <w:t>份额根据</w:t>
      </w:r>
      <w:r>
        <w:rPr>
          <w:rFonts w:hint="eastAsia" w:ascii="黑体" w:hAnsi="黑体" w:eastAsia="黑体" w:cs="黑体"/>
          <w:kern w:val="0"/>
          <w:szCs w:val="21"/>
        </w:rPr>
        <w:t>认（申）</w:t>
      </w:r>
      <w:r>
        <w:rPr>
          <w:rFonts w:ascii="黑体" w:hAnsi="黑体" w:eastAsia="黑体" w:cs="黑体"/>
          <w:kern w:val="0"/>
          <w:szCs w:val="21"/>
        </w:rPr>
        <w:t>购交易</w:t>
      </w:r>
      <w:r>
        <w:rPr>
          <w:rFonts w:hint="eastAsia" w:ascii="黑体" w:hAnsi="黑体" w:eastAsia="黑体" w:cs="黑体"/>
          <w:kern w:val="0"/>
          <w:szCs w:val="21"/>
        </w:rPr>
        <w:t>记录逐</w:t>
      </w:r>
      <w:r>
        <w:rPr>
          <w:rFonts w:ascii="黑体" w:hAnsi="黑体" w:eastAsia="黑体" w:cs="黑体"/>
          <w:kern w:val="0"/>
          <w:szCs w:val="21"/>
        </w:rPr>
        <w:t>笔</w:t>
      </w:r>
      <w:r>
        <w:rPr>
          <w:rFonts w:hint="eastAsia" w:ascii="黑体" w:hAnsi="黑体" w:eastAsia="黑体" w:cs="黑体"/>
          <w:kern w:val="0"/>
          <w:szCs w:val="21"/>
        </w:rPr>
        <w:t>列出</w:t>
      </w:r>
      <w:r>
        <w:rPr>
          <w:rFonts w:ascii="黑体" w:hAnsi="黑体" w:eastAsia="黑体" w:cs="黑体"/>
          <w:kern w:val="0"/>
          <w:szCs w:val="21"/>
        </w:rPr>
        <w:t>，</w:t>
      </w:r>
      <w:r>
        <w:rPr>
          <w:rFonts w:hint="eastAsia" w:ascii="黑体" w:hAnsi="黑体" w:eastAsia="黑体" w:cs="黑体"/>
          <w:kern w:val="0"/>
          <w:szCs w:val="21"/>
        </w:rPr>
        <w:t>投资者</w:t>
      </w:r>
      <w:r>
        <w:rPr>
          <w:rFonts w:ascii="黑体" w:hAnsi="黑体" w:eastAsia="黑体" w:cs="黑体"/>
          <w:kern w:val="0"/>
          <w:szCs w:val="21"/>
        </w:rPr>
        <w:t>可选择</w:t>
      </w:r>
      <w:r>
        <w:rPr>
          <w:rFonts w:hint="eastAsia" w:ascii="黑体" w:hAnsi="黑体" w:eastAsia="黑体" w:cs="黑体"/>
          <w:kern w:val="0"/>
          <w:szCs w:val="21"/>
        </w:rPr>
        <w:t>相应</w:t>
      </w:r>
      <w:r>
        <w:rPr>
          <w:rFonts w:ascii="黑体" w:hAnsi="黑体" w:eastAsia="黑体" w:cs="黑体"/>
          <w:kern w:val="0"/>
          <w:szCs w:val="21"/>
        </w:rPr>
        <w:t>的份额进行赎回</w:t>
      </w:r>
      <w:r>
        <w:rPr>
          <w:rFonts w:hint="eastAsia" w:ascii="黑体" w:hAnsi="黑体" w:eastAsia="黑体" w:cs="黑体"/>
          <w:kern w:val="0"/>
          <w:szCs w:val="21"/>
        </w:rPr>
        <w:t>，或</w:t>
      </w:r>
      <w:r>
        <w:rPr>
          <w:rFonts w:ascii="黑体" w:hAnsi="黑体" w:eastAsia="黑体" w:cs="黑体"/>
          <w:kern w:val="0"/>
          <w:szCs w:val="21"/>
        </w:rPr>
        <w:t>遵循“先进先出”原则，即按照投资者持有该理财份额的先后次序进行顺序赎回</w:t>
      </w:r>
      <w:r>
        <w:rPr>
          <w:rFonts w:hint="eastAsia" w:ascii="黑体" w:hAnsi="黑体" w:eastAsia="黑体" w:cs="黑体"/>
          <w:kern w:val="0"/>
          <w:szCs w:val="21"/>
        </w:rPr>
        <w:t>，具体以销售机构实际展示或处理为准</w:t>
      </w:r>
      <w:r>
        <w:rPr>
          <w:rFonts w:ascii="黑体" w:hAnsi="黑体" w:eastAsia="黑体" w:cs="黑体"/>
          <w:kern w:val="0"/>
          <w:szCs w:val="21"/>
        </w:rPr>
        <w:t>。</w:t>
      </w:r>
    </w:p>
    <w:p w14:paraId="0A42AB64">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3</w:t>
      </w:r>
      <w:r>
        <w:rPr>
          <w:rFonts w:hint="eastAsia" w:ascii="黑体" w:hAnsi="黑体" w:eastAsia="黑体" w:cs="黑体"/>
          <w:kern w:val="0"/>
          <w:szCs w:val="21"/>
        </w:rPr>
        <w:t>、产品采用份额赎回规则</w:t>
      </w:r>
      <w:r>
        <w:rPr>
          <w:rFonts w:ascii="黑体" w:hAnsi="黑体" w:eastAsia="黑体" w:cs="黑体"/>
          <w:kern w:val="0"/>
          <w:szCs w:val="21"/>
        </w:rPr>
        <w:t>，</w:t>
      </w:r>
      <w:r>
        <w:rPr>
          <w:rFonts w:hint="eastAsia" w:ascii="黑体" w:hAnsi="黑体" w:eastAsia="黑体" w:cs="黑体"/>
          <w:kern w:val="0"/>
          <w:szCs w:val="21"/>
        </w:rPr>
        <w:t>即赎回以份额确定投资者</w:t>
      </w:r>
      <w:r>
        <w:rPr>
          <w:rFonts w:ascii="黑体" w:hAnsi="黑体" w:eastAsia="黑体" w:cs="黑体"/>
          <w:kern w:val="0"/>
          <w:szCs w:val="21"/>
        </w:rPr>
        <w:t>对应的</w:t>
      </w:r>
      <w:r>
        <w:rPr>
          <w:rFonts w:hint="eastAsia" w:ascii="黑体" w:hAnsi="黑体" w:eastAsia="黑体" w:cs="黑体"/>
          <w:kern w:val="0"/>
          <w:szCs w:val="21"/>
        </w:rPr>
        <w:t>产品金额</w:t>
      </w:r>
      <w:r>
        <w:rPr>
          <w:rFonts w:ascii="黑体" w:hAnsi="黑体" w:eastAsia="黑体" w:cs="黑体"/>
          <w:kern w:val="0"/>
          <w:szCs w:val="21"/>
        </w:rPr>
        <w:t>。</w:t>
      </w:r>
    </w:p>
    <w:p w14:paraId="24B7010A">
      <w:pPr>
        <w:autoSpaceDE w:val="0"/>
        <w:autoSpaceDN w:val="0"/>
        <w:adjustRightInd w:val="0"/>
        <w:ind w:firstLine="420" w:firstLineChars="200"/>
        <w:jc w:val="left"/>
        <w:rPr>
          <w:rFonts w:ascii="黑体" w:hAnsi="黑体" w:eastAsia="黑体" w:cs="黑体"/>
          <w:b/>
          <w:kern w:val="0"/>
          <w:szCs w:val="21"/>
        </w:rPr>
      </w:pPr>
      <w:r>
        <w:rPr>
          <w:rFonts w:ascii="黑体" w:hAnsi="黑体" w:eastAsia="黑体" w:cs="黑体"/>
          <w:kern w:val="0"/>
          <w:szCs w:val="21"/>
        </w:rPr>
        <w:t>4、产品到期日时，</w:t>
      </w:r>
      <w:r>
        <w:rPr>
          <w:rFonts w:hint="eastAsia" w:ascii="黑体" w:hAnsi="黑体" w:eastAsia="黑体" w:cs="黑体"/>
          <w:kern w:val="0"/>
          <w:szCs w:val="21"/>
        </w:rPr>
        <w:t>投资者持有的理财份额将在产品到期日全部自动赎回，</w:t>
      </w:r>
      <w:r>
        <w:rPr>
          <w:rFonts w:hint="eastAsia" w:ascii="黑体" w:hAnsi="黑体" w:eastAsia="黑体" w:cs="黑体"/>
          <w:b/>
          <w:kern w:val="0"/>
          <w:szCs w:val="21"/>
        </w:rPr>
        <w:t>赎回价格采用到期时的产品净值。</w:t>
      </w:r>
    </w:p>
    <w:p w14:paraId="76E26CF9">
      <w:pPr>
        <w:autoSpaceDE w:val="0"/>
        <w:autoSpaceDN w:val="0"/>
        <w:adjustRightInd w:val="0"/>
        <w:ind w:firstLine="422" w:firstLineChars="200"/>
        <w:jc w:val="left"/>
        <w:rPr>
          <w:rFonts w:ascii="黑体" w:hAnsi="黑体" w:eastAsia="黑体" w:cs="黑体"/>
          <w:b/>
          <w:kern w:val="0"/>
          <w:szCs w:val="21"/>
        </w:rPr>
      </w:pPr>
      <w:r>
        <w:rPr>
          <w:rFonts w:ascii="黑体" w:hAnsi="黑体" w:eastAsia="黑体" w:cs="黑体"/>
          <w:b/>
          <w:kern w:val="0"/>
          <w:szCs w:val="21"/>
        </w:rPr>
        <w:t>5</w:t>
      </w:r>
      <w:r>
        <w:rPr>
          <w:rFonts w:hint="eastAsia" w:ascii="黑体" w:hAnsi="黑体" w:eastAsia="黑体" w:cs="黑体"/>
          <w:b/>
          <w:kern w:val="0"/>
          <w:szCs w:val="21"/>
        </w:rPr>
        <w:t>、产品存续期内，若出现以下情况，产品</w:t>
      </w:r>
      <w:r>
        <w:rPr>
          <w:rFonts w:ascii="黑体" w:hAnsi="黑体" w:eastAsia="黑体" w:cs="黑体"/>
          <w:b/>
          <w:kern w:val="0"/>
          <w:szCs w:val="21"/>
        </w:rPr>
        <w:t>管理人</w:t>
      </w:r>
      <w:r>
        <w:rPr>
          <w:rFonts w:hint="eastAsia" w:ascii="黑体" w:hAnsi="黑体" w:eastAsia="黑体" w:cs="黑体"/>
          <w:b/>
          <w:kern w:val="0"/>
          <w:szCs w:val="21"/>
        </w:rPr>
        <w:t>有权拒绝或暂停接受投资者的全部或部分赎回申请：</w:t>
      </w:r>
    </w:p>
    <w:p w14:paraId="677B8683">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w:t>
      </w:r>
      <w:r>
        <w:rPr>
          <w:rFonts w:ascii="黑体" w:hAnsi="黑体" w:eastAsia="黑体" w:cs="黑体"/>
          <w:kern w:val="0"/>
          <w:szCs w:val="21"/>
        </w:rPr>
        <w:t>1）因不可抗力导致</w:t>
      </w:r>
      <w:r>
        <w:rPr>
          <w:rFonts w:hint="eastAsia" w:ascii="黑体" w:hAnsi="黑体" w:eastAsia="黑体" w:cs="黑体"/>
          <w:kern w:val="0"/>
          <w:szCs w:val="21"/>
        </w:rPr>
        <w:t>产品管理机构无法接受投资者赎回申请；</w:t>
      </w:r>
    </w:p>
    <w:p w14:paraId="7F81C6D1">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w:t>
      </w:r>
      <w:r>
        <w:rPr>
          <w:rFonts w:ascii="黑体" w:hAnsi="黑体" w:eastAsia="黑体" w:cs="黑体"/>
          <w:kern w:val="0"/>
          <w:szCs w:val="21"/>
        </w:rPr>
        <w:t>2</w:t>
      </w:r>
      <w:r>
        <w:rPr>
          <w:rFonts w:hint="eastAsia" w:ascii="黑体" w:hAnsi="黑体" w:eastAsia="黑体" w:cs="黑体"/>
          <w:kern w:val="0"/>
          <w:szCs w:val="21"/>
        </w:rPr>
        <w:t>）产品</w:t>
      </w:r>
      <w:r>
        <w:rPr>
          <w:rFonts w:ascii="黑体" w:hAnsi="黑体" w:eastAsia="黑体" w:cs="黑体"/>
          <w:kern w:val="0"/>
          <w:szCs w:val="21"/>
        </w:rPr>
        <w:t>所投资</w:t>
      </w:r>
      <w:r>
        <w:rPr>
          <w:rFonts w:hint="eastAsia" w:ascii="黑体" w:hAnsi="黑体" w:eastAsia="黑体" w:cs="黑体"/>
          <w:kern w:val="0"/>
          <w:szCs w:val="21"/>
        </w:rPr>
        <w:t>资产无法及时、足额变现；</w:t>
      </w:r>
    </w:p>
    <w:p w14:paraId="28C789A3">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w:t>
      </w:r>
      <w:r>
        <w:rPr>
          <w:rFonts w:ascii="黑体" w:hAnsi="黑体" w:eastAsia="黑体" w:cs="黑体"/>
          <w:kern w:val="0"/>
          <w:szCs w:val="21"/>
        </w:rPr>
        <w:t>3</w:t>
      </w:r>
      <w:r>
        <w:rPr>
          <w:rFonts w:hint="eastAsia" w:ascii="黑体" w:hAnsi="黑体" w:eastAsia="黑体" w:cs="黑体"/>
          <w:kern w:val="0"/>
          <w:szCs w:val="21"/>
        </w:rPr>
        <w:t>）触发</w:t>
      </w:r>
      <w:r>
        <w:rPr>
          <w:rFonts w:ascii="黑体" w:hAnsi="黑体" w:eastAsia="黑体" w:cs="黑体"/>
          <w:kern w:val="0"/>
          <w:szCs w:val="21"/>
        </w:rPr>
        <w:t>巨额赎回情形</w:t>
      </w:r>
      <w:r>
        <w:rPr>
          <w:rFonts w:hint="eastAsia" w:ascii="黑体" w:hAnsi="黑体" w:eastAsia="黑体" w:cs="黑体"/>
          <w:kern w:val="0"/>
          <w:szCs w:val="21"/>
        </w:rPr>
        <w:t>（</w:t>
      </w:r>
      <w:r>
        <w:rPr>
          <w:rFonts w:ascii="黑体" w:hAnsi="黑体" w:eastAsia="黑体" w:cs="黑体"/>
          <w:kern w:val="0"/>
          <w:szCs w:val="21"/>
        </w:rPr>
        <w:t>详见</w:t>
      </w:r>
      <w:r>
        <w:rPr>
          <w:rFonts w:hint="eastAsia" w:ascii="黑体" w:hAnsi="黑体" w:eastAsia="黑体" w:cs="黑体"/>
          <w:kern w:val="0"/>
          <w:szCs w:val="21"/>
        </w:rPr>
        <w:t>本</w:t>
      </w:r>
      <w:r>
        <w:rPr>
          <w:rFonts w:ascii="黑体" w:hAnsi="黑体" w:eastAsia="黑体" w:cs="黑体"/>
          <w:kern w:val="0"/>
          <w:szCs w:val="21"/>
        </w:rPr>
        <w:t>节第</w:t>
      </w:r>
      <w:r>
        <w:rPr>
          <w:rFonts w:hint="eastAsia" w:ascii="黑体" w:hAnsi="黑体" w:eastAsia="黑体" w:cs="黑体"/>
          <w:kern w:val="0"/>
          <w:szCs w:val="21"/>
        </w:rPr>
        <w:t>五</w:t>
      </w:r>
      <w:r>
        <w:rPr>
          <w:rFonts w:ascii="黑体" w:hAnsi="黑体" w:eastAsia="黑体" w:cs="黑体"/>
          <w:kern w:val="0"/>
          <w:szCs w:val="21"/>
        </w:rPr>
        <w:t>部分）</w:t>
      </w:r>
      <w:r>
        <w:rPr>
          <w:rFonts w:hint="eastAsia" w:ascii="黑体" w:hAnsi="黑体" w:eastAsia="黑体" w:cs="黑体"/>
          <w:kern w:val="0"/>
          <w:szCs w:val="21"/>
        </w:rPr>
        <w:t>；</w:t>
      </w:r>
    </w:p>
    <w:p w14:paraId="1C9ABC2B">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w:t>
      </w:r>
      <w:r>
        <w:rPr>
          <w:rFonts w:ascii="黑体" w:hAnsi="黑体" w:eastAsia="黑体" w:cs="黑体"/>
          <w:kern w:val="0"/>
          <w:szCs w:val="21"/>
        </w:rPr>
        <w:t>4</w:t>
      </w:r>
      <w:r>
        <w:rPr>
          <w:rFonts w:hint="eastAsia" w:ascii="黑体" w:hAnsi="黑体" w:eastAsia="黑体" w:cs="黑体"/>
          <w:kern w:val="0"/>
          <w:szCs w:val="21"/>
        </w:rPr>
        <w:t>）法律、法规或相关监管认定的其他情形。</w:t>
      </w:r>
    </w:p>
    <w:p w14:paraId="7E9A8107">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6</w:t>
      </w:r>
      <w:r>
        <w:rPr>
          <w:rFonts w:hint="eastAsia" w:ascii="黑体" w:hAnsi="黑体" w:eastAsia="黑体" w:cs="黑体"/>
          <w:kern w:val="0"/>
          <w:szCs w:val="21"/>
        </w:rPr>
        <w:t>、</w:t>
      </w:r>
      <w:r>
        <w:rPr>
          <w:rFonts w:ascii="黑体" w:hAnsi="黑体" w:eastAsia="黑体" w:cs="黑体"/>
          <w:kern w:val="0"/>
          <w:szCs w:val="21"/>
        </w:rPr>
        <w:t>其他</w:t>
      </w:r>
      <w:r>
        <w:rPr>
          <w:rFonts w:hint="eastAsia" w:ascii="黑体" w:hAnsi="黑体" w:eastAsia="黑体" w:cs="黑体"/>
          <w:kern w:val="0"/>
          <w:szCs w:val="21"/>
        </w:rPr>
        <w:t>：无</w:t>
      </w:r>
    </w:p>
    <w:p w14:paraId="4D1D6E6C">
      <w:pPr>
        <w:autoSpaceDE w:val="0"/>
        <w:autoSpaceDN w:val="0"/>
        <w:adjustRightInd w:val="0"/>
        <w:jc w:val="left"/>
        <w:rPr>
          <w:rFonts w:ascii="黑体" w:hAnsi="黑体" w:eastAsia="黑体" w:cs="宋体"/>
          <w:kern w:val="0"/>
          <w:szCs w:val="21"/>
        </w:rPr>
      </w:pPr>
      <w:r>
        <w:rPr>
          <w:rFonts w:hint="eastAsia" w:ascii="黑体" w:hAnsi="黑体" w:eastAsia="黑体" w:cs="宋体"/>
          <w:kern w:val="0"/>
          <w:szCs w:val="21"/>
        </w:rPr>
        <w:t>（三</w:t>
      </w:r>
      <w:r>
        <w:rPr>
          <w:rFonts w:ascii="黑体" w:hAnsi="黑体" w:eastAsia="黑体" w:cs="宋体"/>
          <w:kern w:val="0"/>
          <w:szCs w:val="21"/>
        </w:rPr>
        <w:t>）产品净值公布方式</w:t>
      </w:r>
    </w:p>
    <w:p w14:paraId="796767E9">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1、</w:t>
      </w:r>
      <w:r>
        <w:rPr>
          <w:rFonts w:hint="eastAsia" w:ascii="黑体" w:hAnsi="黑体" w:eastAsia="黑体" w:cs="黑体"/>
          <w:kern w:val="0"/>
          <w:szCs w:val="21"/>
        </w:rPr>
        <w:t>产品净值</w:t>
      </w:r>
      <w:r>
        <w:rPr>
          <w:rFonts w:ascii="黑体" w:hAnsi="黑体" w:eastAsia="黑体" w:cs="黑体"/>
          <w:kern w:val="0"/>
          <w:szCs w:val="21"/>
        </w:rPr>
        <w:t>的计算按照四舍五入原则，保留至小数点后6</w:t>
      </w:r>
      <w:r>
        <w:rPr>
          <w:rFonts w:hint="eastAsia" w:ascii="黑体" w:hAnsi="黑体" w:eastAsia="黑体" w:cs="黑体"/>
          <w:kern w:val="0"/>
          <w:szCs w:val="21"/>
        </w:rPr>
        <w:t>位</w:t>
      </w:r>
      <w:r>
        <w:rPr>
          <w:rFonts w:ascii="黑体" w:hAnsi="黑体" w:eastAsia="黑体" w:cs="黑体"/>
          <w:kern w:val="0"/>
          <w:szCs w:val="21"/>
        </w:rPr>
        <w:t>。单位</w:t>
      </w:r>
      <w:r>
        <w:rPr>
          <w:rFonts w:hint="eastAsia" w:ascii="黑体" w:hAnsi="黑体" w:eastAsia="黑体" w:cs="黑体"/>
          <w:kern w:val="0"/>
          <w:szCs w:val="21"/>
        </w:rPr>
        <w:t>净值</w:t>
      </w:r>
      <w:r>
        <w:rPr>
          <w:rFonts w:ascii="黑体" w:hAnsi="黑体" w:eastAsia="黑体" w:cs="黑体"/>
          <w:kern w:val="0"/>
          <w:szCs w:val="21"/>
        </w:rPr>
        <w:t>为</w:t>
      </w:r>
      <w:r>
        <w:rPr>
          <w:rFonts w:hint="eastAsia" w:ascii="黑体" w:hAnsi="黑体" w:eastAsia="黑体" w:cs="黑体"/>
          <w:kern w:val="0"/>
          <w:szCs w:val="21"/>
        </w:rPr>
        <w:t>扣除固定管理费、销售服务费、托管</w:t>
      </w:r>
      <w:r>
        <w:rPr>
          <w:rFonts w:hint="eastAsia" w:ascii="黑体" w:hAnsi="黑体"/>
          <w:kern w:val="0"/>
        </w:rPr>
        <w:t>费</w:t>
      </w:r>
      <w:r>
        <w:rPr>
          <w:rFonts w:hint="eastAsia" w:ascii="黑体" w:hAnsi="黑体" w:eastAsia="黑体" w:cs="黑体"/>
          <w:kern w:val="0"/>
          <w:szCs w:val="21"/>
        </w:rPr>
        <w:t>、产品运作和清算中产生的其他费用、产品运营中发生的增值税及附加税费等费用</w:t>
      </w:r>
      <w:r>
        <w:rPr>
          <w:rFonts w:hint="eastAsia" w:ascii="黑体" w:hAnsi="黑体" w:eastAsia="黑体"/>
          <w:kern w:val="0"/>
        </w:rPr>
        <w:t>后</w:t>
      </w:r>
      <w:r>
        <w:rPr>
          <w:rFonts w:ascii="黑体" w:hAnsi="黑体" w:eastAsia="黑体" w:cs="黑体"/>
          <w:kern w:val="0"/>
          <w:szCs w:val="21"/>
        </w:rPr>
        <w:t>的单位产品净值。</w:t>
      </w:r>
    </w:p>
    <w:p w14:paraId="3E733C15">
      <w:pPr>
        <w:autoSpaceDE w:val="0"/>
        <w:autoSpaceDN w:val="0"/>
        <w:adjustRightInd w:val="0"/>
        <w:ind w:firstLine="422" w:firstLineChars="200"/>
        <w:jc w:val="left"/>
        <w:rPr>
          <w:rFonts w:ascii="黑体" w:hAnsi="黑体" w:eastAsia="黑体" w:cs="黑体"/>
          <w:kern w:val="0"/>
          <w:szCs w:val="21"/>
        </w:rPr>
      </w:pPr>
      <w:r>
        <w:rPr>
          <w:rFonts w:hint="eastAsia" w:ascii="黑体" w:hAnsi="黑体" w:eastAsia="黑体"/>
          <w:b/>
          <w:kern w:val="0"/>
        </w:rPr>
        <w:t>本产品成立后，每个产品开放日披露前一工作日的净值信息</w:t>
      </w:r>
      <w:r>
        <w:rPr>
          <w:rFonts w:hint="eastAsia" w:ascii="黑体" w:hAnsi="黑体" w:eastAsia="黑体" w:cs="黑体"/>
          <w:b/>
          <w:kern w:val="0"/>
          <w:szCs w:val="21"/>
        </w:rPr>
        <w:t>，</w:t>
      </w:r>
      <w:r>
        <w:rPr>
          <w:rFonts w:hint="eastAsia" w:ascii="黑体" w:hAnsi="黑体" w:eastAsia="黑体" w:cs="黑体"/>
          <w:kern w:val="0"/>
          <w:szCs w:val="21"/>
        </w:rPr>
        <w:t>每个产品开放日结束后</w:t>
      </w:r>
      <w:r>
        <w:rPr>
          <w:rFonts w:ascii="黑体" w:hAnsi="黑体" w:eastAsia="黑体" w:cs="黑体"/>
          <w:kern w:val="0"/>
          <w:szCs w:val="21"/>
        </w:rPr>
        <w:t>2</w:t>
      </w:r>
      <w:r>
        <w:rPr>
          <w:rFonts w:hint="eastAsia" w:ascii="黑体" w:hAnsi="黑体" w:eastAsia="黑体" w:cs="黑体"/>
          <w:kern w:val="0"/>
          <w:szCs w:val="21"/>
        </w:rPr>
        <w:t>个工作日内公告该产品开放日的产品净值、</w:t>
      </w:r>
      <w:r>
        <w:rPr>
          <w:rFonts w:ascii="黑体" w:hAnsi="黑体" w:eastAsia="黑体" w:cs="黑体"/>
          <w:kern w:val="0"/>
          <w:szCs w:val="21"/>
        </w:rPr>
        <w:t>申购和赎回价格</w:t>
      </w:r>
      <w:r>
        <w:rPr>
          <w:rFonts w:hint="eastAsia" w:ascii="黑体" w:hAnsi="黑体" w:eastAsia="黑体" w:cs="黑体"/>
          <w:kern w:val="0"/>
          <w:szCs w:val="21"/>
        </w:rPr>
        <w:t>。如有</w:t>
      </w:r>
      <w:r>
        <w:rPr>
          <w:rFonts w:ascii="黑体" w:hAnsi="黑体" w:eastAsia="黑体" w:cs="黑体"/>
          <w:kern w:val="0"/>
          <w:szCs w:val="21"/>
        </w:rPr>
        <w:t>其它</w:t>
      </w:r>
      <w:r>
        <w:rPr>
          <w:rFonts w:hint="eastAsia" w:ascii="黑体" w:hAnsi="黑体" w:eastAsia="黑体" w:cs="黑体"/>
          <w:kern w:val="0"/>
          <w:szCs w:val="21"/>
        </w:rPr>
        <w:t>特殊情况的</w:t>
      </w:r>
      <w:r>
        <w:rPr>
          <w:rFonts w:ascii="黑体" w:hAnsi="黑体" w:eastAsia="黑体" w:cs="黑体"/>
          <w:kern w:val="0"/>
          <w:szCs w:val="21"/>
        </w:rPr>
        <w:t>，以</w:t>
      </w:r>
      <w:r>
        <w:rPr>
          <w:rFonts w:hint="eastAsia" w:ascii="黑体" w:hAnsi="黑体" w:eastAsia="黑体" w:cs="黑体"/>
          <w:kern w:val="0"/>
          <w:szCs w:val="21"/>
        </w:rPr>
        <w:t>产品管理人</w:t>
      </w:r>
      <w:r>
        <w:rPr>
          <w:rFonts w:ascii="黑体" w:hAnsi="黑体" w:eastAsia="黑体" w:cs="黑体"/>
          <w:kern w:val="0"/>
          <w:szCs w:val="21"/>
        </w:rPr>
        <w:t>公告</w:t>
      </w:r>
      <w:r>
        <w:rPr>
          <w:rFonts w:hint="eastAsia" w:ascii="黑体" w:hAnsi="黑体" w:eastAsia="黑体" w:cs="黑体"/>
          <w:kern w:val="0"/>
          <w:szCs w:val="21"/>
        </w:rPr>
        <w:t>为准</w:t>
      </w:r>
      <w:r>
        <w:rPr>
          <w:rFonts w:ascii="黑体" w:hAnsi="黑体" w:eastAsia="黑体" w:cs="黑体"/>
          <w:kern w:val="0"/>
          <w:szCs w:val="21"/>
        </w:rPr>
        <w:t>。</w:t>
      </w:r>
    </w:p>
    <w:p w14:paraId="2A2401A4">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2、其他：</w:t>
      </w:r>
      <w:r>
        <w:rPr>
          <w:rFonts w:hint="eastAsia" w:ascii="黑体" w:hAnsi="黑体" w:eastAsia="黑体" w:cs="黑体"/>
          <w:kern w:val="0"/>
          <w:szCs w:val="21"/>
        </w:rPr>
        <w:t>若产品开放日后一个工作日遇非工作日，则产品开放日的相关净值信息在开放日申赎交易确认当日日终前披露</w:t>
      </w:r>
    </w:p>
    <w:p w14:paraId="122853B2">
      <w:pPr>
        <w:autoSpaceDE w:val="0"/>
        <w:autoSpaceDN w:val="0"/>
        <w:adjustRightInd w:val="0"/>
        <w:jc w:val="left"/>
        <w:rPr>
          <w:rFonts w:ascii="黑体" w:hAnsi="黑体" w:eastAsia="黑体" w:cs="宋体"/>
          <w:kern w:val="0"/>
          <w:szCs w:val="21"/>
        </w:rPr>
      </w:pPr>
      <w:r>
        <w:rPr>
          <w:rFonts w:hint="eastAsia" w:ascii="黑体" w:hAnsi="黑体" w:eastAsia="黑体" w:cs="宋体"/>
          <w:kern w:val="0"/>
          <w:szCs w:val="21"/>
        </w:rPr>
        <w:t>（四</w:t>
      </w:r>
      <w:r>
        <w:rPr>
          <w:rFonts w:ascii="黑体" w:hAnsi="黑体" w:eastAsia="黑体" w:cs="宋体"/>
          <w:kern w:val="0"/>
          <w:szCs w:val="21"/>
        </w:rPr>
        <w:t>）</w:t>
      </w:r>
      <w:r>
        <w:rPr>
          <w:rFonts w:hint="eastAsia" w:ascii="黑体" w:hAnsi="黑体" w:eastAsia="黑体" w:cs="宋体"/>
          <w:kern w:val="0"/>
          <w:szCs w:val="21"/>
        </w:rPr>
        <w:t>投资者持有份额及金额计算规则</w:t>
      </w:r>
    </w:p>
    <w:p w14:paraId="301F8E43">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1、计算规则</w:t>
      </w:r>
    </w:p>
    <w:p w14:paraId="7BC752BA">
      <w:pPr>
        <w:autoSpaceDE w:val="0"/>
        <w:autoSpaceDN w:val="0"/>
        <w:adjustRightInd w:val="0"/>
        <w:ind w:firstLine="422" w:firstLineChars="200"/>
        <w:jc w:val="left"/>
        <w:rPr>
          <w:rFonts w:ascii="黑体" w:hAnsi="黑体" w:eastAsia="黑体" w:cs="黑体"/>
          <w:b/>
          <w:kern w:val="0"/>
          <w:szCs w:val="21"/>
        </w:rPr>
      </w:pPr>
      <w:r>
        <w:rPr>
          <w:rFonts w:hint="eastAsia" w:ascii="黑体" w:hAnsi="黑体" w:eastAsia="黑体" w:cs="黑体"/>
          <w:b/>
          <w:kern w:val="0"/>
          <w:szCs w:val="21"/>
        </w:rPr>
        <w:t>认购确认份额</w:t>
      </w:r>
      <w:r>
        <w:rPr>
          <w:rFonts w:ascii="黑体" w:hAnsi="黑体" w:eastAsia="黑体" w:cs="黑体"/>
          <w:b/>
          <w:kern w:val="0"/>
          <w:szCs w:val="21"/>
        </w:rPr>
        <w:t>=</w:t>
      </w:r>
      <w:r>
        <w:rPr>
          <w:rFonts w:hint="eastAsia" w:ascii="黑体" w:hAnsi="黑体" w:eastAsia="黑体" w:cs="黑体"/>
          <w:b/>
          <w:kern w:val="0"/>
          <w:szCs w:val="21"/>
        </w:rPr>
        <w:t>认购金额</w:t>
      </w:r>
      <w:r>
        <w:rPr>
          <w:rFonts w:ascii="黑体" w:hAnsi="黑体" w:eastAsia="黑体" w:cs="黑体"/>
          <w:b/>
          <w:kern w:val="0"/>
          <w:szCs w:val="21"/>
        </w:rPr>
        <w:t>/</w:t>
      </w:r>
      <w:r>
        <w:rPr>
          <w:rFonts w:hint="eastAsia" w:ascii="黑体" w:hAnsi="黑体" w:eastAsia="黑体" w:cs="黑体"/>
          <w:b/>
          <w:kern w:val="0"/>
          <w:szCs w:val="21"/>
        </w:rPr>
        <w:t>认购价格</w:t>
      </w:r>
    </w:p>
    <w:p w14:paraId="28BDA428">
      <w:pPr>
        <w:autoSpaceDE w:val="0"/>
        <w:autoSpaceDN w:val="0"/>
        <w:adjustRightInd w:val="0"/>
        <w:ind w:firstLine="422" w:firstLineChars="200"/>
        <w:jc w:val="left"/>
        <w:rPr>
          <w:rFonts w:ascii="黑体" w:hAnsi="黑体" w:eastAsia="黑体" w:cs="黑体"/>
          <w:b/>
          <w:kern w:val="0"/>
          <w:szCs w:val="21"/>
        </w:rPr>
      </w:pPr>
      <w:r>
        <w:rPr>
          <w:rFonts w:hint="eastAsia" w:ascii="黑体" w:hAnsi="黑体" w:eastAsia="黑体" w:cs="黑体"/>
          <w:b/>
          <w:kern w:val="0"/>
          <w:szCs w:val="21"/>
        </w:rPr>
        <w:t>申购确认份额</w:t>
      </w:r>
      <w:r>
        <w:rPr>
          <w:rFonts w:ascii="黑体" w:hAnsi="黑体" w:eastAsia="黑体" w:cs="黑体"/>
          <w:b/>
          <w:kern w:val="0"/>
          <w:szCs w:val="21"/>
        </w:rPr>
        <w:t>=</w:t>
      </w:r>
      <w:r>
        <w:rPr>
          <w:rFonts w:hint="eastAsia" w:ascii="黑体" w:hAnsi="黑体" w:eastAsia="黑体" w:cs="黑体"/>
          <w:b/>
          <w:kern w:val="0"/>
          <w:szCs w:val="21"/>
        </w:rPr>
        <w:t>申购金额</w:t>
      </w:r>
      <w:r>
        <w:rPr>
          <w:rFonts w:ascii="黑体" w:hAnsi="黑体" w:eastAsia="黑体" w:cs="黑体"/>
          <w:b/>
          <w:kern w:val="0"/>
          <w:szCs w:val="21"/>
        </w:rPr>
        <w:t>/</w:t>
      </w:r>
      <w:r>
        <w:rPr>
          <w:rFonts w:hint="eastAsia" w:ascii="黑体" w:hAnsi="黑体" w:eastAsia="黑体" w:cs="黑体"/>
          <w:b/>
          <w:kern w:val="0"/>
          <w:szCs w:val="21"/>
        </w:rPr>
        <w:t>申购价格</w:t>
      </w:r>
    </w:p>
    <w:p w14:paraId="0E4F4C4E">
      <w:pPr>
        <w:autoSpaceDE w:val="0"/>
        <w:autoSpaceDN w:val="0"/>
        <w:adjustRightInd w:val="0"/>
        <w:ind w:firstLine="422" w:firstLineChars="200"/>
        <w:jc w:val="left"/>
        <w:rPr>
          <w:rFonts w:ascii="黑体" w:hAnsi="黑体" w:eastAsia="黑体" w:cs="黑体"/>
          <w:b/>
          <w:kern w:val="0"/>
          <w:szCs w:val="21"/>
        </w:rPr>
      </w:pPr>
      <w:r>
        <w:rPr>
          <w:rFonts w:hint="eastAsia" w:ascii="黑体" w:hAnsi="黑体" w:eastAsia="黑体" w:cs="黑体"/>
          <w:b/>
          <w:kern w:val="0"/>
          <w:szCs w:val="21"/>
        </w:rPr>
        <w:t>赎回确认金额</w:t>
      </w:r>
      <w:r>
        <w:rPr>
          <w:rFonts w:ascii="黑体" w:hAnsi="黑体" w:eastAsia="黑体" w:cs="黑体"/>
          <w:b/>
          <w:kern w:val="0"/>
          <w:szCs w:val="21"/>
        </w:rPr>
        <w:t>=</w:t>
      </w:r>
      <w:r>
        <w:rPr>
          <w:rFonts w:hint="eastAsia" w:ascii="黑体" w:hAnsi="黑体" w:eastAsia="黑体" w:cs="黑体"/>
          <w:b/>
          <w:kern w:val="0"/>
          <w:szCs w:val="21"/>
        </w:rPr>
        <w:t>赎回份额</w:t>
      </w:r>
      <w:r>
        <w:rPr>
          <w:rFonts w:ascii="黑体" w:hAnsi="黑体" w:eastAsia="黑体" w:cs="黑体"/>
          <w:b/>
          <w:kern w:val="0"/>
          <w:szCs w:val="21"/>
        </w:rPr>
        <w:t>*</w:t>
      </w:r>
      <w:r>
        <w:rPr>
          <w:rFonts w:hint="eastAsia" w:ascii="黑体" w:hAnsi="黑体" w:eastAsia="黑体" w:cs="黑体"/>
          <w:b/>
          <w:kern w:val="0"/>
          <w:szCs w:val="21"/>
        </w:rPr>
        <w:t>赎回价格</w:t>
      </w:r>
    </w:p>
    <w:p w14:paraId="308343A4">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计算得出</w:t>
      </w:r>
      <w:r>
        <w:rPr>
          <w:rFonts w:ascii="黑体" w:hAnsi="黑体" w:eastAsia="黑体" w:cs="黑体"/>
          <w:kern w:val="0"/>
          <w:szCs w:val="21"/>
        </w:rPr>
        <w:t>的</w:t>
      </w:r>
      <w:r>
        <w:rPr>
          <w:rFonts w:hint="eastAsia" w:ascii="黑体" w:hAnsi="黑体" w:eastAsia="黑体" w:cs="黑体"/>
          <w:kern w:val="0"/>
          <w:szCs w:val="21"/>
        </w:rPr>
        <w:t>金额采取四舍五入后精确到小数点后</w:t>
      </w:r>
      <w:r>
        <w:rPr>
          <w:rFonts w:ascii="黑体" w:hAnsi="黑体" w:eastAsia="黑体" w:cs="黑体"/>
          <w:kern w:val="0"/>
          <w:szCs w:val="21"/>
        </w:rPr>
        <w:t>2位</w:t>
      </w:r>
      <w:r>
        <w:rPr>
          <w:rFonts w:hint="eastAsia" w:ascii="黑体" w:hAnsi="黑体" w:eastAsia="黑体" w:cs="黑体"/>
          <w:kern w:val="0"/>
          <w:szCs w:val="21"/>
        </w:rPr>
        <w:t>或采取截位规则</w:t>
      </w:r>
      <w:r>
        <w:rPr>
          <w:rFonts w:ascii="黑体" w:hAnsi="黑体" w:eastAsia="黑体" w:cs="黑体"/>
          <w:kern w:val="0"/>
          <w:szCs w:val="21"/>
        </w:rPr>
        <w:t>，</w:t>
      </w:r>
      <w:r>
        <w:rPr>
          <w:rFonts w:hint="eastAsia" w:ascii="黑体" w:hAnsi="黑体" w:eastAsia="黑体" w:cs="黑体"/>
          <w:kern w:val="0"/>
          <w:szCs w:val="21"/>
        </w:rPr>
        <w:t>计算得出的份额采取四舍五入后精确到小数点后2位，具体以产品管理人实际确认为准。</w:t>
      </w:r>
    </w:p>
    <w:p w14:paraId="79C6C347">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2、计算示例</w:t>
      </w:r>
    </w:p>
    <w:p w14:paraId="7DBA9910">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情景</w:t>
      </w:r>
      <w:r>
        <w:rPr>
          <w:rFonts w:ascii="黑体" w:hAnsi="黑体" w:eastAsia="黑体" w:cs="黑体"/>
          <w:kern w:val="0"/>
          <w:szCs w:val="21"/>
        </w:rPr>
        <w:t>1：假设投资者于募集期内认购本产品，投资本金为100,000.00</w:t>
      </w:r>
      <w:r>
        <w:rPr>
          <w:rFonts w:hint="eastAsia" w:ascii="黑体" w:hAnsi="黑体" w:eastAsia="黑体" w:cs="黑体"/>
          <w:kern w:val="0"/>
          <w:szCs w:val="21"/>
        </w:rPr>
        <w:t>元人民币，购买价格为</w:t>
      </w:r>
      <w:r>
        <w:rPr>
          <w:rFonts w:ascii="黑体" w:hAnsi="黑体" w:eastAsia="黑体" w:cs="黑体"/>
          <w:kern w:val="0"/>
          <w:szCs w:val="21"/>
        </w:rPr>
        <w:t>1元/份，则投资者认购确认份额为：</w:t>
      </w:r>
    </w:p>
    <w:p w14:paraId="7A8EFBB0">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认购确认份额</w:t>
      </w:r>
      <w:r>
        <w:rPr>
          <w:rFonts w:ascii="黑体" w:hAnsi="黑体" w:eastAsia="黑体" w:cs="黑体"/>
          <w:kern w:val="0"/>
          <w:szCs w:val="21"/>
        </w:rPr>
        <w:t>=100,000.00÷1=100,000.00（份）</w:t>
      </w:r>
    </w:p>
    <w:p w14:paraId="5A5A78F6">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情景</w:t>
      </w:r>
      <w:r>
        <w:rPr>
          <w:rFonts w:ascii="黑体" w:hAnsi="黑体" w:eastAsia="黑体" w:cs="黑体"/>
          <w:kern w:val="0"/>
          <w:szCs w:val="21"/>
        </w:rPr>
        <w:t>2：假设投资者于产品存续期申购本产品，投资本金为100,000.00</w:t>
      </w:r>
      <w:r>
        <w:rPr>
          <w:rFonts w:hint="eastAsia" w:ascii="黑体" w:hAnsi="黑体" w:eastAsia="黑体" w:cs="黑体"/>
          <w:kern w:val="0"/>
          <w:szCs w:val="21"/>
        </w:rPr>
        <w:t>元人民币，购买价格为</w:t>
      </w:r>
      <w:r>
        <w:rPr>
          <w:rFonts w:ascii="黑体" w:hAnsi="黑体" w:eastAsia="黑体" w:cs="黑体"/>
          <w:kern w:val="0"/>
          <w:szCs w:val="21"/>
        </w:rPr>
        <w:t>1.2元/份，则投资者申购确认份额为：</w:t>
      </w:r>
    </w:p>
    <w:p w14:paraId="5BDF501B">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申购确认份额</w:t>
      </w:r>
      <w:r>
        <w:rPr>
          <w:rFonts w:ascii="黑体" w:hAnsi="黑体" w:eastAsia="黑体" w:cs="黑体"/>
          <w:kern w:val="0"/>
          <w:szCs w:val="21"/>
        </w:rPr>
        <w:t>=100,000.00÷1.2=83,333.33（份）</w:t>
      </w:r>
    </w:p>
    <w:p w14:paraId="2110F460">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情景</w:t>
      </w:r>
      <w:r>
        <w:rPr>
          <w:rFonts w:ascii="黑体" w:hAnsi="黑体" w:eastAsia="黑体" w:cs="黑体"/>
          <w:kern w:val="0"/>
          <w:szCs w:val="21"/>
        </w:rPr>
        <w:t>3：假设投资者某日赎回持有份额100,000.00</w:t>
      </w:r>
      <w:r>
        <w:rPr>
          <w:rFonts w:hint="eastAsia" w:ascii="黑体" w:hAnsi="黑体" w:eastAsia="黑体" w:cs="黑体"/>
          <w:kern w:val="0"/>
          <w:szCs w:val="21"/>
        </w:rPr>
        <w:t>份，赎回价格为</w:t>
      </w:r>
      <w:r>
        <w:rPr>
          <w:rFonts w:ascii="黑体" w:hAnsi="黑体" w:eastAsia="黑体" w:cs="黑体"/>
          <w:kern w:val="0"/>
          <w:szCs w:val="21"/>
        </w:rPr>
        <w:t>1.0243</w:t>
      </w:r>
      <w:r>
        <w:rPr>
          <w:rFonts w:hint="eastAsia" w:ascii="黑体" w:hAnsi="黑体" w:eastAsia="黑体" w:cs="黑体"/>
          <w:kern w:val="0"/>
          <w:szCs w:val="21"/>
        </w:rPr>
        <w:t>元</w:t>
      </w:r>
      <w:r>
        <w:rPr>
          <w:rFonts w:ascii="黑体" w:hAnsi="黑体" w:eastAsia="黑体" w:cs="黑体"/>
          <w:kern w:val="0"/>
          <w:szCs w:val="21"/>
        </w:rPr>
        <w:t>/份，若赎回确认金额采取四舍五入后精确到小数点后2位，则兑付投资者的赎回确认金额为：</w:t>
      </w:r>
    </w:p>
    <w:p w14:paraId="227BD52D">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赎回确认金额</w:t>
      </w:r>
      <w:r>
        <w:rPr>
          <w:rFonts w:ascii="黑体" w:hAnsi="黑体" w:eastAsia="黑体" w:cs="黑体"/>
          <w:kern w:val="0"/>
          <w:szCs w:val="21"/>
        </w:rPr>
        <w:t>=100,000.00×1.0243=102,430.00（元）</w:t>
      </w:r>
    </w:p>
    <w:p w14:paraId="62D818CD">
      <w:pPr>
        <w:autoSpaceDE w:val="0"/>
        <w:autoSpaceDN w:val="0"/>
        <w:adjustRightInd w:val="0"/>
        <w:ind w:firstLine="422" w:firstLineChars="200"/>
        <w:jc w:val="left"/>
        <w:rPr>
          <w:rFonts w:ascii="黑体" w:hAnsi="黑体" w:eastAsia="黑体" w:cs="黑体"/>
          <w:b/>
          <w:kern w:val="0"/>
          <w:szCs w:val="21"/>
        </w:rPr>
      </w:pPr>
      <w:r>
        <w:rPr>
          <w:rFonts w:hint="eastAsia" w:ascii="黑体" w:hAnsi="黑体" w:eastAsia="黑体" w:cs="黑体"/>
          <w:b/>
          <w:kern w:val="0"/>
          <w:szCs w:val="21"/>
        </w:rPr>
        <w:t>测算收益不等于实际收益，投资须谨慎。</w:t>
      </w:r>
    </w:p>
    <w:p w14:paraId="6EEA2A26">
      <w:pPr>
        <w:autoSpaceDE w:val="0"/>
        <w:autoSpaceDN w:val="0"/>
        <w:adjustRightInd w:val="0"/>
        <w:jc w:val="left"/>
        <w:rPr>
          <w:rFonts w:ascii="黑体" w:hAnsi="黑体" w:eastAsia="黑体" w:cs="宋体"/>
          <w:kern w:val="0"/>
          <w:szCs w:val="21"/>
        </w:rPr>
      </w:pPr>
      <w:r>
        <w:rPr>
          <w:rFonts w:hint="eastAsia" w:ascii="黑体" w:hAnsi="黑体" w:eastAsia="黑体" w:cs="宋体"/>
          <w:kern w:val="0"/>
          <w:szCs w:val="21"/>
        </w:rPr>
        <w:t>（五）巨额赎回</w:t>
      </w:r>
    </w:p>
    <w:p w14:paraId="7F9D1AC7">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1</w:t>
      </w:r>
      <w:r>
        <w:rPr>
          <w:rFonts w:hint="eastAsia" w:ascii="黑体" w:hAnsi="黑体" w:eastAsia="黑体" w:cs="黑体"/>
          <w:kern w:val="0"/>
          <w:szCs w:val="21"/>
        </w:rPr>
        <w:t>、在单个产品开放日，产品累计净赎回份额（累计赎回份额</w:t>
      </w:r>
      <w:r>
        <w:rPr>
          <w:rFonts w:ascii="黑体" w:hAnsi="黑体" w:eastAsia="黑体" w:cs="黑体"/>
          <w:kern w:val="0"/>
          <w:szCs w:val="21"/>
        </w:rPr>
        <w:t>-累计</w:t>
      </w:r>
      <w:r>
        <w:rPr>
          <w:rFonts w:hint="eastAsia" w:ascii="黑体" w:hAnsi="黑体" w:eastAsia="黑体" w:cs="黑体"/>
          <w:kern w:val="0"/>
          <w:szCs w:val="21"/>
        </w:rPr>
        <w:t>申购份额）超过开放日前一个工作日日终份额的</w:t>
      </w:r>
      <w:r>
        <w:rPr>
          <w:rFonts w:ascii="黑体" w:hAnsi="黑体" w:eastAsia="黑体" w:cs="黑体"/>
          <w:kern w:val="0"/>
          <w:szCs w:val="21"/>
        </w:rPr>
        <w:t>10%</w:t>
      </w:r>
      <w:r>
        <w:rPr>
          <w:rFonts w:hint="eastAsia" w:ascii="黑体" w:hAnsi="黑体" w:eastAsia="黑体" w:cs="黑体"/>
          <w:kern w:val="0"/>
          <w:szCs w:val="21"/>
        </w:rPr>
        <w:t>时，触发巨额赎回。</w:t>
      </w:r>
    </w:p>
    <w:p w14:paraId="184AE1EC">
      <w:pPr>
        <w:autoSpaceDE w:val="0"/>
        <w:autoSpaceDN w:val="0"/>
        <w:adjustRightInd w:val="0"/>
        <w:ind w:firstLine="420" w:firstLineChars="200"/>
        <w:jc w:val="left"/>
        <w:rPr>
          <w:rFonts w:ascii="黑体" w:hAnsi="黑体" w:eastAsia="黑体" w:cs="宋体"/>
          <w:kern w:val="0"/>
          <w:szCs w:val="21"/>
        </w:rPr>
      </w:pPr>
      <w:r>
        <w:rPr>
          <w:rFonts w:ascii="黑体" w:hAnsi="黑体" w:eastAsia="黑体" w:cs="宋体"/>
          <w:kern w:val="0"/>
          <w:szCs w:val="21"/>
        </w:rPr>
        <w:t>2、</w:t>
      </w:r>
      <w:r>
        <w:rPr>
          <w:rFonts w:hint="eastAsia" w:ascii="黑体" w:hAnsi="黑体" w:eastAsia="黑体" w:cs="宋体"/>
          <w:kern w:val="0"/>
          <w:szCs w:val="21"/>
        </w:rPr>
        <w:t>产品在开放日发生巨额赎回时，产品管理人有权根据产品当时的投资运作情况决定采取全额赎回、部分赎回、暂停赎回、收取短期赎回费等措施。在运用部分赎回、暂停赎回、收取短期赎回费等措施后，产品管理人将在巨额赎回发生后</w:t>
      </w:r>
      <w:r>
        <w:rPr>
          <w:rFonts w:ascii="黑体" w:hAnsi="黑体" w:eastAsia="黑体" w:cs="宋体"/>
          <w:kern w:val="0"/>
          <w:szCs w:val="21"/>
        </w:rPr>
        <w:t>3个工作日内进行信息披露，并说明运用相关措施的原因、拟采取的应对安排等。</w:t>
      </w:r>
    </w:p>
    <w:p w14:paraId="66DBEB1C">
      <w:pPr>
        <w:autoSpaceDE w:val="0"/>
        <w:autoSpaceDN w:val="0"/>
        <w:adjustRightInd w:val="0"/>
        <w:ind w:firstLine="420" w:firstLineChars="200"/>
        <w:jc w:val="left"/>
        <w:rPr>
          <w:rFonts w:ascii="黑体" w:hAnsi="黑体" w:eastAsia="黑体" w:cs="宋体"/>
          <w:kern w:val="0"/>
          <w:szCs w:val="21"/>
        </w:rPr>
      </w:pPr>
      <w:r>
        <w:rPr>
          <w:rFonts w:hint="eastAsia" w:ascii="黑体" w:hAnsi="黑体" w:eastAsia="黑体" w:cs="宋体"/>
          <w:kern w:val="0"/>
          <w:szCs w:val="21"/>
        </w:rPr>
        <w:t>（</w:t>
      </w:r>
      <w:r>
        <w:rPr>
          <w:rFonts w:ascii="黑体" w:hAnsi="黑体" w:eastAsia="黑体" w:cs="宋体"/>
          <w:kern w:val="0"/>
          <w:szCs w:val="21"/>
        </w:rPr>
        <w:t>1）全额赎回：当产品管理人有能力兑付投资者的全部赎回申请时，将在申请确认日按投资者申请赎回份额执行正常赎回程序。</w:t>
      </w:r>
    </w:p>
    <w:p w14:paraId="1DD77C2C">
      <w:pPr>
        <w:autoSpaceDE w:val="0"/>
        <w:autoSpaceDN w:val="0"/>
        <w:adjustRightInd w:val="0"/>
        <w:ind w:firstLine="420" w:firstLineChars="200"/>
        <w:jc w:val="left"/>
        <w:rPr>
          <w:rFonts w:ascii="黑体" w:hAnsi="黑体" w:eastAsia="黑体" w:cs="宋体"/>
          <w:kern w:val="0"/>
          <w:szCs w:val="21"/>
        </w:rPr>
      </w:pPr>
      <w:r>
        <w:rPr>
          <w:rFonts w:hint="eastAsia" w:ascii="黑体" w:hAnsi="黑体" w:eastAsia="黑体" w:cs="宋体"/>
          <w:kern w:val="0"/>
          <w:szCs w:val="21"/>
        </w:rPr>
        <w:t>（</w:t>
      </w:r>
      <w:r>
        <w:rPr>
          <w:rFonts w:ascii="黑体" w:hAnsi="黑体" w:eastAsia="黑体" w:cs="宋体"/>
          <w:kern w:val="0"/>
          <w:szCs w:val="21"/>
        </w:rPr>
        <w:t>2）部分赎回：产品管理人在申请确认日</w:t>
      </w:r>
      <w:r>
        <w:rPr>
          <w:rFonts w:hint="eastAsia" w:ascii="黑体" w:hAnsi="黑体" w:eastAsia="黑体" w:cs="宋体"/>
          <w:kern w:val="0"/>
          <w:szCs w:val="21"/>
        </w:rPr>
        <w:t>确认受理赎回比例不低于上一日产品总份额</w:t>
      </w:r>
      <w:r>
        <w:rPr>
          <w:rFonts w:ascii="黑体" w:hAnsi="黑体" w:eastAsia="黑体" w:cs="宋体"/>
          <w:kern w:val="0"/>
          <w:szCs w:val="21"/>
        </w:rPr>
        <w:t>10%的前提下，有权拒绝</w:t>
      </w:r>
      <w:r>
        <w:rPr>
          <w:rFonts w:hint="eastAsia" w:ascii="黑体" w:hAnsi="黑体" w:eastAsia="黑体" w:cs="宋体"/>
          <w:kern w:val="0"/>
          <w:szCs w:val="21"/>
        </w:rPr>
        <w:t>受理其余部分或全部赎回申请。对于当期确认受理的总赎回申请份额，产品管理人将在申请确认日按单个投资者申请赎回份额占当期申请赎回总份额的比例，确定受理该单个投资者当期的赎回份额。针对当日未确认受理的赎回申请份额，投资者可在申请赎回时选择予以撤销，未选择撤销的赎回申请，产品管理人可以延迟至下一开放日处理，延迟至下一开放日的赎回申请不享有优先确认权。巨额赎回处理方式具体以销售机构展示为准。</w:t>
      </w:r>
    </w:p>
    <w:p w14:paraId="4BD67F41">
      <w:pPr>
        <w:autoSpaceDE w:val="0"/>
        <w:autoSpaceDN w:val="0"/>
        <w:adjustRightInd w:val="0"/>
        <w:ind w:firstLine="420" w:firstLineChars="200"/>
        <w:jc w:val="left"/>
        <w:rPr>
          <w:rFonts w:ascii="黑体" w:hAnsi="黑体" w:eastAsia="黑体" w:cs="宋体"/>
          <w:kern w:val="0"/>
          <w:szCs w:val="21"/>
        </w:rPr>
      </w:pPr>
      <w:r>
        <w:rPr>
          <w:rFonts w:hint="eastAsia" w:ascii="黑体" w:hAnsi="黑体" w:eastAsia="黑体" w:cs="宋体"/>
          <w:kern w:val="0"/>
          <w:szCs w:val="21"/>
        </w:rPr>
        <w:t>（</w:t>
      </w:r>
      <w:r>
        <w:rPr>
          <w:rFonts w:ascii="黑体" w:hAnsi="黑体" w:eastAsia="黑体" w:cs="宋体"/>
          <w:kern w:val="0"/>
          <w:szCs w:val="21"/>
        </w:rPr>
        <w:t>3）暂停赎回：</w:t>
      </w:r>
      <w:r>
        <w:rPr>
          <w:rFonts w:hint="eastAsia" w:ascii="黑体" w:hAnsi="黑体" w:eastAsia="黑体" w:cs="宋体"/>
          <w:kern w:val="0"/>
          <w:szCs w:val="21"/>
        </w:rPr>
        <w:t>产品连续</w:t>
      </w:r>
      <w:r>
        <w:rPr>
          <w:rFonts w:ascii="黑体" w:hAnsi="黑体" w:eastAsia="黑体" w:cs="宋体"/>
          <w:kern w:val="0"/>
          <w:szCs w:val="21"/>
        </w:rPr>
        <w:t>2个以上开放日发生巨额赎回的，除采取上述措施外，如产品管理人认为有必要，可暂停接受产品的赎回申请；对于已经接受的赎回申请，产品管理人有权</w:t>
      </w:r>
      <w:r>
        <w:rPr>
          <w:rFonts w:hint="eastAsia" w:ascii="黑体" w:hAnsi="黑体" w:eastAsia="黑体" w:cs="宋体"/>
          <w:kern w:val="0"/>
          <w:szCs w:val="21"/>
        </w:rPr>
        <w:t>延缓支付赎回款项，但延缓期限不得超过</w:t>
      </w:r>
      <w:r>
        <w:rPr>
          <w:rFonts w:ascii="黑体" w:hAnsi="黑体" w:eastAsia="黑体" w:cs="宋体"/>
          <w:kern w:val="0"/>
          <w:szCs w:val="21"/>
        </w:rPr>
        <w:t>20个工作日。</w:t>
      </w:r>
    </w:p>
    <w:p w14:paraId="1D888C85">
      <w:pPr>
        <w:autoSpaceDE w:val="0"/>
        <w:autoSpaceDN w:val="0"/>
        <w:adjustRightInd w:val="0"/>
        <w:ind w:firstLine="422" w:firstLineChars="200"/>
        <w:jc w:val="left"/>
        <w:rPr>
          <w:rFonts w:ascii="黑体" w:hAnsi="黑体" w:eastAsia="黑体" w:cs="黑体"/>
          <w:b/>
          <w:kern w:val="0"/>
          <w:szCs w:val="21"/>
        </w:rPr>
      </w:pPr>
      <w:r>
        <w:rPr>
          <w:rFonts w:hint="eastAsia" w:ascii="黑体" w:hAnsi="黑体" w:eastAsia="黑体" w:cs="宋体"/>
          <w:b/>
          <w:kern w:val="0"/>
          <w:szCs w:val="21"/>
        </w:rPr>
        <w:t>（</w:t>
      </w:r>
      <w:r>
        <w:rPr>
          <w:rFonts w:ascii="黑体" w:hAnsi="黑体" w:eastAsia="黑体" w:cs="宋体"/>
          <w:b/>
          <w:kern w:val="0"/>
          <w:szCs w:val="21"/>
        </w:rPr>
        <w:t>4）收取短期赎回费：产品发生巨额赎回或产品管理人认为可能会导致产品流动性风险的其他情形下，产品管理人可向连续持有少于7日的开放式理财产品投资者收取短期赎回费，并将上述短期赎回费全额计入理财产品财产。</w:t>
      </w:r>
      <w:r>
        <w:rPr>
          <w:rFonts w:hint="eastAsia" w:ascii="黑体" w:hAnsi="黑体" w:eastAsia="黑体" w:cs="黑体"/>
          <w:b/>
          <w:kern w:val="0"/>
          <w:szCs w:val="21"/>
        </w:rPr>
        <w:t>产品</w:t>
      </w:r>
      <w:r>
        <w:rPr>
          <w:rFonts w:ascii="黑体" w:hAnsi="黑体" w:eastAsia="黑体" w:cs="黑体"/>
          <w:b/>
          <w:kern w:val="0"/>
          <w:szCs w:val="21"/>
        </w:rPr>
        <w:t>管理人将在</w:t>
      </w:r>
      <w:r>
        <w:rPr>
          <w:rFonts w:hint="eastAsia" w:ascii="黑体" w:hAnsi="黑体" w:eastAsia="黑体" w:cs="黑体"/>
          <w:b/>
          <w:kern w:val="0"/>
          <w:szCs w:val="21"/>
        </w:rPr>
        <w:t>收取</w:t>
      </w:r>
      <w:r>
        <w:rPr>
          <w:rFonts w:ascii="黑体" w:hAnsi="黑体" w:eastAsia="黑体" w:cs="黑体"/>
          <w:b/>
          <w:kern w:val="0"/>
          <w:szCs w:val="21"/>
        </w:rPr>
        <w:t>短期赎回费</w:t>
      </w:r>
      <w:r>
        <w:rPr>
          <w:rFonts w:hint="eastAsia" w:ascii="黑体" w:hAnsi="黑体" w:eastAsia="黑体" w:cs="黑体"/>
          <w:b/>
          <w:kern w:val="0"/>
          <w:szCs w:val="21"/>
        </w:rPr>
        <w:t>后</w:t>
      </w:r>
      <w:r>
        <w:rPr>
          <w:rFonts w:ascii="黑体" w:hAnsi="黑体" w:eastAsia="黑体" w:cs="黑体"/>
          <w:b/>
          <w:kern w:val="0"/>
          <w:szCs w:val="21"/>
        </w:rPr>
        <w:t>3个工作日内</w:t>
      </w:r>
      <w:r>
        <w:rPr>
          <w:rFonts w:hint="eastAsia" w:ascii="黑体" w:hAnsi="黑体" w:eastAsia="黑体" w:cs="黑体"/>
          <w:b/>
          <w:kern w:val="0"/>
          <w:szCs w:val="21"/>
        </w:rPr>
        <w:t>通过公告的形式</w:t>
      </w:r>
      <w:r>
        <w:rPr>
          <w:rFonts w:ascii="黑体" w:hAnsi="黑体" w:eastAsia="黑体" w:cs="黑体"/>
          <w:b/>
          <w:kern w:val="0"/>
          <w:szCs w:val="21"/>
        </w:rPr>
        <w:t>向相关</w:t>
      </w:r>
      <w:r>
        <w:rPr>
          <w:rFonts w:hint="eastAsia" w:ascii="黑体" w:hAnsi="黑体" w:eastAsia="黑体" w:cs="黑体"/>
          <w:b/>
          <w:kern w:val="0"/>
          <w:szCs w:val="21"/>
        </w:rPr>
        <w:t>投资者</w:t>
      </w:r>
      <w:r>
        <w:rPr>
          <w:rFonts w:ascii="黑体" w:hAnsi="黑体" w:eastAsia="黑体" w:cs="黑体"/>
          <w:b/>
          <w:kern w:val="0"/>
          <w:szCs w:val="21"/>
        </w:rPr>
        <w:t>披露</w:t>
      </w:r>
      <w:r>
        <w:rPr>
          <w:rFonts w:hint="eastAsia" w:ascii="黑体" w:hAnsi="黑体" w:eastAsia="黑体" w:cs="黑体"/>
          <w:b/>
          <w:kern w:val="0"/>
          <w:szCs w:val="21"/>
        </w:rPr>
        <w:t>短期赎回费率、费用计算方式、收费方式等信息</w:t>
      </w:r>
      <w:r>
        <w:rPr>
          <w:rFonts w:ascii="黑体" w:hAnsi="黑体" w:eastAsia="黑体" w:cs="黑体"/>
          <w:b/>
          <w:kern w:val="0"/>
          <w:szCs w:val="21"/>
        </w:rPr>
        <w:t>。</w:t>
      </w:r>
    </w:p>
    <w:p w14:paraId="01B9693F">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3</w:t>
      </w:r>
      <w:r>
        <w:rPr>
          <w:rFonts w:hint="eastAsia" w:ascii="黑体" w:hAnsi="黑体" w:eastAsia="黑体" w:cs="黑体"/>
          <w:kern w:val="0"/>
          <w:szCs w:val="21"/>
        </w:rPr>
        <w:t>、</w:t>
      </w:r>
      <w:r>
        <w:rPr>
          <w:rFonts w:ascii="黑体" w:hAnsi="黑体" w:eastAsia="黑体" w:cs="黑体"/>
          <w:kern w:val="0"/>
          <w:szCs w:val="21"/>
        </w:rPr>
        <w:t>其他</w:t>
      </w:r>
      <w:r>
        <w:rPr>
          <w:rFonts w:hint="eastAsia" w:ascii="黑体" w:hAnsi="黑体" w:eastAsia="黑体" w:cs="黑体"/>
          <w:kern w:val="0"/>
          <w:szCs w:val="21"/>
        </w:rPr>
        <w:t>：无</w:t>
      </w:r>
    </w:p>
    <w:p w14:paraId="6AC6F427">
      <w:pPr>
        <w:autoSpaceDE w:val="0"/>
        <w:autoSpaceDN w:val="0"/>
        <w:adjustRightInd w:val="0"/>
        <w:jc w:val="left"/>
        <w:rPr>
          <w:rFonts w:ascii="黑体" w:hAnsi="黑体" w:eastAsia="黑体" w:cs="黑体"/>
          <w:kern w:val="0"/>
          <w:szCs w:val="21"/>
        </w:rPr>
      </w:pPr>
      <w:r>
        <w:rPr>
          <w:rFonts w:hint="eastAsia" w:ascii="黑体" w:hAnsi="黑体" w:eastAsia="黑体" w:cs="黑体"/>
          <w:kern w:val="0"/>
          <w:szCs w:val="21"/>
        </w:rPr>
        <w:t>（六</w:t>
      </w:r>
      <w:r>
        <w:rPr>
          <w:rFonts w:ascii="黑体" w:hAnsi="黑体" w:eastAsia="黑体" w:cs="黑体"/>
          <w:kern w:val="0"/>
          <w:szCs w:val="21"/>
        </w:rPr>
        <w:t>）分红规则</w:t>
      </w:r>
    </w:p>
    <w:p w14:paraId="2C550FD2">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1、</w:t>
      </w:r>
      <w:r>
        <w:rPr>
          <w:rFonts w:hint="eastAsia" w:ascii="黑体" w:hAnsi="黑体" w:eastAsia="黑体" w:cs="黑体"/>
          <w:kern w:val="0"/>
          <w:szCs w:val="21"/>
        </w:rPr>
        <w:t>本产品存续期间不分红。</w:t>
      </w:r>
    </w:p>
    <w:p w14:paraId="6D6FC56A">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2、产品管理人有权根据产品实际运作情况，对本产品的分红规则进行调整，如有相应调整，公司将于调整</w:t>
      </w:r>
      <w:r>
        <w:rPr>
          <w:rFonts w:hint="eastAsia" w:ascii="黑体" w:hAnsi="黑体"/>
          <w:kern w:val="0"/>
        </w:rPr>
        <w:t>前</w:t>
      </w:r>
      <w:r>
        <w:rPr>
          <w:rFonts w:ascii="黑体" w:hAnsi="黑体" w:eastAsia="黑体" w:cs="黑体"/>
          <w:kern w:val="0"/>
          <w:szCs w:val="21"/>
        </w:rPr>
        <w:t>3</w:t>
      </w:r>
      <w:r>
        <w:rPr>
          <w:rFonts w:hint="eastAsia" w:ascii="黑体" w:hAnsi="黑体" w:eastAsia="黑体" w:cs="黑体"/>
          <w:kern w:val="0"/>
          <w:szCs w:val="21"/>
        </w:rPr>
        <w:t>个工作日进行信息披露。</w:t>
      </w:r>
    </w:p>
    <w:p w14:paraId="45BED479">
      <w:pPr>
        <w:autoSpaceDE w:val="0"/>
        <w:autoSpaceDN w:val="0"/>
        <w:adjustRightInd w:val="0"/>
        <w:jc w:val="left"/>
        <w:rPr>
          <w:rFonts w:ascii="黑体" w:hAnsi="黑体" w:eastAsia="黑体" w:cs="ËÎÌå"/>
          <w:kern w:val="0"/>
          <w:szCs w:val="21"/>
        </w:rPr>
      </w:pPr>
      <w:r>
        <w:rPr>
          <w:rFonts w:hint="eastAsia" w:ascii="黑体" w:hAnsi="黑体" w:eastAsia="黑体" w:cs="黑体"/>
          <w:kern w:val="0"/>
          <w:szCs w:val="21"/>
        </w:rPr>
        <w:t>（七）</w:t>
      </w:r>
      <w:r>
        <w:rPr>
          <w:rFonts w:hint="eastAsia" w:ascii="黑体" w:hAnsi="黑体" w:eastAsia="黑体" w:cs="ËÎÌå"/>
          <w:kern w:val="0"/>
          <w:szCs w:val="21"/>
        </w:rPr>
        <w:t>摆动定价机制</w:t>
      </w:r>
    </w:p>
    <w:p w14:paraId="4D3001B8">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当本产品发生大额认（申）购或赎回情形时，产品管理人可采用摆动定价机制，以确保产品估值的公平性，并于实施后</w:t>
      </w:r>
      <w:r>
        <w:rPr>
          <w:rFonts w:ascii="黑体" w:hAnsi="黑体" w:eastAsia="黑体" w:cs="黑体"/>
          <w:kern w:val="0"/>
          <w:szCs w:val="21"/>
        </w:rPr>
        <w:t>3个工作日内进行公告。摆动定价机制指当本产品遭遇大额认（申）购或赎回时，通过调整理财产品份额净值的方式，将理财产品调整投资组合的市场冲击成本分配给实际认（申）购、赎回的投资者，从而减少对存量理财产品份额持有人利益的不利影响。</w:t>
      </w:r>
      <w:r>
        <w:rPr>
          <w:rFonts w:hint="eastAsia" w:ascii="黑体" w:hAnsi="黑体" w:eastAsia="黑体" w:cs="黑体"/>
          <w:kern w:val="0"/>
          <w:szCs w:val="21"/>
        </w:rPr>
        <w:t>具体操作按照相关法律法规、监管规定和自律规则执行。</w:t>
      </w:r>
    </w:p>
    <w:p w14:paraId="5E2973AC">
      <w:pPr>
        <w:autoSpaceDE w:val="0"/>
        <w:autoSpaceDN w:val="0"/>
        <w:adjustRightInd w:val="0"/>
        <w:ind w:firstLine="420" w:firstLineChars="200"/>
        <w:jc w:val="left"/>
        <w:rPr>
          <w:rFonts w:ascii="黑体" w:hAnsi="黑体" w:eastAsia="黑体" w:cs="黑体"/>
          <w:kern w:val="0"/>
          <w:szCs w:val="21"/>
        </w:rPr>
      </w:pPr>
    </w:p>
    <w:p w14:paraId="68D0CD1D">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五、产品资产估值原则</w:t>
      </w:r>
      <w:r>
        <w:rPr>
          <w:rFonts w:ascii="黑体" w:hAnsi="黑体" w:eastAsia="黑体" w:cs="黑体"/>
          <w:b/>
          <w:kern w:val="0"/>
          <w:szCs w:val="21"/>
        </w:rPr>
        <w:t>及方法</w:t>
      </w:r>
    </w:p>
    <w:p w14:paraId="39704D9F">
      <w:pPr>
        <w:autoSpaceDE w:val="0"/>
        <w:autoSpaceDN w:val="0"/>
        <w:adjustRightInd w:val="0"/>
        <w:jc w:val="left"/>
        <w:rPr>
          <w:rFonts w:ascii="黑体" w:hAnsi="黑体" w:eastAsia="黑体" w:cs="宋体"/>
          <w:kern w:val="0"/>
          <w:szCs w:val="21"/>
        </w:rPr>
      </w:pPr>
      <w:r>
        <w:rPr>
          <w:rFonts w:hint="eastAsia" w:ascii="黑体" w:hAnsi="黑体" w:eastAsia="黑体" w:cs="宋体"/>
          <w:kern w:val="0"/>
          <w:szCs w:val="21"/>
        </w:rPr>
        <w:t>（一）估值日</w:t>
      </w:r>
    </w:p>
    <w:p w14:paraId="245E96CB">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本产品估值日为国家法定工作日。</w:t>
      </w:r>
    </w:p>
    <w:p w14:paraId="5615AE0B">
      <w:pPr>
        <w:autoSpaceDE w:val="0"/>
        <w:autoSpaceDN w:val="0"/>
        <w:adjustRightInd w:val="0"/>
        <w:jc w:val="left"/>
        <w:rPr>
          <w:rFonts w:ascii="黑体" w:hAnsi="黑体" w:eastAsia="黑体" w:cs="宋体"/>
          <w:kern w:val="0"/>
          <w:szCs w:val="21"/>
        </w:rPr>
      </w:pPr>
      <w:r>
        <w:rPr>
          <w:rFonts w:hint="eastAsia" w:ascii="黑体" w:hAnsi="黑体" w:eastAsia="黑体" w:cs="宋体"/>
          <w:kern w:val="0"/>
          <w:szCs w:val="21"/>
        </w:rPr>
        <w:t>（二</w:t>
      </w:r>
      <w:r>
        <w:rPr>
          <w:rFonts w:ascii="黑体" w:hAnsi="黑体" w:eastAsia="黑体" w:cs="宋体"/>
          <w:kern w:val="0"/>
          <w:szCs w:val="21"/>
        </w:rPr>
        <w:t>）</w:t>
      </w:r>
      <w:r>
        <w:rPr>
          <w:rFonts w:hint="eastAsia" w:ascii="黑体" w:hAnsi="黑体" w:eastAsia="黑体" w:cs="宋体"/>
          <w:kern w:val="0"/>
          <w:szCs w:val="21"/>
        </w:rPr>
        <w:t>估值</w:t>
      </w:r>
      <w:r>
        <w:rPr>
          <w:rFonts w:ascii="黑体" w:hAnsi="黑体" w:eastAsia="黑体" w:cs="宋体"/>
          <w:kern w:val="0"/>
          <w:szCs w:val="21"/>
        </w:rPr>
        <w:t>原则</w:t>
      </w:r>
    </w:p>
    <w:p w14:paraId="0B78FFD6">
      <w:pPr>
        <w:autoSpaceDE w:val="0"/>
        <w:autoSpaceDN w:val="0"/>
        <w:adjustRightInd w:val="0"/>
        <w:ind w:firstLine="420" w:firstLineChars="200"/>
        <w:rPr>
          <w:rFonts w:ascii="黑体" w:hAnsi="黑体" w:eastAsia="黑体" w:cs="黑体"/>
          <w:b/>
          <w:kern w:val="0"/>
          <w:szCs w:val="21"/>
        </w:rPr>
      </w:pPr>
      <w:r>
        <w:rPr>
          <w:rFonts w:hint="eastAsia" w:ascii="黑体" w:hAnsi="黑体" w:eastAsia="黑体" w:cs="黑体"/>
          <w:kern w:val="0"/>
          <w:szCs w:val="21"/>
        </w:rPr>
        <w:t>公司理财产品投资金融资产在符合企业会计准则的前提下坚持公允价值计量原则，鼓励使用市值计量。</w:t>
      </w:r>
      <w:r>
        <w:rPr>
          <w:rFonts w:hint="eastAsia" w:ascii="黑体" w:hAnsi="黑体" w:eastAsia="黑体" w:cs="黑体"/>
          <w:b/>
          <w:kern w:val="0"/>
          <w:szCs w:val="21"/>
        </w:rPr>
        <w:t>符合以下条件之一的，可按照企业会计准则以摊余成本进行计量：</w:t>
      </w:r>
    </w:p>
    <w:p w14:paraId="3BFB5AA8">
      <w:pPr>
        <w:autoSpaceDE w:val="0"/>
        <w:autoSpaceDN w:val="0"/>
        <w:adjustRightInd w:val="0"/>
        <w:ind w:firstLine="420" w:firstLineChars="200"/>
        <w:rPr>
          <w:rFonts w:ascii="黑体" w:hAnsi="黑体" w:eastAsia="黑体" w:cs="黑体"/>
          <w:kern w:val="0"/>
          <w:szCs w:val="21"/>
        </w:rPr>
      </w:pPr>
      <w:r>
        <w:rPr>
          <w:rFonts w:hint="eastAsia" w:ascii="黑体" w:hAnsi="黑体" w:eastAsia="黑体" w:cs="黑体"/>
          <w:kern w:val="0"/>
          <w:szCs w:val="21"/>
        </w:rPr>
        <w:t>（</w:t>
      </w:r>
      <w:r>
        <w:rPr>
          <w:rFonts w:ascii="黑体" w:hAnsi="黑体" w:eastAsia="黑体" w:cs="黑体"/>
          <w:kern w:val="0"/>
          <w:szCs w:val="21"/>
        </w:rPr>
        <w:t>1）资产管理产品为封闭式产品，且所投金融资产以收取合同现金流量为目的并且持有到期。</w:t>
      </w:r>
    </w:p>
    <w:p w14:paraId="34D1B56D">
      <w:pPr>
        <w:autoSpaceDE w:val="0"/>
        <w:autoSpaceDN w:val="0"/>
        <w:adjustRightInd w:val="0"/>
        <w:ind w:firstLine="420" w:firstLineChars="200"/>
        <w:rPr>
          <w:rFonts w:ascii="黑体" w:hAnsi="黑体" w:eastAsia="黑体" w:cs="黑体"/>
          <w:kern w:val="0"/>
          <w:szCs w:val="21"/>
        </w:rPr>
      </w:pPr>
      <w:r>
        <w:rPr>
          <w:rFonts w:hint="eastAsia" w:ascii="黑体" w:hAnsi="黑体" w:eastAsia="黑体" w:cs="黑体"/>
          <w:kern w:val="0"/>
          <w:szCs w:val="21"/>
        </w:rPr>
        <w:t>（</w:t>
      </w:r>
      <w:r>
        <w:rPr>
          <w:rFonts w:ascii="黑体" w:hAnsi="黑体" w:eastAsia="黑体" w:cs="黑体"/>
          <w:kern w:val="0"/>
          <w:szCs w:val="21"/>
        </w:rPr>
        <w:t>2）资产管理产品为封闭式产品，且所投金融资产暂不具备活跃交易市场，或者在活跃市场中没有报价、也不能采用估值技术可靠计量公允价值。</w:t>
      </w:r>
    </w:p>
    <w:p w14:paraId="6C29DAA1">
      <w:pPr>
        <w:autoSpaceDE w:val="0"/>
        <w:autoSpaceDN w:val="0"/>
        <w:adjustRightInd w:val="0"/>
        <w:ind w:firstLine="420" w:firstLineChars="200"/>
        <w:rPr>
          <w:rFonts w:ascii="黑体" w:hAnsi="黑体" w:eastAsia="黑体" w:cs="黑体"/>
          <w:b/>
          <w:kern w:val="0"/>
          <w:szCs w:val="21"/>
        </w:rPr>
      </w:pPr>
      <w:r>
        <w:rPr>
          <w:rFonts w:hint="eastAsia" w:ascii="黑体" w:hAnsi="黑体" w:eastAsia="黑体" w:cs="黑体"/>
          <w:kern w:val="0"/>
          <w:szCs w:val="21"/>
        </w:rPr>
        <w:t>现金管理类产品按照《企业会计准则》和《关于规范金融机构资产管理业务的指导意见》关于金融资产估值核算的相关规定，确认和计量现金管理类产品的净值。可在确保现金管理类产品资产净值能够公允地反映投资组合价值的前提下，采用摊余成本法对持有的投资组合进行会计核算。</w:t>
      </w:r>
      <w:r>
        <w:rPr>
          <w:rFonts w:hint="eastAsia" w:ascii="黑体" w:hAnsi="黑体" w:eastAsia="黑体" w:cs="黑体"/>
          <w:b/>
          <w:kern w:val="0"/>
          <w:szCs w:val="21"/>
        </w:rPr>
        <w:t>由于按摊余成本法计量可能会出现被计量对象的其他可参考公允价值指标和摊余成本之间的偏离，为消除或减少因理财产品资产净值的背离导致理财产品份额持有人权益的稀释或其他不公平的结果，在实际操作中，产品管理人和托管机构将采用估值技术，对理财产品持有的估值对象进行重新评估，即“影子定价”。当影子定价确定的现金管理类产品资产净值与摊余成本法计算的资产净值正偏离度绝对值达到</w:t>
      </w:r>
      <w:r>
        <w:rPr>
          <w:rFonts w:ascii="黑体" w:hAnsi="黑体" w:eastAsia="黑体" w:cs="黑体"/>
          <w:b/>
          <w:kern w:val="0"/>
          <w:szCs w:val="21"/>
        </w:rPr>
        <w:t>0.5%时，产品管理人将暂停接受认购并在5个交易日内将正偏离度绝对值调整到0.5%以内。当负偏离度绝对值达到0.25%时，产品管理人将在5个交易日内将负偏离度绝对值调整到0.25%以内。当负偏离度绝对值达到0.5%时，产品管理人将采取相应措施，将负偏离度绝对值控制在0.5%以内。当负偏离度绝对值连续两个交易日超过0.5%时，产品管理人将采用公允价值估值方法对持有投资组合的账面价值进行调整，或者采取暂停接受所有赎回申请并终止产品合同进行财产清算等措施。若采取上述处理方式，产品管理人将于发生后三个工作日内进行信息披露。</w:t>
      </w:r>
    </w:p>
    <w:p w14:paraId="1CB54FFF">
      <w:pPr>
        <w:autoSpaceDE w:val="0"/>
        <w:autoSpaceDN w:val="0"/>
        <w:adjustRightInd w:val="0"/>
        <w:ind w:firstLine="420" w:firstLineChars="200"/>
        <w:rPr>
          <w:rFonts w:ascii="黑体" w:hAnsi="黑体" w:eastAsia="黑体" w:cs="黑体"/>
          <w:kern w:val="0"/>
          <w:szCs w:val="21"/>
        </w:rPr>
      </w:pPr>
      <w:r>
        <w:rPr>
          <w:rFonts w:hint="eastAsia" w:ascii="黑体" w:hAnsi="黑体" w:eastAsia="黑体" w:cs="黑体"/>
          <w:kern w:val="0"/>
          <w:szCs w:val="21"/>
        </w:rPr>
        <w:t>如财政部、中国人民银行、国家金融监督管理总局等有关部门对估值原则另有规定的，从其规定。</w:t>
      </w:r>
    </w:p>
    <w:p w14:paraId="5BCBAEE7">
      <w:pPr>
        <w:autoSpaceDE w:val="0"/>
        <w:autoSpaceDN w:val="0"/>
        <w:adjustRightInd w:val="0"/>
        <w:jc w:val="left"/>
        <w:rPr>
          <w:rFonts w:ascii="黑体" w:hAnsi="黑体" w:eastAsia="黑体" w:cs="宋体"/>
          <w:kern w:val="0"/>
          <w:szCs w:val="21"/>
        </w:rPr>
      </w:pPr>
      <w:r>
        <w:rPr>
          <w:rFonts w:hint="eastAsia" w:ascii="黑体" w:hAnsi="黑体" w:eastAsia="黑体" w:cs="宋体"/>
          <w:kern w:val="0"/>
          <w:szCs w:val="21"/>
        </w:rPr>
        <w:t>（三）估值对象</w:t>
      </w:r>
    </w:p>
    <w:p w14:paraId="4F36B1D3">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本产品所持有的所有资产。</w:t>
      </w:r>
    </w:p>
    <w:p w14:paraId="4F1FD07F">
      <w:pPr>
        <w:autoSpaceDE w:val="0"/>
        <w:autoSpaceDN w:val="0"/>
        <w:adjustRightInd w:val="0"/>
        <w:jc w:val="left"/>
        <w:rPr>
          <w:rFonts w:ascii="黑体" w:hAnsi="黑体" w:eastAsia="黑体" w:cs="宋体"/>
          <w:kern w:val="0"/>
          <w:szCs w:val="21"/>
        </w:rPr>
      </w:pPr>
      <w:r>
        <w:rPr>
          <w:rFonts w:hint="eastAsia" w:ascii="黑体" w:hAnsi="黑体" w:eastAsia="黑体" w:cs="宋体"/>
          <w:kern w:val="0"/>
          <w:szCs w:val="21"/>
        </w:rPr>
        <w:t>（四）资产估值方法</w:t>
      </w:r>
    </w:p>
    <w:p w14:paraId="75CEA297">
      <w:pPr>
        <w:autoSpaceDE w:val="0"/>
        <w:autoSpaceDN w:val="0"/>
        <w:adjustRightInd w:val="0"/>
        <w:ind w:firstLine="420" w:firstLineChars="200"/>
        <w:jc w:val="left"/>
        <w:rPr>
          <w:rFonts w:ascii="黑体" w:hAnsi="黑体" w:eastAsia="黑体" w:cs="宋体"/>
          <w:kern w:val="0"/>
          <w:szCs w:val="21"/>
        </w:rPr>
      </w:pPr>
      <w:r>
        <w:rPr>
          <w:rFonts w:ascii="黑体" w:hAnsi="黑体" w:eastAsia="黑体" w:cs="宋体"/>
          <w:kern w:val="0"/>
          <w:szCs w:val="21"/>
        </w:rPr>
        <w:t>1、权益类证券</w:t>
      </w:r>
    </w:p>
    <w:p w14:paraId="13407CA2">
      <w:pPr>
        <w:autoSpaceDE w:val="0"/>
        <w:autoSpaceDN w:val="0"/>
        <w:adjustRightInd w:val="0"/>
        <w:ind w:firstLine="420" w:firstLineChars="200"/>
        <w:jc w:val="left"/>
        <w:rPr>
          <w:rFonts w:ascii="黑体" w:hAnsi="黑体" w:eastAsia="黑体" w:cs="宋体"/>
          <w:kern w:val="0"/>
          <w:szCs w:val="21"/>
        </w:rPr>
      </w:pPr>
      <w:r>
        <w:rPr>
          <w:rFonts w:hint="eastAsia" w:ascii="黑体" w:hAnsi="黑体" w:eastAsia="黑体" w:cs="宋体"/>
          <w:kern w:val="0"/>
          <w:szCs w:val="21"/>
        </w:rPr>
        <w:t>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参考类似投资品种的现行价格及重大变化因素，调整最近交易日的收盘价确定公允价值。</w:t>
      </w:r>
    </w:p>
    <w:p w14:paraId="2BFA1D68">
      <w:pPr>
        <w:autoSpaceDE w:val="0"/>
        <w:autoSpaceDN w:val="0"/>
        <w:adjustRightInd w:val="0"/>
        <w:ind w:firstLine="420" w:firstLineChars="200"/>
        <w:jc w:val="left"/>
        <w:rPr>
          <w:rFonts w:ascii="黑体" w:hAnsi="黑体" w:eastAsia="黑体" w:cs="宋体"/>
          <w:kern w:val="0"/>
          <w:szCs w:val="21"/>
        </w:rPr>
      </w:pPr>
      <w:r>
        <w:rPr>
          <w:rFonts w:ascii="黑体" w:hAnsi="黑体" w:eastAsia="黑体" w:cs="宋体"/>
          <w:kern w:val="0"/>
          <w:szCs w:val="21"/>
        </w:rPr>
        <w:t>2、固定收益类证券</w:t>
      </w:r>
    </w:p>
    <w:p w14:paraId="3546EE5B">
      <w:pPr>
        <w:autoSpaceDE w:val="0"/>
        <w:autoSpaceDN w:val="0"/>
        <w:adjustRightInd w:val="0"/>
        <w:ind w:firstLine="420" w:firstLineChars="200"/>
        <w:jc w:val="left"/>
        <w:rPr>
          <w:rFonts w:ascii="黑体" w:hAnsi="黑体" w:eastAsia="黑体" w:cs="宋体"/>
          <w:kern w:val="0"/>
          <w:szCs w:val="21"/>
        </w:rPr>
      </w:pPr>
      <w:r>
        <w:rPr>
          <w:rFonts w:hint="eastAsia" w:ascii="黑体" w:hAnsi="黑体" w:eastAsia="黑体" w:cs="宋体"/>
          <w:kern w:val="0"/>
          <w:szCs w:val="21"/>
        </w:rPr>
        <w:t>理财产品直接持有的在证券交易所和全国银行间市场交易的债券，以交易为目的的，</w:t>
      </w:r>
    </w:p>
    <w:p w14:paraId="7D32EF26">
      <w:pPr>
        <w:autoSpaceDE w:val="0"/>
        <w:autoSpaceDN w:val="0"/>
        <w:adjustRightInd w:val="0"/>
        <w:ind w:firstLine="420" w:firstLineChars="200"/>
        <w:jc w:val="left"/>
        <w:rPr>
          <w:rFonts w:ascii="黑体" w:hAnsi="黑体" w:eastAsia="黑体" w:cs="宋体"/>
          <w:kern w:val="0"/>
          <w:szCs w:val="21"/>
        </w:rPr>
      </w:pPr>
      <w:r>
        <w:rPr>
          <w:rFonts w:hint="eastAsia" w:ascii="黑体" w:hAnsi="黑体" w:eastAsia="黑体" w:cs="宋体"/>
          <w:kern w:val="0"/>
          <w:szCs w:val="21"/>
        </w:rPr>
        <w:t>按第三方估值机构（中债、中证等）提供的估值数据，对本组合持有的债券进行估值，具体第三方估值机构由管理人和托管行具体协商确定；以收取合同现金流量为目的并持有到期的，在符合监管规定的情况下按摊余成本法计量。因经济环境发生重大变化或债券发行主体发生重大事件等，导致债券价格发生重大变化的或导致债券发行主体无法履行应尽的偿债义务的，经管理人合理判断后，参考第三方估值机构提供的估值数据、市场价格及债券发行主体实际状况等，对该债券的价值进行重估，并合理确定随后该债券遵循的估值方法。资产支持证券和资产支持票据原则上按第三方估值机构（中债、中证等）提供的估值数据进行估值具体第三方估值机构由管理人和托管行具体协商确定。但若因其交易不活跃或未来现金流难以确认等客观原因，导致第三方估值机构提供的估值数据无法反映其公允价值的，为保护投资者利益，经管理人和托管行合理判断后，可采用其他估值技术对其进行估值。管理人应持续评估上述估值技术的适当性，并在此情况发生改变时做出适当调整。</w:t>
      </w:r>
    </w:p>
    <w:p w14:paraId="260D79B2">
      <w:pPr>
        <w:autoSpaceDE w:val="0"/>
        <w:autoSpaceDN w:val="0"/>
        <w:adjustRightInd w:val="0"/>
        <w:ind w:firstLine="420" w:firstLineChars="200"/>
        <w:jc w:val="left"/>
        <w:rPr>
          <w:rFonts w:ascii="黑体" w:hAnsi="黑体" w:eastAsia="黑体" w:cs="宋体"/>
          <w:kern w:val="0"/>
          <w:szCs w:val="21"/>
        </w:rPr>
      </w:pPr>
      <w:r>
        <w:rPr>
          <w:rFonts w:ascii="黑体" w:hAnsi="黑体" w:eastAsia="黑体" w:cs="宋体"/>
          <w:kern w:val="0"/>
          <w:szCs w:val="21"/>
        </w:rPr>
        <w:t>3、存款类资产</w:t>
      </w:r>
    </w:p>
    <w:p w14:paraId="6E0262ED">
      <w:pPr>
        <w:autoSpaceDE w:val="0"/>
        <w:autoSpaceDN w:val="0"/>
        <w:adjustRightInd w:val="0"/>
        <w:ind w:firstLine="420" w:firstLineChars="200"/>
        <w:jc w:val="left"/>
        <w:rPr>
          <w:rFonts w:ascii="黑体" w:hAnsi="黑体" w:eastAsia="黑体" w:cs="宋体"/>
          <w:kern w:val="0"/>
          <w:szCs w:val="21"/>
        </w:rPr>
      </w:pPr>
      <w:r>
        <w:rPr>
          <w:rFonts w:hint="eastAsia" w:ascii="黑体" w:hAnsi="黑体" w:eastAsia="黑体" w:cs="宋体"/>
          <w:kern w:val="0"/>
          <w:szCs w:val="21"/>
        </w:rPr>
        <w:t>包括：活期存款、定期存款、通知存款、存放同业、大额存单等。按照约定利率在持有期内逐日计提应收利息，在利息到账日以实收利息入账。</w:t>
      </w:r>
    </w:p>
    <w:p w14:paraId="6C99FFF4">
      <w:pPr>
        <w:autoSpaceDE w:val="0"/>
        <w:autoSpaceDN w:val="0"/>
        <w:adjustRightInd w:val="0"/>
        <w:ind w:firstLine="420" w:firstLineChars="200"/>
        <w:jc w:val="left"/>
        <w:rPr>
          <w:rFonts w:ascii="黑体" w:hAnsi="黑体" w:eastAsia="黑体" w:cs="宋体"/>
          <w:kern w:val="0"/>
          <w:szCs w:val="21"/>
        </w:rPr>
      </w:pPr>
      <w:r>
        <w:rPr>
          <w:rFonts w:ascii="黑体" w:hAnsi="黑体" w:eastAsia="黑体" w:cs="宋体"/>
          <w:kern w:val="0"/>
          <w:szCs w:val="21"/>
        </w:rPr>
        <w:t>4、非上市基金</w:t>
      </w:r>
    </w:p>
    <w:p w14:paraId="6AFD162B">
      <w:pPr>
        <w:autoSpaceDE w:val="0"/>
        <w:autoSpaceDN w:val="0"/>
        <w:adjustRightInd w:val="0"/>
        <w:ind w:firstLine="420" w:firstLineChars="200"/>
        <w:jc w:val="left"/>
        <w:rPr>
          <w:rFonts w:ascii="黑体" w:hAnsi="黑体" w:eastAsia="黑体" w:cs="宋体"/>
          <w:kern w:val="0"/>
          <w:szCs w:val="21"/>
        </w:rPr>
      </w:pPr>
      <w:r>
        <w:rPr>
          <w:rFonts w:hint="eastAsia" w:ascii="黑体" w:hAnsi="黑体" w:eastAsia="黑体" w:cs="宋体"/>
          <w:kern w:val="0"/>
          <w:szCs w:val="21"/>
        </w:rPr>
        <w:t>理财产品投资的境内非货币市场基金，按所投资基金估值日的份额净值估值；境内货币市场基金，按所投资基金前一估值日后至估值日期间（含节假日）的万份收益计提估值日基金收益。</w:t>
      </w:r>
    </w:p>
    <w:p w14:paraId="0A486A6F">
      <w:pPr>
        <w:autoSpaceDE w:val="0"/>
        <w:autoSpaceDN w:val="0"/>
        <w:adjustRightInd w:val="0"/>
        <w:ind w:firstLine="420" w:firstLineChars="200"/>
        <w:jc w:val="left"/>
        <w:rPr>
          <w:rFonts w:ascii="黑体" w:hAnsi="黑体" w:eastAsia="黑体" w:cs="宋体"/>
          <w:kern w:val="0"/>
          <w:szCs w:val="21"/>
        </w:rPr>
      </w:pPr>
      <w:r>
        <w:rPr>
          <w:rFonts w:ascii="黑体" w:hAnsi="黑体" w:eastAsia="黑体" w:cs="宋体"/>
          <w:kern w:val="0"/>
          <w:szCs w:val="21"/>
        </w:rPr>
        <w:t>5、上市证券投资基金</w:t>
      </w:r>
    </w:p>
    <w:p w14:paraId="1727CCB7">
      <w:pPr>
        <w:autoSpaceDE w:val="0"/>
        <w:autoSpaceDN w:val="0"/>
        <w:adjustRightInd w:val="0"/>
        <w:ind w:firstLine="420" w:firstLineChars="200"/>
        <w:jc w:val="left"/>
        <w:rPr>
          <w:rFonts w:ascii="黑体" w:hAnsi="黑体" w:eastAsia="黑体" w:cs="宋体"/>
          <w:kern w:val="0"/>
          <w:szCs w:val="21"/>
        </w:rPr>
      </w:pPr>
      <w:r>
        <w:rPr>
          <w:rFonts w:hint="eastAsia" w:ascii="黑体" w:hAnsi="黑体" w:eastAsia="黑体" w:cs="宋体"/>
          <w:kern w:val="0"/>
          <w:szCs w:val="21"/>
        </w:rPr>
        <w:t>理财产品投资的</w:t>
      </w:r>
      <w:r>
        <w:rPr>
          <w:rFonts w:ascii="黑体" w:hAnsi="黑体" w:eastAsia="黑体" w:cs="宋体"/>
          <w:kern w:val="0"/>
          <w:szCs w:val="21"/>
        </w:rPr>
        <w:t>ETF</w:t>
      </w:r>
      <w:r>
        <w:rPr>
          <w:rFonts w:hint="eastAsia" w:ascii="黑体" w:hAnsi="黑体" w:eastAsia="黑体" w:cs="宋体"/>
          <w:kern w:val="0"/>
          <w:szCs w:val="21"/>
        </w:rPr>
        <w:t>基金、境内上市定期开放式基金、封闭式基金，按所投资基金估值日的收盘价估值；境内上市开放式基金（</w:t>
      </w:r>
      <w:r>
        <w:rPr>
          <w:rFonts w:ascii="黑体" w:hAnsi="黑体" w:eastAsia="黑体" w:cs="宋体"/>
          <w:kern w:val="0"/>
          <w:szCs w:val="21"/>
        </w:rPr>
        <w:t>LOF）、境内上市交易型货币市场基金，如所投资基金披露份额净值，则按所投资基金估值日的份额净值估值，估值日未公布净值的，按其最近公布的基金份额净值为基础估值；如所投资基金披露万份收益，则按所投资基金前一估值日后至估值日期间（含节假日）的万份收益计提估值日基金收益。</w:t>
      </w:r>
    </w:p>
    <w:p w14:paraId="6CE53848">
      <w:pPr>
        <w:autoSpaceDE w:val="0"/>
        <w:autoSpaceDN w:val="0"/>
        <w:adjustRightInd w:val="0"/>
        <w:ind w:firstLine="420" w:firstLineChars="200"/>
        <w:jc w:val="left"/>
        <w:rPr>
          <w:rFonts w:ascii="黑体" w:hAnsi="黑体" w:eastAsia="黑体" w:cs="宋体"/>
          <w:kern w:val="0"/>
          <w:szCs w:val="21"/>
        </w:rPr>
      </w:pPr>
      <w:r>
        <w:rPr>
          <w:rFonts w:ascii="黑体" w:hAnsi="黑体" w:eastAsia="黑体" w:cs="宋体"/>
          <w:kern w:val="0"/>
          <w:szCs w:val="21"/>
        </w:rPr>
        <w:t>6、净值型资管产品</w:t>
      </w:r>
    </w:p>
    <w:p w14:paraId="30AD1E04">
      <w:pPr>
        <w:autoSpaceDE w:val="0"/>
        <w:autoSpaceDN w:val="0"/>
        <w:adjustRightInd w:val="0"/>
        <w:ind w:firstLine="420" w:firstLineChars="200"/>
        <w:jc w:val="left"/>
        <w:rPr>
          <w:rFonts w:ascii="黑体" w:hAnsi="黑体" w:eastAsia="黑体" w:cs="宋体"/>
          <w:kern w:val="0"/>
          <w:szCs w:val="21"/>
        </w:rPr>
      </w:pPr>
      <w:r>
        <w:rPr>
          <w:rFonts w:hint="eastAsia" w:ascii="黑体" w:hAnsi="黑体" w:eastAsia="黑体" w:cs="宋体"/>
          <w:kern w:val="0"/>
          <w:szCs w:val="21"/>
        </w:rPr>
        <w:t>净值型资管产品包括基金资管计划、信托计划等。理财产品投资的资产管理产品，按资产管理人提供的资管产品份额净值估值，净值频率以管理人发布为准。</w:t>
      </w:r>
    </w:p>
    <w:p w14:paraId="7C653CAB">
      <w:pPr>
        <w:autoSpaceDE w:val="0"/>
        <w:autoSpaceDN w:val="0"/>
        <w:adjustRightInd w:val="0"/>
        <w:ind w:firstLine="420" w:firstLineChars="200"/>
        <w:jc w:val="left"/>
        <w:rPr>
          <w:rFonts w:ascii="黑体" w:hAnsi="黑体" w:eastAsia="黑体" w:cs="宋体"/>
          <w:kern w:val="0"/>
          <w:szCs w:val="21"/>
        </w:rPr>
      </w:pPr>
      <w:r>
        <w:rPr>
          <w:rFonts w:ascii="黑体" w:hAnsi="黑体" w:eastAsia="黑体" w:cs="宋体"/>
          <w:kern w:val="0"/>
          <w:szCs w:val="21"/>
        </w:rPr>
        <w:t>7、衍生品</w:t>
      </w:r>
    </w:p>
    <w:p w14:paraId="52D55552">
      <w:pPr>
        <w:autoSpaceDE w:val="0"/>
        <w:autoSpaceDN w:val="0"/>
        <w:adjustRightInd w:val="0"/>
        <w:ind w:firstLine="420" w:firstLineChars="200"/>
        <w:jc w:val="left"/>
        <w:rPr>
          <w:rFonts w:ascii="黑体" w:hAnsi="黑体" w:eastAsia="黑体" w:cs="宋体"/>
          <w:kern w:val="0"/>
          <w:szCs w:val="21"/>
        </w:rPr>
      </w:pPr>
      <w:r>
        <w:rPr>
          <w:rFonts w:hint="eastAsia" w:ascii="黑体" w:hAnsi="黑体" w:eastAsia="黑体" w:cs="宋体"/>
          <w:kern w:val="0"/>
          <w:szCs w:val="21"/>
        </w:rPr>
        <w:t>对证券交易所或银行间市场上交易的衍生品，若存在活跃市场的情况下，以活跃市场上未经调整的报价作为计量日的公允价值；若活跃市场报价未能代表计量日公允价值的情况下，对市场报价进行调整以确认计量日的公允价值；对于不存在市场活动或市场活动很少的情况下，当采用第三方估值或估值技术确定其公允价值。</w:t>
      </w:r>
    </w:p>
    <w:p w14:paraId="5D370587">
      <w:pPr>
        <w:autoSpaceDE w:val="0"/>
        <w:autoSpaceDN w:val="0"/>
        <w:adjustRightInd w:val="0"/>
        <w:ind w:firstLine="420" w:firstLineChars="200"/>
        <w:jc w:val="left"/>
        <w:rPr>
          <w:rFonts w:ascii="黑体" w:hAnsi="黑体" w:eastAsia="黑体" w:cs="宋体"/>
          <w:kern w:val="0"/>
          <w:szCs w:val="21"/>
        </w:rPr>
      </w:pPr>
      <w:r>
        <w:rPr>
          <w:rFonts w:hint="eastAsia" w:ascii="黑体" w:hAnsi="黑体" w:eastAsia="黑体" w:cs="宋体"/>
          <w:kern w:val="0"/>
          <w:szCs w:val="21"/>
        </w:rPr>
        <w:t>对非上市交易的衍生品，且第三方估值机构（中证或中债）未提供估值价格的，采用估值技术确定其公允价值。</w:t>
      </w:r>
    </w:p>
    <w:p w14:paraId="22DBE49C">
      <w:pPr>
        <w:autoSpaceDE w:val="0"/>
        <w:autoSpaceDN w:val="0"/>
        <w:adjustRightInd w:val="0"/>
        <w:ind w:firstLine="420" w:firstLineChars="200"/>
        <w:jc w:val="left"/>
        <w:rPr>
          <w:rFonts w:ascii="黑体" w:hAnsi="黑体" w:eastAsia="黑体" w:cs="宋体"/>
          <w:kern w:val="0"/>
          <w:szCs w:val="21"/>
        </w:rPr>
      </w:pPr>
      <w:r>
        <w:rPr>
          <w:rFonts w:ascii="黑体" w:hAnsi="黑体" w:eastAsia="黑体" w:cs="宋体"/>
          <w:kern w:val="0"/>
          <w:szCs w:val="21"/>
        </w:rPr>
        <w:t>8、非标准化债权资产</w:t>
      </w:r>
    </w:p>
    <w:p w14:paraId="68DE02F8">
      <w:pPr>
        <w:autoSpaceDE w:val="0"/>
        <w:autoSpaceDN w:val="0"/>
        <w:adjustRightInd w:val="0"/>
        <w:ind w:firstLine="420" w:firstLineChars="200"/>
        <w:jc w:val="left"/>
        <w:rPr>
          <w:rFonts w:ascii="黑体" w:hAnsi="黑体" w:eastAsia="黑体" w:cs="宋体"/>
          <w:kern w:val="0"/>
          <w:szCs w:val="21"/>
        </w:rPr>
      </w:pPr>
      <w:r>
        <w:rPr>
          <w:rFonts w:hint="eastAsia" w:ascii="黑体" w:hAnsi="黑体" w:eastAsia="黑体" w:cs="宋体"/>
          <w:kern w:val="0"/>
          <w:szCs w:val="21"/>
        </w:rPr>
        <w:t>符合《关于规范金融机构资产管理业务的指导意见》中规定的可以使用摊余成本法计量的非标准化债权资产，可使用摊余成本法计量，其余采用公允价值法计量。</w:t>
      </w:r>
    </w:p>
    <w:p w14:paraId="2824DD2E">
      <w:pPr>
        <w:autoSpaceDE w:val="0"/>
        <w:autoSpaceDN w:val="0"/>
        <w:adjustRightInd w:val="0"/>
        <w:ind w:firstLine="420" w:firstLineChars="200"/>
        <w:jc w:val="left"/>
        <w:rPr>
          <w:rFonts w:ascii="黑体" w:hAnsi="黑体" w:eastAsia="黑体" w:cs="宋体"/>
          <w:kern w:val="0"/>
          <w:szCs w:val="21"/>
        </w:rPr>
      </w:pPr>
      <w:r>
        <w:rPr>
          <w:rFonts w:ascii="黑体" w:hAnsi="黑体" w:eastAsia="黑体" w:cs="宋体"/>
          <w:kern w:val="0"/>
          <w:szCs w:val="21"/>
        </w:rPr>
        <w:t>9、其他</w:t>
      </w:r>
    </w:p>
    <w:p w14:paraId="2945F592">
      <w:pPr>
        <w:autoSpaceDE w:val="0"/>
        <w:autoSpaceDN w:val="0"/>
        <w:adjustRightInd w:val="0"/>
        <w:ind w:firstLine="420" w:firstLineChars="200"/>
        <w:jc w:val="left"/>
        <w:rPr>
          <w:rFonts w:ascii="黑体" w:hAnsi="黑体" w:eastAsia="黑体" w:cs="宋体"/>
          <w:kern w:val="0"/>
          <w:szCs w:val="21"/>
        </w:rPr>
      </w:pPr>
      <w:r>
        <w:rPr>
          <w:rFonts w:hint="eastAsia" w:ascii="黑体" w:hAnsi="黑体" w:eastAsia="黑体" w:cs="宋体"/>
          <w:kern w:val="0"/>
          <w:szCs w:val="21"/>
        </w:rPr>
        <w:t>各类资产具体估值方法的确认，可参考《企业会计准则》以及相关监管政策的规定。</w:t>
      </w:r>
    </w:p>
    <w:p w14:paraId="7BEA9CEE">
      <w:pPr>
        <w:autoSpaceDE w:val="0"/>
        <w:autoSpaceDN w:val="0"/>
        <w:adjustRightInd w:val="0"/>
        <w:ind w:firstLine="420" w:firstLineChars="200"/>
        <w:jc w:val="left"/>
        <w:rPr>
          <w:rFonts w:ascii="黑体" w:hAnsi="黑体" w:eastAsia="黑体" w:cs="宋体"/>
          <w:kern w:val="0"/>
          <w:szCs w:val="21"/>
        </w:rPr>
      </w:pPr>
      <w:r>
        <w:rPr>
          <w:rFonts w:ascii="黑体" w:hAnsi="黑体" w:eastAsia="黑体" w:cs="宋体"/>
          <w:kern w:val="0"/>
          <w:szCs w:val="21"/>
        </w:rPr>
        <w:t>10、若产品管理人或产品托管人认为按以上规定方法不能真实反映理财产品资产公允价值的，经产品管理人和产品托管人协商一致后，可以变更资产价值的确定方式。国家或相关监管机构有最新规定的，按其规定进行估值。</w:t>
      </w:r>
    </w:p>
    <w:p w14:paraId="72934DD2">
      <w:pPr>
        <w:autoSpaceDE w:val="0"/>
        <w:autoSpaceDN w:val="0"/>
        <w:adjustRightInd w:val="0"/>
        <w:ind w:firstLine="420" w:firstLineChars="200"/>
        <w:jc w:val="left"/>
        <w:rPr>
          <w:rFonts w:ascii="黑体" w:hAnsi="黑体" w:eastAsia="黑体" w:cs="宋体"/>
          <w:kern w:val="0"/>
          <w:szCs w:val="21"/>
        </w:rPr>
      </w:pPr>
      <w:r>
        <w:rPr>
          <w:rFonts w:ascii="黑体" w:hAnsi="黑体" w:eastAsia="黑体" w:cs="宋体"/>
          <w:kern w:val="0"/>
          <w:szCs w:val="21"/>
        </w:rPr>
        <w:t>11、在任何情况下，产品管理人与托管人所共同认可的估值方式均视为客观、公允的估值方法。该产品估值均以产品公布的估值结果为准。</w:t>
      </w:r>
    </w:p>
    <w:p w14:paraId="517085E7">
      <w:pPr>
        <w:autoSpaceDE w:val="0"/>
        <w:autoSpaceDN w:val="0"/>
        <w:adjustRightInd w:val="0"/>
        <w:ind w:firstLine="420" w:firstLineChars="200"/>
        <w:rPr>
          <w:rFonts w:ascii="黑体" w:hAnsi="黑体" w:eastAsia="黑体" w:cs="黑体"/>
          <w:color w:val="000000" w:themeColor="text1"/>
          <w:kern w:val="0"/>
          <w:szCs w:val="21"/>
          <w14:textFill>
            <w14:solidFill>
              <w14:schemeClr w14:val="tx1"/>
            </w14:solidFill>
          </w14:textFill>
        </w:rPr>
      </w:pPr>
      <w:r>
        <w:rPr>
          <w:rFonts w:ascii="黑体" w:hAnsi="黑体" w:eastAsia="黑体" w:cs="黑体"/>
          <w:color w:val="000000" w:themeColor="text1"/>
          <w:kern w:val="0"/>
          <w:szCs w:val="21"/>
          <w14:textFill>
            <w14:solidFill>
              <w14:schemeClr w14:val="tx1"/>
            </w14:solidFill>
          </w14:textFill>
        </w:rPr>
        <w:t>12、以上估值方法所涉及的资产类型仅为条款完备性而列举，不代表本产品实际投向该类型资产。本产品的投资范围以说明书“三、产品投资管理（一）投资范围”载明为准。</w:t>
      </w:r>
    </w:p>
    <w:p w14:paraId="579CC36D">
      <w:pPr>
        <w:autoSpaceDE w:val="0"/>
        <w:autoSpaceDN w:val="0"/>
        <w:adjustRightInd w:val="0"/>
        <w:ind w:firstLine="420" w:firstLineChars="200"/>
        <w:jc w:val="left"/>
        <w:rPr>
          <w:rFonts w:ascii="黑体" w:hAnsi="黑体" w:eastAsia="黑体" w:cs="宋体"/>
          <w:kern w:val="0"/>
          <w:szCs w:val="21"/>
        </w:rPr>
      </w:pPr>
    </w:p>
    <w:p w14:paraId="6524B8FB">
      <w:pPr>
        <w:autoSpaceDE w:val="0"/>
        <w:autoSpaceDN w:val="0"/>
        <w:adjustRightInd w:val="0"/>
        <w:jc w:val="left"/>
        <w:rPr>
          <w:rFonts w:ascii="黑体" w:hAnsi="黑体" w:eastAsia="黑体" w:cs="ËÎÌå"/>
          <w:kern w:val="0"/>
          <w:szCs w:val="21"/>
        </w:rPr>
      </w:pPr>
      <w:r>
        <w:rPr>
          <w:rFonts w:hint="eastAsia" w:ascii="黑体" w:hAnsi="黑体" w:eastAsia="黑体" w:cs="ËÎÌå"/>
          <w:kern w:val="0"/>
          <w:szCs w:val="21"/>
        </w:rPr>
        <w:t>（五）估值错误的处理</w:t>
      </w:r>
    </w:p>
    <w:p w14:paraId="21FBA9C7">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产品</w:t>
      </w:r>
      <w:r>
        <w:rPr>
          <w:rFonts w:ascii="黑体" w:hAnsi="黑体" w:eastAsia="黑体" w:cs="黑体"/>
          <w:kern w:val="0"/>
          <w:szCs w:val="21"/>
        </w:rPr>
        <w:t>管理人</w:t>
      </w:r>
      <w:r>
        <w:rPr>
          <w:rFonts w:hint="eastAsia" w:ascii="黑体" w:hAnsi="黑体" w:eastAsia="黑体" w:cs="黑体"/>
          <w:kern w:val="0"/>
          <w:szCs w:val="21"/>
        </w:rPr>
        <w:t>和托管机构将采取必要、适当合理的措施确保产品资产估值的准确性、及时性。当产品单位净值出现错误时，产品</w:t>
      </w:r>
      <w:r>
        <w:rPr>
          <w:rFonts w:ascii="黑体" w:hAnsi="黑体" w:eastAsia="黑体" w:cs="黑体"/>
          <w:kern w:val="0"/>
          <w:szCs w:val="21"/>
        </w:rPr>
        <w:t>管理人</w:t>
      </w:r>
      <w:r>
        <w:rPr>
          <w:rFonts w:hint="eastAsia" w:ascii="黑体" w:hAnsi="黑体" w:eastAsia="黑体" w:cs="黑体"/>
          <w:kern w:val="0"/>
          <w:szCs w:val="21"/>
        </w:rPr>
        <w:t>应当立即予以纠正，并采取合理的措施防止损失进一步扩大。由于本产品估值所用的价格来源出现错误，或由于其它不可抗力原因，产品</w:t>
      </w:r>
      <w:r>
        <w:rPr>
          <w:rFonts w:ascii="黑体" w:hAnsi="黑体" w:eastAsia="黑体" w:cs="黑体"/>
          <w:kern w:val="0"/>
          <w:szCs w:val="21"/>
        </w:rPr>
        <w:t>管理人</w:t>
      </w:r>
      <w:r>
        <w:rPr>
          <w:rFonts w:hint="eastAsia" w:ascii="黑体" w:hAnsi="黑体" w:eastAsia="黑体" w:cs="黑体"/>
          <w:kern w:val="0"/>
          <w:szCs w:val="21"/>
        </w:rPr>
        <w:t>和托管机构虽然已经采取必要、适当、合理的措施进行检查，但是未能发现该错误的，</w:t>
      </w:r>
      <w:r>
        <w:rPr>
          <w:rFonts w:hint="eastAsia" w:ascii="黑体" w:hAnsi="黑体" w:eastAsia="黑体" w:cs="黑体"/>
          <w:b/>
          <w:kern w:val="0"/>
          <w:szCs w:val="21"/>
        </w:rPr>
        <w:t>由此造成的产品资产估值错误，产品</w:t>
      </w:r>
      <w:r>
        <w:rPr>
          <w:rFonts w:ascii="黑体" w:hAnsi="黑体" w:eastAsia="黑体" w:cs="黑体"/>
          <w:b/>
          <w:kern w:val="0"/>
          <w:szCs w:val="21"/>
        </w:rPr>
        <w:t>管理人</w:t>
      </w:r>
      <w:r>
        <w:rPr>
          <w:rFonts w:hint="eastAsia" w:ascii="黑体" w:hAnsi="黑体" w:eastAsia="黑体" w:cs="黑体"/>
          <w:b/>
          <w:kern w:val="0"/>
          <w:szCs w:val="21"/>
        </w:rPr>
        <w:t>和托管机构不承担责任。</w:t>
      </w:r>
      <w:r>
        <w:rPr>
          <w:rFonts w:hint="eastAsia" w:ascii="黑体" w:hAnsi="黑体" w:eastAsia="黑体" w:cs="黑体"/>
          <w:kern w:val="0"/>
          <w:szCs w:val="21"/>
        </w:rPr>
        <w:t>但产品</w:t>
      </w:r>
      <w:r>
        <w:rPr>
          <w:rFonts w:ascii="黑体" w:hAnsi="黑体" w:eastAsia="黑体" w:cs="黑体"/>
          <w:kern w:val="0"/>
          <w:szCs w:val="21"/>
        </w:rPr>
        <w:t>管理人</w:t>
      </w:r>
      <w:r>
        <w:rPr>
          <w:rFonts w:hint="eastAsia" w:ascii="黑体" w:hAnsi="黑体" w:eastAsia="黑体" w:cs="黑体"/>
          <w:kern w:val="0"/>
          <w:szCs w:val="21"/>
        </w:rPr>
        <w:t>和托管机构应当积极采取必要的措施消除或减轻由此造成的影响。</w:t>
      </w:r>
    </w:p>
    <w:p w14:paraId="4EACF230">
      <w:pPr>
        <w:autoSpaceDE w:val="0"/>
        <w:autoSpaceDN w:val="0"/>
        <w:adjustRightInd w:val="0"/>
        <w:jc w:val="left"/>
        <w:rPr>
          <w:rFonts w:ascii="黑体" w:hAnsi="黑体" w:eastAsia="黑体" w:cs="ËÎÌå"/>
          <w:kern w:val="0"/>
          <w:szCs w:val="21"/>
        </w:rPr>
      </w:pPr>
      <w:r>
        <w:rPr>
          <w:rFonts w:hint="eastAsia" w:ascii="黑体" w:hAnsi="黑体" w:eastAsia="黑体" w:cs="ËÎÌå"/>
          <w:kern w:val="0"/>
          <w:szCs w:val="21"/>
        </w:rPr>
        <w:t>（六）暂停估值</w:t>
      </w:r>
    </w:p>
    <w:p w14:paraId="69A88A1E">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当本产品资产的估值因不可抗力或其它情形致使产品</w:t>
      </w:r>
      <w:r>
        <w:rPr>
          <w:rFonts w:ascii="黑体" w:hAnsi="黑体" w:eastAsia="黑体" w:cs="黑体"/>
          <w:kern w:val="0"/>
          <w:szCs w:val="21"/>
        </w:rPr>
        <w:t>管理人</w:t>
      </w:r>
      <w:r>
        <w:rPr>
          <w:rFonts w:hint="eastAsia" w:ascii="黑体" w:hAnsi="黑体" w:eastAsia="黑体" w:cs="黑体"/>
          <w:kern w:val="0"/>
          <w:szCs w:val="21"/>
        </w:rPr>
        <w:t>、托管机构无法准确评估产品资产价值的，当本产品在前一估值日内，产品资产净值</w:t>
      </w:r>
      <w:r>
        <w:rPr>
          <w:rFonts w:ascii="黑体" w:hAnsi="黑体" w:eastAsia="黑体" w:cs="黑体"/>
          <w:kern w:val="0"/>
          <w:szCs w:val="21"/>
        </w:rPr>
        <w:t>50%以上的资产不具备活跃交易市场或者在活跃市场中无报价，且不能采用估值技术可靠计量公允价值</w:t>
      </w:r>
      <w:r>
        <w:rPr>
          <w:rFonts w:hint="eastAsia" w:ascii="黑体" w:hAnsi="黑体" w:eastAsia="黑体" w:cs="黑体"/>
          <w:kern w:val="0"/>
          <w:szCs w:val="21"/>
        </w:rPr>
        <w:t>的，或当本产品存在国家金融监督管理总局认定的导致无法准确估值的其它情形的，产品</w:t>
      </w:r>
      <w:r>
        <w:rPr>
          <w:rFonts w:ascii="黑体" w:hAnsi="黑体" w:eastAsia="黑体" w:cs="黑体"/>
          <w:kern w:val="0"/>
          <w:szCs w:val="21"/>
        </w:rPr>
        <w:t>管理人</w:t>
      </w:r>
      <w:r>
        <w:rPr>
          <w:rFonts w:hint="eastAsia" w:ascii="黑体" w:hAnsi="黑体" w:eastAsia="黑体" w:cs="黑体"/>
          <w:kern w:val="0"/>
          <w:szCs w:val="21"/>
        </w:rPr>
        <w:t>可暂停产品的估值直至另行通知，并采取延缓支付赎回款项或暂停接受理财产品认（申）购、赎回申请等措施，同时在</w:t>
      </w:r>
      <w:r>
        <w:rPr>
          <w:rFonts w:ascii="黑体" w:hAnsi="黑体" w:eastAsia="黑体" w:cs="黑体"/>
          <w:kern w:val="0"/>
          <w:szCs w:val="21"/>
        </w:rPr>
        <w:t>3个工作日内告知本产品的投资者，并说明运用相关措施的原因、拟采取的应对安排等。</w:t>
      </w:r>
      <w:r>
        <w:rPr>
          <w:rFonts w:hint="eastAsia" w:ascii="黑体" w:hAnsi="黑体" w:eastAsia="黑体" w:cs="黑体"/>
          <w:b/>
          <w:kern w:val="0"/>
          <w:szCs w:val="21"/>
        </w:rPr>
        <w:t>由此造成的损失，产品</w:t>
      </w:r>
      <w:r>
        <w:rPr>
          <w:rFonts w:ascii="黑体" w:hAnsi="黑体" w:eastAsia="黑体" w:cs="黑体"/>
          <w:b/>
          <w:kern w:val="0"/>
          <w:szCs w:val="21"/>
        </w:rPr>
        <w:t>管理人</w:t>
      </w:r>
      <w:r>
        <w:rPr>
          <w:rFonts w:hint="eastAsia" w:ascii="黑体" w:hAnsi="黑体" w:eastAsia="黑体" w:cs="黑体"/>
          <w:b/>
          <w:kern w:val="0"/>
          <w:szCs w:val="21"/>
        </w:rPr>
        <w:t>和托管机构不承担责任。</w:t>
      </w:r>
    </w:p>
    <w:p w14:paraId="50AE5AD4">
      <w:pPr>
        <w:autoSpaceDE w:val="0"/>
        <w:autoSpaceDN w:val="0"/>
        <w:adjustRightInd w:val="0"/>
        <w:ind w:firstLine="495" w:firstLineChars="236"/>
        <w:jc w:val="left"/>
        <w:rPr>
          <w:rFonts w:ascii="黑体" w:hAnsi="黑体" w:eastAsia="黑体" w:cs="ËÎÌå"/>
          <w:kern w:val="0"/>
          <w:szCs w:val="21"/>
        </w:rPr>
      </w:pPr>
    </w:p>
    <w:p w14:paraId="5018AC0C">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六、产品费用、收益及税收说明</w:t>
      </w:r>
    </w:p>
    <w:p w14:paraId="63BA1A4E">
      <w:pPr>
        <w:autoSpaceDE w:val="0"/>
        <w:autoSpaceDN w:val="0"/>
        <w:adjustRightInd w:val="0"/>
        <w:jc w:val="left"/>
        <w:rPr>
          <w:rFonts w:ascii="黑体" w:hAnsi="黑体" w:eastAsia="黑体" w:cs="宋体"/>
          <w:kern w:val="0"/>
          <w:szCs w:val="21"/>
        </w:rPr>
      </w:pPr>
      <w:r>
        <w:rPr>
          <w:rFonts w:hint="eastAsia" w:ascii="黑体" w:hAnsi="黑体" w:eastAsia="黑体" w:cs="宋体"/>
          <w:kern w:val="0"/>
          <w:szCs w:val="21"/>
        </w:rPr>
        <w:t>（一）产品费用计提方法、计提标准和支付方式</w:t>
      </w:r>
    </w:p>
    <w:p w14:paraId="75900C0F">
      <w:pPr>
        <w:autoSpaceDE w:val="0"/>
        <w:autoSpaceDN w:val="0"/>
        <w:adjustRightInd w:val="0"/>
        <w:ind w:firstLine="422" w:firstLineChars="200"/>
        <w:jc w:val="left"/>
        <w:rPr>
          <w:rFonts w:ascii="黑体" w:hAnsi="黑体" w:eastAsia="黑体" w:cs="黑体"/>
          <w:b/>
          <w:kern w:val="0"/>
          <w:szCs w:val="21"/>
        </w:rPr>
      </w:pPr>
      <w:r>
        <w:rPr>
          <w:rFonts w:hint="eastAsia" w:ascii="黑体" w:hAnsi="黑体" w:eastAsia="黑体" w:cs="黑体"/>
          <w:b/>
          <w:kern w:val="0"/>
          <w:szCs w:val="21"/>
        </w:rPr>
        <w:t>本产品收取的费用包括销售服务费、固定管理费、托管费等</w:t>
      </w:r>
      <w:r>
        <w:rPr>
          <w:rFonts w:ascii="黑体" w:hAnsi="黑体" w:eastAsia="黑体" w:cs="黑体"/>
          <w:b/>
          <w:kern w:val="0"/>
          <w:szCs w:val="21"/>
        </w:rPr>
        <w:t>，具体计提方法、计提标准和支付方式如下：</w:t>
      </w:r>
    </w:p>
    <w:p w14:paraId="25A6D40C">
      <w:pPr>
        <w:autoSpaceDE w:val="0"/>
        <w:autoSpaceDN w:val="0"/>
        <w:adjustRightInd w:val="0"/>
        <w:ind w:firstLine="422" w:firstLineChars="200"/>
        <w:jc w:val="left"/>
        <w:rPr>
          <w:rFonts w:ascii="黑体" w:hAnsi="黑体" w:eastAsia="黑体"/>
          <w:b/>
          <w:color w:val="000000" w:themeColor="text1"/>
          <w:kern w:val="0"/>
          <w14:textFill>
            <w14:solidFill>
              <w14:schemeClr w14:val="tx1"/>
            </w14:solidFill>
          </w14:textFill>
        </w:rPr>
      </w:pPr>
      <w:bookmarkStart w:id="4" w:name="_Hlk33053751"/>
      <w:bookmarkStart w:id="5" w:name="_Hlk33107492"/>
      <w:r>
        <w:rPr>
          <w:rFonts w:ascii="黑体" w:hAnsi="黑体" w:eastAsia="黑体" w:cs="黑体"/>
          <w:b/>
          <w:kern w:val="0"/>
          <w:szCs w:val="21"/>
        </w:rPr>
        <w:t>1</w:t>
      </w:r>
      <w:r>
        <w:rPr>
          <w:rFonts w:hint="eastAsia" w:ascii="黑体" w:hAnsi="黑体" w:eastAsia="黑体" w:cs="黑体"/>
          <w:b/>
          <w:kern w:val="0"/>
          <w:szCs w:val="21"/>
        </w:rPr>
        <w:t>、销售服务费：本产品</w:t>
      </w:r>
      <w:r>
        <w:rPr>
          <w:rFonts w:hint="eastAsia" w:ascii="黑体" w:hAnsi="黑体" w:eastAsia="黑体"/>
          <w:b/>
          <w:color w:val="000000" w:themeColor="text1"/>
          <w:kern w:val="0"/>
          <w14:textFill>
            <w14:solidFill>
              <w14:schemeClr w14:val="tx1"/>
            </w14:solidFill>
          </w14:textFill>
        </w:rPr>
        <w:t>销售服务费按</w:t>
      </w:r>
      <w:r>
        <w:rPr>
          <w:rFonts w:ascii="黑体" w:hAnsi="黑体" w:eastAsia="黑体" w:cs="黑体"/>
          <w:b/>
          <w:color w:val="000000" w:themeColor="text1"/>
          <w:kern w:val="0"/>
          <w:szCs w:val="21"/>
          <w14:textFill>
            <w14:solidFill>
              <w14:schemeClr w14:val="tx1"/>
            </w14:solidFill>
          </w14:textFill>
        </w:rPr>
        <w:t>0.</w:t>
      </w:r>
      <w:r>
        <w:rPr>
          <w:rFonts w:hint="eastAsia" w:ascii="黑体" w:hAnsi="黑体" w:eastAsia="黑体" w:cs="黑体"/>
          <w:b/>
          <w:color w:val="000000" w:themeColor="text1"/>
          <w:kern w:val="0"/>
          <w:szCs w:val="21"/>
          <w14:textFill>
            <w14:solidFill>
              <w14:schemeClr w14:val="tx1"/>
            </w14:solidFill>
          </w14:textFill>
        </w:rPr>
        <w:t>45</w:t>
      </w:r>
      <w:r>
        <w:rPr>
          <w:rFonts w:ascii="黑体" w:hAnsi="黑体" w:eastAsia="黑体" w:cs="黑体"/>
          <w:b/>
          <w:color w:val="000000" w:themeColor="text1"/>
          <w:kern w:val="0"/>
          <w:szCs w:val="21"/>
          <w14:textFill>
            <w14:solidFill>
              <w14:schemeClr w14:val="tx1"/>
            </w14:solidFill>
          </w14:textFill>
        </w:rPr>
        <w:t>%</w:t>
      </w:r>
      <w:r>
        <w:rPr>
          <w:rFonts w:hint="eastAsia" w:ascii="黑体" w:hAnsi="黑体" w:eastAsia="黑体" w:cs="黑体"/>
          <w:b/>
          <w:color w:val="000000" w:themeColor="text1"/>
          <w:kern w:val="0"/>
          <w:szCs w:val="21"/>
          <w14:textFill>
            <w14:solidFill>
              <w14:schemeClr w14:val="tx1"/>
            </w14:solidFill>
          </w14:textFill>
        </w:rPr>
        <w:t>（适用于</w:t>
      </w:r>
      <w:r>
        <w:rPr>
          <w:rFonts w:ascii="黑体" w:hAnsi="黑体" w:eastAsia="黑体" w:cs="黑体"/>
          <w:b/>
          <w:color w:val="000000" w:themeColor="text1"/>
          <w:kern w:val="0"/>
          <w:szCs w:val="21"/>
          <w14:textFill>
            <w14:solidFill>
              <w14:schemeClr w14:val="tx1"/>
            </w14:solidFill>
          </w14:textFill>
        </w:rPr>
        <w:t>A、B</w:t>
      </w:r>
      <w:r>
        <w:rPr>
          <w:rFonts w:hint="eastAsia" w:ascii="黑体" w:hAnsi="黑体" w:eastAsia="黑体" w:cs="黑体"/>
          <w:b/>
          <w:color w:val="000000" w:themeColor="text1"/>
          <w:kern w:val="0"/>
          <w:szCs w:val="21"/>
          <w:lang w:eastAsia="zh-CN"/>
          <w14:textFill>
            <w14:solidFill>
              <w14:schemeClr w14:val="tx1"/>
            </w14:solidFill>
          </w14:textFill>
        </w:rPr>
        <w:t>、</w:t>
      </w:r>
      <w:r>
        <w:rPr>
          <w:rFonts w:hint="eastAsia" w:ascii="黑体" w:hAnsi="黑体" w:eastAsia="黑体" w:cs="黑体"/>
          <w:b/>
          <w:color w:val="000000" w:themeColor="text1"/>
          <w:kern w:val="0"/>
          <w:szCs w:val="21"/>
          <w:lang w:val="en-US" w:eastAsia="zh-CN"/>
          <w14:textFill>
            <w14:solidFill>
              <w14:schemeClr w14:val="tx1"/>
            </w14:solidFill>
          </w14:textFill>
        </w:rPr>
        <w:t>C、D、E、F、G、P、J</w:t>
      </w:r>
      <w:r>
        <w:rPr>
          <w:rFonts w:hint="eastAsia" w:ascii="黑体" w:hAnsi="黑体" w:eastAsia="黑体" w:cs="黑体"/>
          <w:b/>
          <w:color w:val="000000" w:themeColor="text1"/>
          <w:kern w:val="0"/>
          <w:szCs w:val="21"/>
          <w14:textFill>
            <w14:solidFill>
              <w14:schemeClr w14:val="tx1"/>
            </w14:solidFill>
          </w14:textFill>
        </w:rPr>
        <w:t>份额）年费率计提。</w:t>
      </w:r>
      <w:r>
        <w:rPr>
          <w:rFonts w:hint="eastAsia" w:ascii="黑体" w:hAnsi="黑体" w:eastAsia="黑体"/>
          <w:b/>
          <w:color w:val="000000" w:themeColor="text1"/>
          <w:kern w:val="0"/>
          <w14:textFill>
            <w14:solidFill>
              <w14:schemeClr w14:val="tx1"/>
            </w14:solidFill>
          </w14:textFill>
        </w:rPr>
        <w:t>计算方法如下：</w:t>
      </w:r>
    </w:p>
    <w:p w14:paraId="54258417">
      <w:pPr>
        <w:autoSpaceDE w:val="0"/>
        <w:autoSpaceDN w:val="0"/>
        <w:adjustRightInd w:val="0"/>
        <w:ind w:left="420" w:leftChars="200"/>
        <w:jc w:val="left"/>
        <w:rPr>
          <w:rFonts w:ascii="黑体" w:hAnsi="黑体" w:eastAsia="黑体" w:cs="黑体"/>
          <w:b/>
          <w:color w:val="000000" w:themeColor="text1"/>
          <w:kern w:val="0"/>
          <w:szCs w:val="21"/>
          <w14:textFill>
            <w14:solidFill>
              <w14:schemeClr w14:val="tx1"/>
            </w14:solidFill>
          </w14:textFill>
        </w:rPr>
      </w:pPr>
      <w:r>
        <w:rPr>
          <w:rFonts w:ascii="黑体" w:hAnsi="黑体" w:eastAsia="黑体" w:cs="黑体"/>
          <w:b/>
          <w:color w:val="000000" w:themeColor="text1"/>
          <w:kern w:val="0"/>
          <w:szCs w:val="21"/>
          <w14:textFill>
            <w14:solidFill>
              <w14:schemeClr w14:val="tx1"/>
            </w14:solidFill>
          </w14:textFill>
        </w:rPr>
        <w:t>F=E×销售服务费率（年化）÷365</w:t>
      </w:r>
    </w:p>
    <w:p w14:paraId="2BA91DAB">
      <w:pPr>
        <w:autoSpaceDE w:val="0"/>
        <w:autoSpaceDN w:val="0"/>
        <w:adjustRightInd w:val="0"/>
        <w:ind w:left="420" w:leftChars="200"/>
        <w:jc w:val="left"/>
        <w:rPr>
          <w:rFonts w:ascii="黑体" w:hAnsi="黑体" w:eastAsia="黑体" w:cs="黑体"/>
          <w:b/>
          <w:color w:val="000000" w:themeColor="text1"/>
          <w:kern w:val="0"/>
          <w:szCs w:val="21"/>
          <w14:textFill>
            <w14:solidFill>
              <w14:schemeClr w14:val="tx1"/>
            </w14:solidFill>
          </w14:textFill>
        </w:rPr>
      </w:pPr>
      <w:r>
        <w:rPr>
          <w:rFonts w:ascii="黑体" w:hAnsi="黑体" w:eastAsia="黑体" w:cs="黑体"/>
          <w:b/>
          <w:color w:val="000000" w:themeColor="text1"/>
          <w:kern w:val="0"/>
          <w:szCs w:val="21"/>
          <w14:textFill>
            <w14:solidFill>
              <w14:schemeClr w14:val="tx1"/>
            </w14:solidFill>
          </w14:textFill>
        </w:rPr>
        <w:t>F为</w:t>
      </w:r>
      <w:r>
        <w:rPr>
          <w:rFonts w:hint="eastAsia" w:ascii="黑体" w:hAnsi="黑体" w:eastAsia="黑体" w:cs="黑体"/>
          <w:b/>
          <w:color w:val="000000" w:themeColor="text1"/>
          <w:kern w:val="0"/>
          <w:szCs w:val="21"/>
          <w14:textFill>
            <w14:solidFill>
              <w14:schemeClr w14:val="tx1"/>
            </w14:solidFill>
          </w14:textFill>
        </w:rPr>
        <w:t>产品各份额</w:t>
      </w:r>
      <w:r>
        <w:rPr>
          <w:rFonts w:ascii="黑体" w:hAnsi="黑体" w:eastAsia="黑体" w:cs="黑体"/>
          <w:b/>
          <w:color w:val="000000" w:themeColor="text1"/>
          <w:kern w:val="0"/>
          <w:szCs w:val="21"/>
          <w14:textFill>
            <w14:solidFill>
              <w14:schemeClr w14:val="tx1"/>
            </w14:solidFill>
          </w14:textFill>
        </w:rPr>
        <w:t>每一自然日应计提的销售服务费</w:t>
      </w:r>
    </w:p>
    <w:p w14:paraId="0C219B24">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ascii="黑体" w:hAnsi="黑体" w:eastAsia="黑体" w:cs="黑体"/>
          <w:b/>
          <w:color w:val="000000" w:themeColor="text1"/>
          <w:kern w:val="0"/>
          <w:szCs w:val="21"/>
          <w14:textFill>
            <w14:solidFill>
              <w14:schemeClr w14:val="tx1"/>
            </w14:solidFill>
          </w14:textFill>
        </w:rPr>
        <w:t>E为</w:t>
      </w:r>
      <w:r>
        <w:rPr>
          <w:rFonts w:hint="eastAsia" w:ascii="黑体" w:hAnsi="黑体" w:eastAsia="黑体" w:cs="黑体"/>
          <w:b/>
          <w:color w:val="000000" w:themeColor="text1"/>
          <w:kern w:val="0"/>
          <w:szCs w:val="21"/>
          <w14:textFill>
            <w14:solidFill>
              <w14:schemeClr w14:val="tx1"/>
            </w14:solidFill>
          </w14:textFill>
        </w:rPr>
        <w:t>产品该份额上一自然日的总净值(E在产品成立日为产品该份额的总份额)</w:t>
      </w:r>
    </w:p>
    <w:p w14:paraId="25C194E0">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hint="eastAsia" w:ascii="黑体" w:hAnsi="黑体" w:eastAsia="黑体" w:cs="黑体"/>
          <w:b/>
          <w:color w:val="000000" w:themeColor="text1"/>
          <w:kern w:val="0"/>
          <w:szCs w:val="21"/>
          <w14:textFill>
            <w14:solidFill>
              <w14:schemeClr w14:val="tx1"/>
            </w14:solidFill>
          </w14:textFill>
        </w:rPr>
        <w:t>销售服务费每日计提，按季支付，或由管理人向托管人发送指令，托管人复核后从产品资产中支付。</w:t>
      </w:r>
    </w:p>
    <w:p w14:paraId="00497233">
      <w:pPr>
        <w:autoSpaceDE w:val="0"/>
        <w:autoSpaceDN w:val="0"/>
        <w:adjustRightInd w:val="0"/>
        <w:jc w:val="left"/>
        <w:rPr>
          <w:rFonts w:ascii="黑体" w:hAnsi="黑体" w:eastAsia="黑体" w:cs="黑体"/>
          <w:b/>
          <w:color w:val="000000" w:themeColor="text1"/>
          <w:kern w:val="0"/>
          <w:szCs w:val="21"/>
          <w14:textFill>
            <w14:solidFill>
              <w14:schemeClr w14:val="tx1"/>
            </w14:solidFill>
          </w14:textFill>
        </w:rPr>
      </w:pPr>
    </w:p>
    <w:p w14:paraId="1CAEB1E5">
      <w:pPr>
        <w:autoSpaceDE w:val="0"/>
        <w:autoSpaceDN w:val="0"/>
        <w:adjustRightInd w:val="0"/>
        <w:ind w:firstLine="422" w:firstLineChars="200"/>
        <w:jc w:val="left"/>
        <w:rPr>
          <w:rFonts w:ascii="黑体" w:hAnsi="黑体" w:eastAsia="黑体" w:cs="黑体"/>
          <w:b/>
          <w:kern w:val="0"/>
          <w:szCs w:val="21"/>
        </w:rPr>
      </w:pPr>
      <w:r>
        <w:rPr>
          <w:rFonts w:ascii="黑体" w:hAnsi="黑体" w:eastAsia="黑体" w:cs="黑体"/>
          <w:b/>
          <w:kern w:val="0"/>
          <w:szCs w:val="21"/>
        </w:rPr>
        <w:t>2</w:t>
      </w:r>
      <w:r>
        <w:rPr>
          <w:rFonts w:hint="eastAsia" w:ascii="黑体" w:hAnsi="黑体" w:eastAsia="黑体" w:cs="黑体"/>
          <w:b/>
          <w:kern w:val="0"/>
          <w:szCs w:val="21"/>
        </w:rPr>
        <w:t>、固定管理费：本产品固定管理费按</w:t>
      </w:r>
      <w:r>
        <w:rPr>
          <w:rFonts w:ascii="黑体" w:hAnsi="黑体" w:eastAsia="黑体" w:cs="黑体"/>
          <w:b/>
          <w:kern w:val="0"/>
          <w:szCs w:val="21"/>
        </w:rPr>
        <w:t>0.</w:t>
      </w:r>
      <w:r>
        <w:rPr>
          <w:rFonts w:hint="eastAsia" w:ascii="黑体" w:hAnsi="黑体" w:eastAsia="黑体" w:cs="黑体"/>
          <w:b/>
          <w:kern w:val="0"/>
          <w:szCs w:val="21"/>
        </w:rPr>
        <w:t>45</w:t>
      </w:r>
      <w:r>
        <w:rPr>
          <w:rFonts w:ascii="黑体" w:hAnsi="黑体" w:eastAsia="黑体" w:cs="黑体"/>
          <w:b/>
          <w:kern w:val="0"/>
          <w:szCs w:val="21"/>
        </w:rPr>
        <w:t>%</w:t>
      </w:r>
      <w:r>
        <w:rPr>
          <w:rFonts w:hint="eastAsia" w:ascii="黑体" w:hAnsi="黑体" w:eastAsia="黑体" w:cs="黑体"/>
          <w:b/>
          <w:color w:val="000000" w:themeColor="text1"/>
          <w:kern w:val="0"/>
          <w:szCs w:val="21"/>
          <w14:textFill>
            <w14:solidFill>
              <w14:schemeClr w14:val="tx1"/>
            </w14:solidFill>
          </w14:textFill>
        </w:rPr>
        <w:t>（适用于</w:t>
      </w:r>
      <w:r>
        <w:rPr>
          <w:rFonts w:ascii="黑体" w:hAnsi="黑体" w:eastAsia="黑体" w:cs="黑体"/>
          <w:b/>
          <w:color w:val="000000" w:themeColor="text1"/>
          <w:kern w:val="0"/>
          <w:szCs w:val="21"/>
          <w14:textFill>
            <w14:solidFill>
              <w14:schemeClr w14:val="tx1"/>
            </w14:solidFill>
          </w14:textFill>
        </w:rPr>
        <w:t>A、B</w:t>
      </w:r>
      <w:r>
        <w:rPr>
          <w:rFonts w:hint="eastAsia" w:ascii="黑体" w:hAnsi="黑体" w:eastAsia="黑体" w:cs="黑体"/>
          <w:b/>
          <w:color w:val="000000" w:themeColor="text1"/>
          <w:kern w:val="0"/>
          <w:szCs w:val="21"/>
          <w:lang w:eastAsia="zh-CN"/>
          <w14:textFill>
            <w14:solidFill>
              <w14:schemeClr w14:val="tx1"/>
            </w14:solidFill>
          </w14:textFill>
        </w:rPr>
        <w:t>、</w:t>
      </w:r>
      <w:r>
        <w:rPr>
          <w:rFonts w:hint="eastAsia" w:ascii="黑体" w:hAnsi="黑体" w:eastAsia="黑体" w:cs="黑体"/>
          <w:b/>
          <w:color w:val="000000" w:themeColor="text1"/>
          <w:kern w:val="0"/>
          <w:szCs w:val="21"/>
          <w:lang w:val="en-US" w:eastAsia="zh-CN"/>
          <w14:textFill>
            <w14:solidFill>
              <w14:schemeClr w14:val="tx1"/>
            </w14:solidFill>
          </w14:textFill>
        </w:rPr>
        <w:t>C、D、E、F、G、P、J</w:t>
      </w:r>
      <w:r>
        <w:rPr>
          <w:rFonts w:hint="eastAsia" w:ascii="黑体" w:hAnsi="黑体" w:eastAsia="黑体" w:cs="黑体"/>
          <w:b/>
          <w:color w:val="000000" w:themeColor="text1"/>
          <w:kern w:val="0"/>
          <w:szCs w:val="21"/>
          <w14:textFill>
            <w14:solidFill>
              <w14:schemeClr w14:val="tx1"/>
            </w14:solidFill>
          </w14:textFill>
        </w:rPr>
        <w:t>份额）</w:t>
      </w:r>
      <w:r>
        <w:rPr>
          <w:rFonts w:ascii="黑体" w:hAnsi="黑体" w:eastAsia="黑体" w:cs="黑体"/>
          <w:b/>
          <w:kern w:val="0"/>
          <w:szCs w:val="21"/>
        </w:rPr>
        <w:t>年费率计提。计算方法如下：</w:t>
      </w:r>
    </w:p>
    <w:p w14:paraId="74EB6DD7">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ascii="黑体" w:hAnsi="黑体" w:eastAsia="黑体" w:cs="黑体"/>
          <w:b/>
          <w:color w:val="000000" w:themeColor="text1"/>
          <w:kern w:val="0"/>
          <w:szCs w:val="21"/>
          <w14:textFill>
            <w14:solidFill>
              <w14:schemeClr w14:val="tx1"/>
            </w14:solidFill>
          </w14:textFill>
        </w:rPr>
        <w:t>H=E×固定管理费率（年化）÷365</w:t>
      </w:r>
    </w:p>
    <w:p w14:paraId="06E1BC8E">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ascii="黑体" w:hAnsi="黑体" w:eastAsia="黑体" w:cs="黑体"/>
          <w:b/>
          <w:color w:val="000000" w:themeColor="text1"/>
          <w:kern w:val="0"/>
          <w:szCs w:val="21"/>
          <w14:textFill>
            <w14:solidFill>
              <w14:schemeClr w14:val="tx1"/>
            </w14:solidFill>
          </w14:textFill>
        </w:rPr>
        <w:t>H为</w:t>
      </w:r>
      <w:r>
        <w:rPr>
          <w:rFonts w:hint="eastAsia" w:ascii="黑体" w:hAnsi="黑体" w:eastAsia="黑体" w:cs="黑体"/>
          <w:b/>
          <w:color w:val="000000" w:themeColor="text1"/>
          <w:kern w:val="0"/>
          <w:szCs w:val="21"/>
          <w14:textFill>
            <w14:solidFill>
              <w14:schemeClr w14:val="tx1"/>
            </w14:solidFill>
          </w14:textFill>
        </w:rPr>
        <w:t>产品各份额</w:t>
      </w:r>
      <w:r>
        <w:rPr>
          <w:rFonts w:ascii="黑体" w:hAnsi="黑体" w:eastAsia="黑体" w:cs="黑体"/>
          <w:b/>
          <w:color w:val="000000" w:themeColor="text1"/>
          <w:kern w:val="0"/>
          <w:szCs w:val="21"/>
          <w14:textFill>
            <w14:solidFill>
              <w14:schemeClr w14:val="tx1"/>
            </w14:solidFill>
          </w14:textFill>
        </w:rPr>
        <w:t>每一自然日应计提的固定管理费</w:t>
      </w:r>
    </w:p>
    <w:p w14:paraId="1D0B5959">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ascii="黑体" w:hAnsi="黑体" w:eastAsia="黑体" w:cs="黑体"/>
          <w:b/>
          <w:color w:val="000000" w:themeColor="text1"/>
          <w:kern w:val="0"/>
          <w:szCs w:val="21"/>
          <w14:textFill>
            <w14:solidFill>
              <w14:schemeClr w14:val="tx1"/>
            </w14:solidFill>
          </w14:textFill>
        </w:rPr>
        <w:t>E为</w:t>
      </w:r>
      <w:r>
        <w:rPr>
          <w:rFonts w:hint="eastAsia" w:ascii="黑体" w:hAnsi="黑体" w:eastAsia="黑体" w:cs="黑体"/>
          <w:b/>
          <w:color w:val="000000" w:themeColor="text1"/>
          <w:kern w:val="0"/>
          <w:szCs w:val="21"/>
          <w14:textFill>
            <w14:solidFill>
              <w14:schemeClr w14:val="tx1"/>
            </w14:solidFill>
          </w14:textFill>
        </w:rPr>
        <w:t>产品该份额上一自然日的总净值(E在产品成立日为产品该份额的总份额)</w:t>
      </w:r>
    </w:p>
    <w:p w14:paraId="576F62ED">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hint="eastAsia" w:ascii="黑体" w:hAnsi="黑体" w:eastAsia="黑体" w:cs="黑体"/>
          <w:b/>
          <w:color w:val="000000" w:themeColor="text1"/>
          <w:kern w:val="0"/>
          <w:szCs w:val="21"/>
          <w14:textFill>
            <w14:solidFill>
              <w14:schemeClr w14:val="tx1"/>
            </w14:solidFill>
          </w14:textFill>
        </w:rPr>
        <w:t>固定管理费每日计提，按季支付，或由管理人向托管人发送指令，托管人复核后从产品资产中支付。</w:t>
      </w:r>
    </w:p>
    <w:p w14:paraId="6ACC0880">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p>
    <w:p w14:paraId="6CD222F6">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ascii="黑体" w:hAnsi="黑体" w:eastAsia="黑体" w:cs="黑体"/>
          <w:b/>
          <w:color w:val="000000" w:themeColor="text1"/>
          <w:kern w:val="0"/>
          <w:szCs w:val="21"/>
          <w14:textFill>
            <w14:solidFill>
              <w14:schemeClr w14:val="tx1"/>
            </w14:solidFill>
          </w14:textFill>
        </w:rPr>
        <w:t>3</w:t>
      </w:r>
      <w:r>
        <w:rPr>
          <w:rFonts w:hint="eastAsia" w:ascii="黑体" w:hAnsi="黑体" w:eastAsia="黑体" w:cs="黑体"/>
          <w:b/>
          <w:color w:val="000000" w:themeColor="text1"/>
          <w:kern w:val="0"/>
          <w:szCs w:val="21"/>
          <w14:textFill>
            <w14:solidFill>
              <w14:schemeClr w14:val="tx1"/>
            </w14:solidFill>
          </w14:textFill>
        </w:rPr>
        <w:t>、浮动管理费：</w:t>
      </w:r>
    </w:p>
    <w:p w14:paraId="353BDC8E">
      <w:pPr>
        <w:autoSpaceDE w:val="0"/>
        <w:autoSpaceDN w:val="0"/>
        <w:adjustRightInd w:val="0"/>
        <w:ind w:firstLine="422" w:firstLineChars="200"/>
        <w:rPr>
          <w:rFonts w:ascii="黑体" w:hAnsi="黑体" w:eastAsia="黑体" w:cs="黑体"/>
          <w:b/>
          <w:color w:val="000000" w:themeColor="text1"/>
          <w:kern w:val="0"/>
          <w:szCs w:val="21"/>
          <w14:textFill>
            <w14:solidFill>
              <w14:schemeClr w14:val="tx1"/>
            </w14:solidFill>
          </w14:textFill>
        </w:rPr>
      </w:pPr>
      <w:r>
        <w:rPr>
          <w:rFonts w:hint="eastAsia" w:ascii="黑体" w:hAnsi="黑体" w:eastAsia="黑体" w:cs="黑体"/>
          <w:b/>
          <w:color w:val="000000" w:themeColor="text1"/>
          <w:kern w:val="0"/>
          <w:szCs w:val="21"/>
          <w14:textFill>
            <w14:solidFill>
              <w14:schemeClr w14:val="tx1"/>
            </w14:solidFill>
          </w14:textFill>
        </w:rPr>
        <w:t>份额持有区间年化收益率，指投资者申购份额确认对应的产品累计单位净值，至赎回份额确认对应的</w:t>
      </w:r>
      <w:r>
        <w:rPr>
          <w:rFonts w:ascii="黑体" w:hAnsi="黑体" w:eastAsia="黑体" w:cs="黑体"/>
          <w:b/>
          <w:color w:val="000000" w:themeColor="text1"/>
          <w:kern w:val="0"/>
          <w:szCs w:val="21"/>
          <w14:textFill>
            <w14:solidFill>
              <w14:schemeClr w14:val="tx1"/>
            </w14:solidFill>
          </w14:textFill>
        </w:rPr>
        <w:t>/产品终止日的产品累计单位净值的变化，相对于投资者所赎回份额申购时的产品单位净值的增长率，按认购/申购确认日（含）至赎回/终止确认日（不含）天数折算的年化收益率。针对份额持有区间年化收益率超过浮动管理费提取基准的部分，按照比例提取浮动管理费。</w:t>
      </w:r>
    </w:p>
    <w:p w14:paraId="5488F453">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hint="eastAsia" w:ascii="黑体" w:hAnsi="黑体" w:eastAsia="黑体" w:cs="黑体"/>
          <w:b/>
          <w:color w:val="000000" w:themeColor="text1"/>
          <w:kern w:val="0"/>
          <w:szCs w:val="21"/>
          <w14:textFill>
            <w14:solidFill>
              <w14:schemeClr w14:val="tx1"/>
            </w14:solidFill>
          </w14:textFill>
        </w:rPr>
        <w:t>产品累计单位净值＝产品单位净值</w:t>
      </w:r>
      <w:r>
        <w:rPr>
          <w:rFonts w:ascii="黑体" w:hAnsi="黑体" w:eastAsia="黑体" w:cs="黑体"/>
          <w:b/>
          <w:color w:val="000000" w:themeColor="text1"/>
          <w:kern w:val="0"/>
          <w:szCs w:val="21"/>
          <w14:textFill>
            <w14:solidFill>
              <w14:schemeClr w14:val="tx1"/>
            </w14:solidFill>
          </w14:textFill>
        </w:rPr>
        <w:t>+产品成立后累计单位分红金额</w:t>
      </w:r>
    </w:p>
    <w:p w14:paraId="2511EB98">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hint="eastAsia" w:ascii="黑体" w:hAnsi="黑体" w:eastAsia="黑体" w:cs="黑体"/>
          <w:b/>
          <w:color w:val="000000" w:themeColor="text1"/>
          <w:kern w:val="0"/>
          <w:szCs w:val="21"/>
          <w14:textFill>
            <w14:solidFill>
              <w14:schemeClr w14:val="tx1"/>
            </w14:solidFill>
          </w14:textFill>
        </w:rPr>
        <w:t>浮动管理费的计算方法如下：</w:t>
      </w:r>
    </w:p>
    <w:p w14:paraId="3B87FF16">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ascii="黑体" w:hAnsi="黑体" w:eastAsia="黑体" w:cs="黑体"/>
          <w:b/>
          <w:color w:val="000000" w:themeColor="text1"/>
          <w:kern w:val="0"/>
          <w:szCs w:val="21"/>
          <w14:textFill>
            <w14:solidFill>
              <w14:schemeClr w14:val="tx1"/>
            </w14:solidFill>
          </w14:textFill>
        </w:rPr>
        <w:t>K=(M-N)/L×365/P×100%</w:t>
      </w:r>
    </w:p>
    <w:p w14:paraId="6B51B2CD">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ascii="黑体" w:hAnsi="黑体" w:eastAsia="黑体" w:cs="黑体"/>
          <w:b/>
          <w:color w:val="000000" w:themeColor="text1"/>
          <w:kern w:val="0"/>
          <w:szCs w:val="21"/>
          <w14:textFill>
            <w14:solidFill>
              <w14:schemeClr w14:val="tx1"/>
            </w14:solidFill>
          </w14:textFill>
        </w:rPr>
        <w:t>K</w:t>
      </w:r>
      <w:r>
        <w:rPr>
          <w:rFonts w:hint="eastAsia" w:ascii="黑体" w:hAnsi="黑体" w:eastAsia="黑体" w:cs="黑体"/>
          <w:b/>
          <w:color w:val="000000" w:themeColor="text1"/>
          <w:kern w:val="0"/>
          <w:szCs w:val="21"/>
          <w14:textFill>
            <w14:solidFill>
              <w14:schemeClr w14:val="tx1"/>
            </w14:solidFill>
          </w14:textFill>
        </w:rPr>
        <w:t>为份额持有区间年化收益率</w:t>
      </w:r>
    </w:p>
    <w:p w14:paraId="38454B13">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ascii="黑体" w:hAnsi="黑体" w:eastAsia="黑体" w:cs="黑体"/>
          <w:b/>
          <w:color w:val="000000" w:themeColor="text1"/>
          <w:kern w:val="0"/>
          <w:szCs w:val="21"/>
          <w14:textFill>
            <w14:solidFill>
              <w14:schemeClr w14:val="tx1"/>
            </w14:solidFill>
          </w14:textFill>
        </w:rPr>
        <w:t>M</w:t>
      </w:r>
      <w:r>
        <w:rPr>
          <w:rFonts w:hint="eastAsia" w:ascii="黑体" w:hAnsi="黑体" w:eastAsia="黑体" w:cs="黑体"/>
          <w:b/>
          <w:color w:val="000000" w:themeColor="text1"/>
          <w:kern w:val="0"/>
          <w:szCs w:val="21"/>
          <w14:textFill>
            <w14:solidFill>
              <w14:schemeClr w14:val="tx1"/>
            </w14:solidFill>
          </w14:textFill>
        </w:rPr>
        <w:t>为赎回确认对应的</w:t>
      </w:r>
      <w:r>
        <w:rPr>
          <w:rFonts w:ascii="黑体" w:hAnsi="黑体" w:eastAsia="黑体" w:cs="黑体"/>
          <w:b/>
          <w:color w:val="000000" w:themeColor="text1"/>
          <w:kern w:val="0"/>
          <w:szCs w:val="21"/>
          <w14:textFill>
            <w14:solidFill>
              <w14:schemeClr w14:val="tx1"/>
            </w14:solidFill>
          </w14:textFill>
        </w:rPr>
        <w:t>/产品终止日的产品累计单位净值</w:t>
      </w:r>
    </w:p>
    <w:p w14:paraId="555DE142">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ascii="黑体" w:hAnsi="黑体" w:eastAsia="黑体" w:cs="黑体"/>
          <w:b/>
          <w:color w:val="000000" w:themeColor="text1"/>
          <w:kern w:val="0"/>
          <w:szCs w:val="21"/>
          <w14:textFill>
            <w14:solidFill>
              <w14:schemeClr w14:val="tx1"/>
            </w14:solidFill>
          </w14:textFill>
        </w:rPr>
        <w:t>N</w:t>
      </w:r>
      <w:r>
        <w:rPr>
          <w:rFonts w:hint="eastAsia" w:ascii="黑体" w:hAnsi="黑体" w:eastAsia="黑体" w:cs="黑体"/>
          <w:b/>
          <w:color w:val="000000" w:themeColor="text1"/>
          <w:kern w:val="0"/>
          <w:szCs w:val="21"/>
          <w14:textFill>
            <w14:solidFill>
              <w14:schemeClr w14:val="tx1"/>
            </w14:solidFill>
          </w14:textFill>
        </w:rPr>
        <w:t>为申购确认对应的产品累计单位净值</w:t>
      </w:r>
    </w:p>
    <w:p w14:paraId="0D977426">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ascii="黑体" w:hAnsi="黑体" w:eastAsia="黑体" w:cs="黑体"/>
          <w:b/>
          <w:color w:val="000000" w:themeColor="text1"/>
          <w:kern w:val="0"/>
          <w:szCs w:val="21"/>
          <w14:textFill>
            <w14:solidFill>
              <w14:schemeClr w14:val="tx1"/>
            </w14:solidFill>
          </w14:textFill>
        </w:rPr>
        <w:t>L</w:t>
      </w:r>
      <w:r>
        <w:rPr>
          <w:rFonts w:hint="eastAsia" w:ascii="黑体" w:hAnsi="黑体" w:eastAsia="黑体" w:cs="黑体"/>
          <w:b/>
          <w:color w:val="000000" w:themeColor="text1"/>
          <w:kern w:val="0"/>
          <w:szCs w:val="21"/>
          <w14:textFill>
            <w14:solidFill>
              <w14:schemeClr w14:val="tx1"/>
            </w14:solidFill>
          </w14:textFill>
        </w:rPr>
        <w:t>为申购确认对应的产品单位净值</w:t>
      </w:r>
    </w:p>
    <w:p w14:paraId="064FA11D">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ascii="黑体" w:hAnsi="黑体" w:eastAsia="黑体" w:cs="黑体"/>
          <w:b/>
          <w:color w:val="000000" w:themeColor="text1"/>
          <w:kern w:val="0"/>
          <w:szCs w:val="21"/>
          <w14:textFill>
            <w14:solidFill>
              <w14:schemeClr w14:val="tx1"/>
            </w14:solidFill>
          </w14:textFill>
        </w:rPr>
        <w:t>P</w:t>
      </w:r>
      <w:r>
        <w:rPr>
          <w:rFonts w:hint="eastAsia" w:ascii="黑体" w:hAnsi="黑体" w:eastAsia="黑体" w:cs="黑体"/>
          <w:b/>
          <w:color w:val="000000" w:themeColor="text1"/>
          <w:kern w:val="0"/>
          <w:szCs w:val="21"/>
          <w14:textFill>
            <w14:solidFill>
              <w14:schemeClr w14:val="tx1"/>
            </w14:solidFill>
          </w14:textFill>
        </w:rPr>
        <w:t>为认购</w:t>
      </w:r>
      <w:r>
        <w:rPr>
          <w:rFonts w:ascii="黑体" w:hAnsi="黑体" w:eastAsia="黑体" w:cs="黑体"/>
          <w:b/>
          <w:color w:val="000000" w:themeColor="text1"/>
          <w:kern w:val="0"/>
          <w:szCs w:val="21"/>
          <w14:textFill>
            <w14:solidFill>
              <w14:schemeClr w14:val="tx1"/>
            </w14:solidFill>
          </w14:textFill>
        </w:rPr>
        <w:t>/申购确认日（含）至赎回/终止确认日（不含）天数</w:t>
      </w:r>
    </w:p>
    <w:p w14:paraId="37E477B4">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ascii="黑体" w:hAnsi="黑体" w:eastAsia="黑体" w:cs="黑体"/>
          <w:b/>
          <w:color w:val="000000" w:themeColor="text1"/>
          <w:kern w:val="0"/>
          <w:szCs w:val="21"/>
          <w14:textFill>
            <w14:solidFill>
              <w14:schemeClr w14:val="tx1"/>
            </w14:solidFill>
          </w14:textFill>
        </w:rPr>
        <w:t>Q=(K-R)×S×T×L×P/365</w:t>
      </w:r>
    </w:p>
    <w:p w14:paraId="52D107A3">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ascii="黑体" w:hAnsi="黑体" w:eastAsia="黑体" w:cs="黑体"/>
          <w:b/>
          <w:color w:val="000000" w:themeColor="text1"/>
          <w:kern w:val="0"/>
          <w:szCs w:val="21"/>
          <w14:textFill>
            <w14:solidFill>
              <w14:schemeClr w14:val="tx1"/>
            </w14:solidFill>
          </w14:textFill>
        </w:rPr>
        <w:t>Q</w:t>
      </w:r>
      <w:r>
        <w:rPr>
          <w:rFonts w:hint="eastAsia" w:ascii="黑体" w:hAnsi="黑体" w:eastAsia="黑体" w:cs="黑体"/>
          <w:b/>
          <w:color w:val="000000" w:themeColor="text1"/>
          <w:kern w:val="0"/>
          <w:szCs w:val="21"/>
          <w14:textFill>
            <w14:solidFill>
              <w14:schemeClr w14:val="tx1"/>
            </w14:solidFill>
          </w14:textFill>
        </w:rPr>
        <w:t>为浮动管理费</w:t>
      </w:r>
    </w:p>
    <w:p w14:paraId="381ECA7D">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ascii="黑体" w:hAnsi="黑体" w:eastAsia="黑体" w:cs="黑体"/>
          <w:b/>
          <w:color w:val="000000" w:themeColor="text1"/>
          <w:kern w:val="0"/>
          <w:szCs w:val="21"/>
          <w14:textFill>
            <w14:solidFill>
              <w14:schemeClr w14:val="tx1"/>
            </w14:solidFill>
          </w14:textFill>
        </w:rPr>
        <w:t>R</w:t>
      </w:r>
      <w:r>
        <w:rPr>
          <w:rFonts w:hint="eastAsia" w:ascii="黑体" w:hAnsi="黑体" w:eastAsia="黑体" w:cs="黑体"/>
          <w:b/>
          <w:color w:val="000000" w:themeColor="text1"/>
          <w:kern w:val="0"/>
          <w:szCs w:val="21"/>
          <w14:textFill>
            <w14:solidFill>
              <w14:schemeClr w14:val="tx1"/>
            </w14:solidFill>
          </w14:textFill>
        </w:rPr>
        <w:t>为该笔份额在申购确认日当日对应的浮动管理费提取基准</w:t>
      </w:r>
    </w:p>
    <w:p w14:paraId="104AE1D3">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ascii="黑体" w:hAnsi="黑体" w:eastAsia="黑体" w:cs="黑体"/>
          <w:b/>
          <w:color w:val="000000" w:themeColor="text1"/>
          <w:kern w:val="0"/>
          <w:szCs w:val="21"/>
          <w14:textFill>
            <w14:solidFill>
              <w14:schemeClr w14:val="tx1"/>
            </w14:solidFill>
          </w14:textFill>
        </w:rPr>
        <w:t>S</w:t>
      </w:r>
      <w:r>
        <w:rPr>
          <w:rFonts w:hint="eastAsia" w:ascii="黑体" w:hAnsi="黑体" w:eastAsia="黑体" w:cs="黑体"/>
          <w:b/>
          <w:color w:val="000000" w:themeColor="text1"/>
          <w:kern w:val="0"/>
          <w:szCs w:val="21"/>
          <w14:textFill>
            <w14:solidFill>
              <w14:schemeClr w14:val="tx1"/>
            </w14:solidFill>
          </w14:textFill>
        </w:rPr>
        <w:t>为该笔份额持有区间年化收益率对应的浮动管理费提取比例</w:t>
      </w:r>
    </w:p>
    <w:p w14:paraId="23C608E9">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ascii="黑体" w:hAnsi="黑体" w:eastAsia="黑体" w:cs="黑体"/>
          <w:b/>
          <w:color w:val="000000" w:themeColor="text1"/>
          <w:kern w:val="0"/>
          <w:szCs w:val="21"/>
          <w14:textFill>
            <w14:solidFill>
              <w14:schemeClr w14:val="tx1"/>
            </w14:solidFill>
          </w14:textFill>
        </w:rPr>
        <w:t>T</w:t>
      </w:r>
      <w:r>
        <w:rPr>
          <w:rFonts w:hint="eastAsia" w:ascii="黑体" w:hAnsi="黑体" w:eastAsia="黑体" w:cs="黑体"/>
          <w:b/>
          <w:color w:val="000000" w:themeColor="text1"/>
          <w:kern w:val="0"/>
          <w:szCs w:val="21"/>
          <w14:textFill>
            <w14:solidFill>
              <w14:schemeClr w14:val="tx1"/>
            </w14:solidFill>
          </w14:textFill>
        </w:rPr>
        <w:t>为赎回确认份额</w:t>
      </w:r>
    </w:p>
    <w:p w14:paraId="7F50A164">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hint="eastAsia" w:ascii="黑体" w:hAnsi="黑体" w:eastAsia="黑体" w:cs="黑体"/>
          <w:b/>
          <w:color w:val="000000" w:themeColor="text1"/>
          <w:kern w:val="0"/>
          <w:szCs w:val="21"/>
          <w14:textFill>
            <w14:solidFill>
              <w14:schemeClr w14:val="tx1"/>
            </w14:solidFill>
          </w14:textFill>
        </w:rPr>
        <w:t>本产品各份额当期的浮动管理费提取基准为3.5%，投资者赎回份额对应的持有区间年化收益率，扣除当期浮动管理费前，若低于3.5%（含），则产品管理人不收取浮动管理费；年化收益率超过3.5%以上的部分，45%归投资者所有，其余55%作为产品管理人针对该部分赎回份额提取的浮动管理费；</w:t>
      </w:r>
    </w:p>
    <w:p w14:paraId="534C75DC">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hint="eastAsia" w:ascii="黑体" w:hAnsi="黑体" w:eastAsia="黑体" w:cs="黑体"/>
          <w:b/>
          <w:color w:val="000000" w:themeColor="text1"/>
          <w:kern w:val="0"/>
          <w:szCs w:val="21"/>
          <w14:textFill>
            <w14:solidFill>
              <w14:schemeClr w14:val="tx1"/>
            </w14:solidFill>
          </w14:textFill>
        </w:rPr>
        <w:t>本产品披露的单位净值未扣除浮动管理费，在投资者赎回时计算并扣除相关浮动管理费，按照扣除相关费用后的金额进行兑付。</w:t>
      </w:r>
    </w:p>
    <w:p w14:paraId="37524E91">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hint="eastAsia" w:ascii="黑体" w:hAnsi="黑体" w:eastAsia="黑体" w:cs="黑体"/>
          <w:b/>
          <w:color w:val="000000" w:themeColor="text1"/>
          <w:kern w:val="0"/>
          <w:szCs w:val="21"/>
          <w14:textFill>
            <w14:solidFill>
              <w14:schemeClr w14:val="tx1"/>
            </w14:solidFill>
          </w14:textFill>
        </w:rPr>
        <w:t>浮动管理费在投资者赎回时进行计提，已实现的浮动管理费按季支付，或由管理人向托管人发送指令，托管人复核后从产品资产中支付。</w:t>
      </w:r>
    </w:p>
    <w:p w14:paraId="5D9E0ABA">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p>
    <w:p w14:paraId="1B6E08CC">
      <w:pPr>
        <w:autoSpaceDE w:val="0"/>
        <w:autoSpaceDN w:val="0"/>
        <w:adjustRightInd w:val="0"/>
        <w:ind w:firstLine="422" w:firstLineChars="200"/>
        <w:jc w:val="left"/>
        <w:rPr>
          <w:rFonts w:ascii="黑体" w:hAnsi="黑体" w:eastAsia="黑体"/>
          <w:b/>
          <w:color w:val="000000" w:themeColor="text1"/>
          <w:kern w:val="0"/>
          <w14:textFill>
            <w14:solidFill>
              <w14:schemeClr w14:val="tx1"/>
            </w14:solidFill>
          </w14:textFill>
        </w:rPr>
      </w:pPr>
      <w:r>
        <w:rPr>
          <w:rFonts w:ascii="黑体" w:hAnsi="黑体" w:eastAsia="黑体"/>
          <w:b/>
          <w:color w:val="000000" w:themeColor="text1"/>
          <w:kern w:val="0"/>
          <w14:textFill>
            <w14:solidFill>
              <w14:schemeClr w14:val="tx1"/>
            </w14:solidFill>
          </w14:textFill>
        </w:rPr>
        <w:t>4</w:t>
      </w:r>
      <w:r>
        <w:rPr>
          <w:rFonts w:hint="eastAsia" w:ascii="黑体" w:hAnsi="黑体" w:eastAsia="黑体"/>
          <w:b/>
          <w:color w:val="000000" w:themeColor="text1"/>
          <w:kern w:val="0"/>
          <w14:textFill>
            <w14:solidFill>
              <w14:schemeClr w14:val="tx1"/>
            </w14:solidFill>
          </w14:textFill>
        </w:rPr>
        <w:t>、托管费：本产品托管费按</w:t>
      </w:r>
      <w:r>
        <w:rPr>
          <w:rFonts w:ascii="黑体" w:hAnsi="黑体" w:eastAsia="黑体" w:cs="黑体"/>
          <w:b/>
          <w:color w:val="000000" w:themeColor="text1"/>
          <w:kern w:val="0"/>
          <w:szCs w:val="21"/>
          <w14:textFill>
            <w14:solidFill>
              <w14:schemeClr w14:val="tx1"/>
            </w14:solidFill>
          </w14:textFill>
        </w:rPr>
        <w:t>0.01%年费率计提。</w:t>
      </w:r>
      <w:r>
        <w:rPr>
          <w:rFonts w:hint="eastAsia" w:ascii="黑体" w:hAnsi="黑体" w:eastAsia="黑体"/>
          <w:b/>
          <w:color w:val="000000" w:themeColor="text1"/>
          <w:kern w:val="0"/>
          <w14:textFill>
            <w14:solidFill>
              <w14:schemeClr w14:val="tx1"/>
            </w14:solidFill>
          </w14:textFill>
        </w:rPr>
        <w:t>计算方法如下：</w:t>
      </w:r>
    </w:p>
    <w:p w14:paraId="675443FD">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ascii="黑体" w:hAnsi="黑体" w:eastAsia="黑体" w:cs="黑体"/>
          <w:b/>
          <w:color w:val="000000" w:themeColor="text1"/>
          <w:kern w:val="0"/>
          <w:szCs w:val="21"/>
          <w14:textFill>
            <w14:solidFill>
              <w14:schemeClr w14:val="tx1"/>
            </w14:solidFill>
          </w14:textFill>
        </w:rPr>
        <w:t>T＝E×托管费率（年化）÷365</w:t>
      </w:r>
    </w:p>
    <w:p w14:paraId="26C11E7F">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ascii="黑体" w:hAnsi="黑体" w:eastAsia="黑体" w:cs="黑体"/>
          <w:b/>
          <w:color w:val="000000" w:themeColor="text1"/>
          <w:kern w:val="0"/>
          <w:szCs w:val="21"/>
          <w14:textFill>
            <w14:solidFill>
              <w14:schemeClr w14:val="tx1"/>
            </w14:solidFill>
          </w14:textFill>
        </w:rPr>
        <w:t>T为</w:t>
      </w:r>
      <w:r>
        <w:rPr>
          <w:rFonts w:hint="eastAsia" w:ascii="黑体" w:hAnsi="黑体" w:eastAsia="黑体" w:cs="黑体"/>
          <w:b/>
          <w:color w:val="000000" w:themeColor="text1"/>
          <w:kern w:val="0"/>
          <w:szCs w:val="21"/>
          <w14:textFill>
            <w14:solidFill>
              <w14:schemeClr w14:val="tx1"/>
            </w14:solidFill>
          </w14:textFill>
        </w:rPr>
        <w:t>产品各份额</w:t>
      </w:r>
      <w:r>
        <w:rPr>
          <w:rFonts w:ascii="黑体" w:hAnsi="黑体" w:eastAsia="黑体" w:cs="黑体"/>
          <w:b/>
          <w:color w:val="000000" w:themeColor="text1"/>
          <w:kern w:val="0"/>
          <w:szCs w:val="21"/>
          <w14:textFill>
            <w14:solidFill>
              <w14:schemeClr w14:val="tx1"/>
            </w14:solidFill>
          </w14:textFill>
        </w:rPr>
        <w:t>每一自然日应计提的产品托管费</w:t>
      </w:r>
    </w:p>
    <w:p w14:paraId="6539B117">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ascii="黑体" w:hAnsi="黑体" w:eastAsia="黑体" w:cs="黑体"/>
          <w:b/>
          <w:color w:val="000000" w:themeColor="text1"/>
          <w:kern w:val="0"/>
          <w:szCs w:val="21"/>
          <w14:textFill>
            <w14:solidFill>
              <w14:schemeClr w14:val="tx1"/>
            </w14:solidFill>
          </w14:textFill>
        </w:rPr>
        <w:t>E为</w:t>
      </w:r>
      <w:r>
        <w:rPr>
          <w:rFonts w:hint="eastAsia" w:ascii="黑体" w:hAnsi="黑体" w:eastAsia="黑体" w:cs="黑体"/>
          <w:b/>
          <w:color w:val="000000" w:themeColor="text1"/>
          <w:kern w:val="0"/>
          <w:szCs w:val="21"/>
          <w14:textFill>
            <w14:solidFill>
              <w14:schemeClr w14:val="tx1"/>
            </w14:solidFill>
          </w14:textFill>
        </w:rPr>
        <w:t>产品该份额上一自然日的总净值(E在产品成立日为产品该份额的总份额)</w:t>
      </w:r>
    </w:p>
    <w:p w14:paraId="1332FC29">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r>
        <w:rPr>
          <w:rFonts w:hint="eastAsia" w:ascii="黑体" w:hAnsi="黑体" w:eastAsia="黑体" w:cs="黑体"/>
          <w:b/>
          <w:color w:val="000000" w:themeColor="text1"/>
          <w:kern w:val="0"/>
          <w:szCs w:val="21"/>
          <w14:textFill>
            <w14:solidFill>
              <w14:schemeClr w14:val="tx1"/>
            </w14:solidFill>
          </w14:textFill>
        </w:rPr>
        <w:t>托管费每日计提，按季支付，或由管理人向托管人发送指令，托管人复核后从产品资产中支付。</w:t>
      </w:r>
    </w:p>
    <w:p w14:paraId="69B09F7D">
      <w:pPr>
        <w:autoSpaceDE w:val="0"/>
        <w:autoSpaceDN w:val="0"/>
        <w:adjustRightInd w:val="0"/>
        <w:ind w:firstLine="422" w:firstLineChars="200"/>
        <w:jc w:val="left"/>
        <w:rPr>
          <w:rFonts w:ascii="黑体" w:hAnsi="黑体" w:eastAsia="黑体" w:cs="黑体"/>
          <w:b/>
          <w:color w:val="000000" w:themeColor="text1"/>
          <w:kern w:val="0"/>
          <w:szCs w:val="21"/>
          <w14:textFill>
            <w14:solidFill>
              <w14:schemeClr w14:val="tx1"/>
            </w14:solidFill>
          </w14:textFill>
        </w:rPr>
      </w:pPr>
    </w:p>
    <w:p w14:paraId="26006B7E">
      <w:pPr>
        <w:autoSpaceDE w:val="0"/>
        <w:autoSpaceDN w:val="0"/>
        <w:adjustRightInd w:val="0"/>
        <w:ind w:firstLine="422" w:firstLineChars="200"/>
        <w:jc w:val="left"/>
        <w:rPr>
          <w:rFonts w:ascii="黑体" w:hAnsi="黑体" w:eastAsia="黑体" w:cs="黑体"/>
          <w:b/>
          <w:kern w:val="0"/>
          <w:szCs w:val="21"/>
        </w:rPr>
      </w:pPr>
      <w:r>
        <w:rPr>
          <w:rFonts w:ascii="黑体" w:hAnsi="黑体" w:eastAsia="黑体" w:cs="黑体"/>
          <w:b/>
          <w:kern w:val="0"/>
          <w:szCs w:val="21"/>
        </w:rPr>
        <w:t>5</w:t>
      </w:r>
      <w:r>
        <w:rPr>
          <w:rFonts w:hint="eastAsia" w:ascii="黑体" w:hAnsi="黑体" w:eastAsia="黑体" w:cs="黑体"/>
          <w:b/>
          <w:kern w:val="0"/>
          <w:szCs w:val="21"/>
        </w:rPr>
        <w:t>、手续费</w:t>
      </w:r>
      <w:r>
        <w:rPr>
          <w:rFonts w:ascii="黑体" w:hAnsi="黑体" w:eastAsia="黑体" w:cs="黑体"/>
          <w:b/>
          <w:kern w:val="0"/>
          <w:szCs w:val="21"/>
        </w:rPr>
        <w:t>：</w:t>
      </w:r>
      <w:bookmarkStart w:id="6" w:name="_Hlk33053737"/>
      <w:r>
        <w:rPr>
          <w:rFonts w:hint="eastAsia" w:ascii="黑体" w:hAnsi="黑体" w:eastAsia="黑体" w:cs="黑体"/>
          <w:b/>
          <w:kern w:val="0"/>
          <w:szCs w:val="21"/>
        </w:rPr>
        <w:t>无</w:t>
      </w:r>
    </w:p>
    <w:bookmarkEnd w:id="6"/>
    <w:p w14:paraId="792875E5">
      <w:pPr>
        <w:autoSpaceDE w:val="0"/>
        <w:autoSpaceDN w:val="0"/>
        <w:adjustRightInd w:val="0"/>
        <w:ind w:firstLine="422" w:firstLineChars="200"/>
        <w:jc w:val="left"/>
        <w:rPr>
          <w:rFonts w:ascii="黑体" w:hAnsi="黑体" w:eastAsia="黑体" w:cs="黑体"/>
          <w:b/>
          <w:kern w:val="0"/>
          <w:szCs w:val="21"/>
        </w:rPr>
      </w:pPr>
      <w:r>
        <w:rPr>
          <w:rFonts w:ascii="黑体" w:hAnsi="黑体" w:eastAsia="黑体" w:cs="黑体"/>
          <w:b/>
          <w:kern w:val="0"/>
          <w:szCs w:val="21"/>
        </w:rPr>
        <w:t>6、其他费用：</w:t>
      </w:r>
      <w:r>
        <w:rPr>
          <w:rFonts w:hint="eastAsia" w:ascii="黑体" w:hAnsi="黑体" w:eastAsia="黑体" w:cs="黑体"/>
          <w:b/>
          <w:kern w:val="0"/>
          <w:szCs w:val="21"/>
        </w:rPr>
        <w:t>无</w:t>
      </w:r>
    </w:p>
    <w:p w14:paraId="43DA9355">
      <w:pPr>
        <w:autoSpaceDE w:val="0"/>
        <w:autoSpaceDN w:val="0"/>
        <w:adjustRightInd w:val="0"/>
        <w:ind w:firstLine="422" w:firstLineChars="200"/>
        <w:jc w:val="left"/>
        <w:rPr>
          <w:rFonts w:ascii="黑体" w:hAnsi="黑体" w:eastAsia="黑体" w:cs="黑体"/>
          <w:b/>
          <w:kern w:val="0"/>
          <w:szCs w:val="21"/>
        </w:rPr>
      </w:pPr>
      <w:r>
        <w:rPr>
          <w:rFonts w:ascii="黑体" w:hAnsi="黑体" w:eastAsia="黑体" w:cs="黑体"/>
          <w:b/>
          <w:kern w:val="0"/>
          <w:szCs w:val="21"/>
        </w:rPr>
        <w:t>7、</w:t>
      </w:r>
      <w:r>
        <w:rPr>
          <w:rFonts w:hint="eastAsia" w:ascii="黑体" w:hAnsi="黑体" w:eastAsia="黑体" w:cs="黑体"/>
          <w:b/>
          <w:kern w:val="0"/>
          <w:szCs w:val="21"/>
        </w:rPr>
        <w:t>产品运作和清算中产生的其他费用，包括但不限于资金汇划费、结算费、交易手续费、注册登记费、信息披露费、账户服务费、审计费、项目推荐费、相关机构为本理财产品投资交易提供保管、咨询、顾问、管理等服务所收取的费用、代表投资者利益行使诉讼权利或实施其他法律行为所产生的费用（包括但不限于资产处置费、诉讼费、仲裁费、保全费、律师费、鉴定费、公证费、评估费）等，按照实际发生情况从产品中列支。</w:t>
      </w:r>
      <w:bookmarkEnd w:id="4"/>
    </w:p>
    <w:p w14:paraId="16923280">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8</w:t>
      </w:r>
      <w:r>
        <w:rPr>
          <w:rFonts w:hint="eastAsia" w:ascii="黑体" w:hAnsi="黑体" w:eastAsia="黑体" w:cs="黑体"/>
          <w:kern w:val="0"/>
          <w:szCs w:val="21"/>
        </w:rPr>
        <w:t>、上述费用将按相关</w:t>
      </w:r>
      <w:r>
        <w:rPr>
          <w:rFonts w:ascii="黑体" w:hAnsi="黑体" w:eastAsia="黑体" w:cs="黑体"/>
          <w:kern w:val="0"/>
          <w:szCs w:val="21"/>
        </w:rPr>
        <w:t>合同</w:t>
      </w:r>
      <w:r>
        <w:rPr>
          <w:rFonts w:hint="eastAsia" w:ascii="黑体" w:hAnsi="黑体" w:eastAsia="黑体" w:cs="黑体"/>
          <w:kern w:val="0"/>
          <w:szCs w:val="21"/>
        </w:rPr>
        <w:t>约定的时间和方式支付给收款方。</w:t>
      </w:r>
    </w:p>
    <w:bookmarkEnd w:id="5"/>
    <w:p w14:paraId="3352EE5C">
      <w:pPr>
        <w:autoSpaceDE w:val="0"/>
        <w:autoSpaceDN w:val="0"/>
        <w:adjustRightInd w:val="0"/>
        <w:ind w:firstLine="422" w:firstLineChars="200"/>
        <w:jc w:val="left"/>
        <w:rPr>
          <w:rFonts w:ascii="黑体" w:hAnsi="黑体" w:eastAsia="黑体" w:cs="黑体"/>
          <w:b/>
          <w:kern w:val="0"/>
          <w:szCs w:val="21"/>
        </w:rPr>
      </w:pPr>
      <w:r>
        <w:rPr>
          <w:rFonts w:ascii="黑体" w:hAnsi="黑体" w:eastAsia="黑体" w:cs="黑体"/>
          <w:b/>
          <w:kern w:val="0"/>
          <w:szCs w:val="21"/>
        </w:rPr>
        <w:t>9</w:t>
      </w:r>
      <w:r>
        <w:rPr>
          <w:rFonts w:hint="eastAsia" w:ascii="黑体" w:hAnsi="黑体" w:eastAsia="黑体" w:cs="黑体"/>
          <w:b/>
          <w:kern w:val="0"/>
          <w:szCs w:val="21"/>
        </w:rPr>
        <w:t>、产品管理人有权根据市场情况等调整上述各项收费项目、收费条件、收费标准和收费方式，并至少于调整日之前</w:t>
      </w:r>
      <w:r>
        <w:rPr>
          <w:rFonts w:ascii="黑体" w:hAnsi="黑体" w:eastAsia="黑体" w:cs="黑体"/>
          <w:b/>
          <w:kern w:val="0"/>
          <w:szCs w:val="21"/>
        </w:rPr>
        <w:t>3</w:t>
      </w:r>
      <w:r>
        <w:rPr>
          <w:rFonts w:hint="eastAsia" w:ascii="黑体" w:hAnsi="黑体" w:eastAsia="黑体" w:cs="黑体"/>
          <w:b/>
          <w:kern w:val="0"/>
          <w:szCs w:val="21"/>
        </w:rPr>
        <w:t>个工作日进行公告。上述情况下产品</w:t>
      </w:r>
      <w:r>
        <w:rPr>
          <w:rFonts w:ascii="黑体" w:hAnsi="黑体" w:eastAsia="黑体" w:cs="黑体"/>
          <w:b/>
          <w:kern w:val="0"/>
          <w:szCs w:val="21"/>
        </w:rPr>
        <w:t>管理人</w:t>
      </w:r>
      <w:r>
        <w:rPr>
          <w:rFonts w:hint="eastAsia" w:ascii="黑体" w:hAnsi="黑体" w:eastAsia="黑体" w:cs="黑体"/>
          <w:b/>
          <w:kern w:val="0"/>
          <w:szCs w:val="21"/>
        </w:rPr>
        <w:t>将可能开放赎回，具体以信息披露公告为准。投资者不同意公告内容的，可按公告约定全部赎回本产品。若投资者在公告执行后继续持有本产品的，视同接受公告内容。</w:t>
      </w:r>
    </w:p>
    <w:p w14:paraId="0C41F3C9">
      <w:pPr>
        <w:autoSpaceDE w:val="0"/>
        <w:autoSpaceDN w:val="0"/>
        <w:adjustRightInd w:val="0"/>
        <w:jc w:val="left"/>
        <w:rPr>
          <w:rFonts w:ascii="黑体" w:hAnsi="黑体" w:eastAsia="黑体" w:cs="宋体"/>
          <w:kern w:val="0"/>
          <w:szCs w:val="21"/>
        </w:rPr>
      </w:pPr>
      <w:r>
        <w:rPr>
          <w:rFonts w:hint="eastAsia" w:ascii="黑体" w:hAnsi="黑体" w:eastAsia="黑体" w:cs="宋体"/>
          <w:kern w:val="0"/>
          <w:szCs w:val="21"/>
        </w:rPr>
        <w:t>（二）产品收益计算示例</w:t>
      </w:r>
    </w:p>
    <w:p w14:paraId="59321F7D">
      <w:pPr>
        <w:autoSpaceDE w:val="0"/>
        <w:autoSpaceDN w:val="0"/>
        <w:adjustRightInd w:val="0"/>
        <w:ind w:firstLine="422" w:firstLineChars="200"/>
        <w:jc w:val="left"/>
        <w:rPr>
          <w:rFonts w:ascii="黑体" w:hAnsi="黑体" w:eastAsia="黑体" w:cs="黑体"/>
          <w:b/>
          <w:kern w:val="0"/>
          <w:szCs w:val="21"/>
        </w:rPr>
      </w:pPr>
      <w:r>
        <w:rPr>
          <w:rFonts w:ascii="黑体" w:hAnsi="黑体" w:eastAsia="黑体" w:cs="黑体"/>
          <w:b/>
          <w:kern w:val="0"/>
          <w:szCs w:val="21"/>
        </w:rPr>
        <w:t>以下示例均为</w:t>
      </w:r>
      <w:r>
        <w:rPr>
          <w:rFonts w:hint="eastAsia" w:ascii="黑体" w:hAnsi="黑体" w:eastAsia="黑体" w:cs="黑体"/>
          <w:b/>
          <w:kern w:val="0"/>
          <w:szCs w:val="21"/>
        </w:rPr>
        <w:t>采用假设数据计算。具体产品的认购、申购、赎回相关规则详见本说明书第四部分产品交易相关规则，费用计算以展示不同情境下费用计算过程为目的，具体产品费率以本说明书第六部分产品费用、收益及税收说明和相关公告为准，测算收益不等于实际收益，投资须谨慎。</w:t>
      </w:r>
    </w:p>
    <w:p w14:paraId="72EEE476">
      <w:pPr>
        <w:autoSpaceDE w:val="0"/>
        <w:autoSpaceDN w:val="0"/>
        <w:adjustRightInd w:val="0"/>
        <w:ind w:firstLine="420" w:firstLineChars="200"/>
        <w:jc w:val="left"/>
        <w:rPr>
          <w:rFonts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示例1：份额持有区间年化收益率超过【当期浮动管理费的提取基准】。</w:t>
      </w:r>
    </w:p>
    <w:p w14:paraId="51BF6BD7">
      <w:pPr>
        <w:autoSpaceDE w:val="0"/>
        <w:autoSpaceDN w:val="0"/>
        <w:adjustRightInd w:val="0"/>
        <w:ind w:firstLine="420" w:firstLineChars="200"/>
        <w:jc w:val="left"/>
        <w:rPr>
          <w:rFonts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假设投资者本金为10000元，申购受理日产品的单位净值和累计净值均为1.00元/份，则投资者持有份额为10000份，</w:t>
      </w:r>
      <w:r>
        <w:rPr>
          <w:rFonts w:hint="eastAsia" w:ascii="黑体" w:hAnsi="黑体" w:eastAsia="黑体" w:cs="黑体"/>
          <w:color w:val="000000" w:themeColor="text1"/>
          <w:kern w:val="0"/>
          <w14:textFill>
            <w14:solidFill>
              <w14:schemeClr w14:val="tx1"/>
            </w14:solidFill>
          </w14:textFill>
        </w:rPr>
        <w:t>投资者持有满产品最短持有期后依照说明书约定提交全部份额的赎回申请（假设提交赎回申请时投资者持有该产品300天），</w:t>
      </w:r>
      <w:r>
        <w:rPr>
          <w:rFonts w:hint="eastAsia" w:ascii="黑体" w:hAnsi="黑体" w:eastAsia="黑体" w:cs="黑体"/>
          <w:color w:val="000000" w:themeColor="text1"/>
          <w:kern w:val="0"/>
          <w:szCs w:val="21"/>
          <w14:textFill>
            <w14:solidFill>
              <w14:schemeClr w14:val="tx1"/>
            </w14:solidFill>
          </w14:textFill>
        </w:rPr>
        <w:t>赎回受理日产品的累计净值为1.</w:t>
      </w:r>
      <w:r>
        <w:rPr>
          <w:rFonts w:ascii="黑体" w:hAnsi="黑体" w:eastAsia="黑体" w:cs="黑体"/>
          <w:color w:val="000000" w:themeColor="text1"/>
          <w:kern w:val="0"/>
          <w:szCs w:val="21"/>
          <w14:textFill>
            <w14:solidFill>
              <w14:schemeClr w14:val="tx1"/>
            </w14:solidFill>
          </w14:textFill>
        </w:rPr>
        <w:t>05</w:t>
      </w:r>
      <w:r>
        <w:rPr>
          <w:rFonts w:hint="eastAsia" w:ascii="黑体" w:hAnsi="黑体" w:eastAsia="黑体" w:cs="黑体"/>
          <w:color w:val="000000" w:themeColor="text1"/>
          <w:kern w:val="0"/>
          <w:szCs w:val="21"/>
          <w14:textFill>
            <w14:solidFill>
              <w14:schemeClr w14:val="tx1"/>
            </w14:solidFill>
          </w14:textFill>
        </w:rPr>
        <w:t>元/份，单位净值为1.</w:t>
      </w:r>
      <w:r>
        <w:rPr>
          <w:rFonts w:ascii="黑体" w:hAnsi="黑体" w:eastAsia="黑体" w:cs="黑体"/>
          <w:color w:val="000000" w:themeColor="text1"/>
          <w:kern w:val="0"/>
          <w:szCs w:val="21"/>
          <w14:textFill>
            <w14:solidFill>
              <w14:schemeClr w14:val="tx1"/>
            </w14:solidFill>
          </w14:textFill>
        </w:rPr>
        <w:t>05</w:t>
      </w:r>
      <w:r>
        <w:rPr>
          <w:rFonts w:hint="eastAsia" w:ascii="黑体" w:hAnsi="黑体" w:eastAsia="黑体" w:cs="黑体"/>
          <w:color w:val="000000" w:themeColor="text1"/>
          <w:kern w:val="0"/>
          <w:szCs w:val="21"/>
          <w14:textFill>
            <w14:solidFill>
              <w14:schemeClr w14:val="tx1"/>
            </w14:solidFill>
          </w14:textFill>
        </w:rPr>
        <w:t>元/份，则投资者所赎回份额的持有区间年化收益率为（1.</w:t>
      </w:r>
      <w:r>
        <w:rPr>
          <w:rFonts w:ascii="黑体" w:hAnsi="黑体" w:eastAsia="黑体" w:cs="黑体"/>
          <w:color w:val="000000" w:themeColor="text1"/>
          <w:kern w:val="0"/>
          <w:szCs w:val="21"/>
          <w14:textFill>
            <w14:solidFill>
              <w14:schemeClr w14:val="tx1"/>
            </w14:solidFill>
          </w14:textFill>
        </w:rPr>
        <w:t>05</w:t>
      </w:r>
      <w:r>
        <w:rPr>
          <w:rFonts w:hint="eastAsia" w:ascii="黑体" w:hAnsi="黑体" w:eastAsia="黑体" w:cs="黑体"/>
          <w:color w:val="000000" w:themeColor="text1"/>
          <w:kern w:val="0"/>
          <w:szCs w:val="21"/>
          <w14:textFill>
            <w14:solidFill>
              <w14:schemeClr w14:val="tx1"/>
            </w14:solidFill>
          </w14:textFill>
        </w:rPr>
        <w:t>元/份-1.00元/份）/</w:t>
      </w:r>
      <w:r>
        <w:rPr>
          <w:rFonts w:ascii="黑体" w:hAnsi="黑体" w:eastAsia="黑体" w:cs="黑体"/>
          <w:color w:val="000000" w:themeColor="text1"/>
          <w:kern w:val="0"/>
          <w:szCs w:val="21"/>
          <w14:textFill>
            <w14:solidFill>
              <w14:schemeClr w14:val="tx1"/>
            </w14:solidFill>
          </w14:textFill>
        </w:rPr>
        <w:t>300</w:t>
      </w:r>
      <w:r>
        <w:rPr>
          <w:rFonts w:hint="eastAsia" w:ascii="黑体" w:hAnsi="黑体" w:eastAsia="黑体" w:cs="黑体"/>
          <w:color w:val="000000" w:themeColor="text1"/>
          <w:kern w:val="0"/>
          <w:szCs w:val="21"/>
          <w14:textFill>
            <w14:solidFill>
              <w14:schemeClr w14:val="tx1"/>
            </w14:solidFill>
          </w14:textFill>
        </w:rPr>
        <w:t>*365=</w:t>
      </w:r>
      <w:r>
        <w:rPr>
          <w:rFonts w:ascii="黑体" w:hAnsi="黑体" w:eastAsia="黑体" w:cs="黑体"/>
          <w:color w:val="000000" w:themeColor="text1"/>
          <w:kern w:val="0"/>
          <w:szCs w:val="21"/>
          <w14:textFill>
            <w14:solidFill>
              <w14:schemeClr w14:val="tx1"/>
            </w14:solidFill>
          </w14:textFill>
        </w:rPr>
        <w:t>6.08</w:t>
      </w:r>
      <w:r>
        <w:rPr>
          <w:rFonts w:hint="eastAsia" w:ascii="黑体" w:hAnsi="黑体" w:eastAsia="黑体" w:cs="黑体"/>
          <w:color w:val="000000" w:themeColor="text1"/>
          <w:kern w:val="0"/>
          <w:szCs w:val="21"/>
          <w14:textFill>
            <w14:solidFill>
              <w14:schemeClr w14:val="tx1"/>
            </w14:solidFill>
          </w14:textFill>
        </w:rPr>
        <w:t>%，假设当期浮动管理费的提取基准为4%，</w:t>
      </w:r>
      <w:r>
        <w:rPr>
          <w:rFonts w:hint="eastAsia" w:ascii="黑体" w:hAnsi="黑体" w:eastAsia="黑体" w:cs="黑体"/>
          <w:kern w:val="0"/>
          <w:szCs w:val="21"/>
        </w:rPr>
        <w:t>浮费提取比例为30%，</w:t>
      </w:r>
      <w:r>
        <w:rPr>
          <w:rFonts w:hint="eastAsia" w:ascii="黑体" w:hAnsi="黑体" w:eastAsia="黑体" w:cs="黑体"/>
          <w:color w:val="000000" w:themeColor="text1"/>
          <w:kern w:val="0"/>
          <w:szCs w:val="21"/>
          <w14:textFill>
            <w14:solidFill>
              <w14:schemeClr w14:val="tx1"/>
            </w14:solidFill>
          </w14:textFill>
        </w:rPr>
        <w:t>则产品管理人提取的浮动管理费为：（</w:t>
      </w:r>
      <w:r>
        <w:rPr>
          <w:rFonts w:ascii="黑体" w:hAnsi="黑体" w:eastAsia="黑体" w:cs="黑体"/>
          <w:color w:val="000000" w:themeColor="text1"/>
          <w:kern w:val="0"/>
          <w:szCs w:val="21"/>
          <w14:textFill>
            <w14:solidFill>
              <w14:schemeClr w14:val="tx1"/>
            </w14:solidFill>
          </w14:textFill>
        </w:rPr>
        <w:t>6.08</w:t>
      </w:r>
      <w:r>
        <w:rPr>
          <w:rFonts w:hint="eastAsia" w:ascii="黑体" w:hAnsi="黑体" w:eastAsia="黑体" w:cs="黑体"/>
          <w:color w:val="000000" w:themeColor="text1"/>
          <w:kern w:val="0"/>
          <w:szCs w:val="21"/>
          <w14:textFill>
            <w14:solidFill>
              <w14:schemeClr w14:val="tx1"/>
            </w14:solidFill>
          </w14:textFill>
        </w:rPr>
        <w:t>%-</w:t>
      </w:r>
      <w:r>
        <w:rPr>
          <w:rFonts w:ascii="黑体" w:hAnsi="黑体" w:eastAsia="黑体" w:cs="黑体"/>
          <w:color w:val="000000" w:themeColor="text1"/>
          <w:kern w:val="0"/>
          <w:szCs w:val="21"/>
          <w14:textFill>
            <w14:solidFill>
              <w14:schemeClr w14:val="tx1"/>
            </w14:solidFill>
          </w14:textFill>
        </w:rPr>
        <w:t>4</w:t>
      </w:r>
      <w:r>
        <w:rPr>
          <w:rFonts w:hint="eastAsia" w:ascii="黑体" w:hAnsi="黑体" w:eastAsia="黑体" w:cs="黑体"/>
          <w:color w:val="000000" w:themeColor="text1"/>
          <w:kern w:val="0"/>
          <w:szCs w:val="21"/>
          <w14:textFill>
            <w14:solidFill>
              <w14:schemeClr w14:val="tx1"/>
            </w14:solidFill>
          </w14:textFill>
        </w:rPr>
        <w:t>%）*3</w:t>
      </w:r>
      <w:r>
        <w:rPr>
          <w:rFonts w:ascii="黑体" w:hAnsi="黑体" w:eastAsia="黑体" w:cs="黑体"/>
          <w:color w:val="000000" w:themeColor="text1"/>
          <w:kern w:val="0"/>
          <w:szCs w:val="21"/>
          <w14:textFill>
            <w14:solidFill>
              <w14:schemeClr w14:val="tx1"/>
            </w14:solidFill>
          </w14:textFill>
        </w:rPr>
        <w:t>0</w:t>
      </w:r>
      <w:r>
        <w:rPr>
          <w:rFonts w:hint="eastAsia" w:ascii="黑体" w:hAnsi="黑体" w:eastAsia="黑体" w:cs="黑体"/>
          <w:color w:val="000000" w:themeColor="text1"/>
          <w:kern w:val="0"/>
          <w:szCs w:val="21"/>
          <w14:textFill>
            <w14:solidFill>
              <w14:schemeClr w14:val="tx1"/>
            </w14:solidFill>
          </w14:textFill>
        </w:rPr>
        <w:t>%*10000份*</w:t>
      </w:r>
      <w:r>
        <w:rPr>
          <w:rFonts w:ascii="黑体" w:hAnsi="黑体" w:eastAsia="黑体" w:cs="黑体"/>
          <w:color w:val="000000" w:themeColor="text1"/>
          <w:kern w:val="0"/>
          <w:szCs w:val="21"/>
          <w14:textFill>
            <w14:solidFill>
              <w14:schemeClr w14:val="tx1"/>
            </w14:solidFill>
          </w14:textFill>
        </w:rPr>
        <w:t>300</w:t>
      </w:r>
      <w:r>
        <w:rPr>
          <w:rFonts w:hint="eastAsia" w:ascii="黑体" w:hAnsi="黑体" w:eastAsia="黑体" w:cs="黑体"/>
          <w:color w:val="000000" w:themeColor="text1"/>
          <w:kern w:val="0"/>
          <w:szCs w:val="21"/>
          <w14:textFill>
            <w14:solidFill>
              <w14:schemeClr w14:val="tx1"/>
            </w14:solidFill>
          </w14:textFill>
        </w:rPr>
        <w:t>/365=</w:t>
      </w:r>
      <w:r>
        <w:rPr>
          <w:rFonts w:ascii="黑体" w:hAnsi="黑体" w:eastAsia="黑体" w:cs="黑体"/>
          <w:color w:val="000000" w:themeColor="text1"/>
          <w:kern w:val="0"/>
          <w:szCs w:val="21"/>
          <w14:textFill>
            <w14:solidFill>
              <w14:schemeClr w14:val="tx1"/>
            </w14:solidFill>
          </w14:textFill>
        </w:rPr>
        <w:t>51.37</w:t>
      </w:r>
      <w:r>
        <w:rPr>
          <w:rFonts w:hint="eastAsia" w:ascii="黑体" w:hAnsi="黑体" w:eastAsia="黑体" w:cs="黑体"/>
          <w:color w:val="000000" w:themeColor="text1"/>
          <w:kern w:val="0"/>
          <w:szCs w:val="21"/>
          <w14:textFill>
            <w14:solidFill>
              <w14:schemeClr w14:val="tx1"/>
            </w14:solidFill>
          </w14:textFill>
        </w:rPr>
        <w:t>元，若赎回确认金额采取四舍五入后精确到小数点后2位，则投资者赎回份额的兑付金额为：10000份×1.</w:t>
      </w:r>
      <w:r>
        <w:rPr>
          <w:rFonts w:ascii="黑体" w:hAnsi="黑体" w:eastAsia="黑体" w:cs="黑体"/>
          <w:color w:val="000000" w:themeColor="text1"/>
          <w:kern w:val="0"/>
          <w:szCs w:val="21"/>
          <w14:textFill>
            <w14:solidFill>
              <w14:schemeClr w14:val="tx1"/>
            </w14:solidFill>
          </w14:textFill>
        </w:rPr>
        <w:t>05</w:t>
      </w:r>
      <w:r>
        <w:rPr>
          <w:rFonts w:hint="eastAsia" w:ascii="黑体" w:hAnsi="黑体" w:eastAsia="黑体" w:cs="黑体"/>
          <w:color w:val="000000" w:themeColor="text1"/>
          <w:kern w:val="0"/>
          <w:szCs w:val="21"/>
          <w14:textFill>
            <w14:solidFill>
              <w14:schemeClr w14:val="tx1"/>
            </w14:solidFill>
          </w14:textFill>
        </w:rPr>
        <w:t>元/份-</w:t>
      </w:r>
      <w:r>
        <w:rPr>
          <w:rFonts w:ascii="黑体" w:hAnsi="黑体" w:eastAsia="黑体" w:cs="黑体"/>
          <w:color w:val="000000" w:themeColor="text1"/>
          <w:kern w:val="0"/>
          <w:szCs w:val="21"/>
          <w14:textFill>
            <w14:solidFill>
              <w14:schemeClr w14:val="tx1"/>
            </w14:solidFill>
          </w14:textFill>
        </w:rPr>
        <w:t>51.37</w:t>
      </w:r>
      <w:r>
        <w:rPr>
          <w:rFonts w:hint="eastAsia" w:ascii="黑体" w:hAnsi="黑体" w:eastAsia="黑体" w:cs="黑体"/>
          <w:color w:val="000000" w:themeColor="text1"/>
          <w:kern w:val="0"/>
          <w:szCs w:val="21"/>
          <w14:textFill>
            <w14:solidFill>
              <w14:schemeClr w14:val="tx1"/>
            </w14:solidFill>
          </w14:textFill>
        </w:rPr>
        <w:t>元＝1</w:t>
      </w:r>
      <w:r>
        <w:rPr>
          <w:rFonts w:ascii="黑体" w:hAnsi="黑体" w:eastAsia="黑体" w:cs="黑体"/>
          <w:color w:val="000000" w:themeColor="text1"/>
          <w:kern w:val="0"/>
          <w:szCs w:val="21"/>
          <w14:textFill>
            <w14:solidFill>
              <w14:schemeClr w14:val="tx1"/>
            </w14:solidFill>
          </w14:textFill>
        </w:rPr>
        <w:t>0448.63</w:t>
      </w:r>
      <w:r>
        <w:rPr>
          <w:rFonts w:hint="eastAsia" w:ascii="黑体" w:hAnsi="黑体" w:eastAsia="黑体" w:cs="黑体"/>
          <w:color w:val="000000" w:themeColor="text1"/>
          <w:kern w:val="0"/>
          <w:szCs w:val="21"/>
          <w14:textFill>
            <w14:solidFill>
              <w14:schemeClr w14:val="tx1"/>
            </w14:solidFill>
          </w14:textFill>
        </w:rPr>
        <w:t>元，投资者理财收益</w:t>
      </w:r>
      <w:r>
        <w:rPr>
          <w:rFonts w:ascii="黑体" w:hAnsi="黑体" w:eastAsia="黑体" w:cs="黑体"/>
          <w:color w:val="000000" w:themeColor="text1"/>
          <w:kern w:val="0"/>
          <w:szCs w:val="21"/>
          <w14:textFill>
            <w14:solidFill>
              <w14:schemeClr w14:val="tx1"/>
            </w14:solidFill>
          </w14:textFill>
        </w:rPr>
        <w:t>448.63</w:t>
      </w:r>
      <w:r>
        <w:rPr>
          <w:rFonts w:hint="eastAsia" w:ascii="黑体" w:hAnsi="黑体" w:eastAsia="黑体" w:cs="黑体"/>
          <w:color w:val="000000" w:themeColor="text1"/>
          <w:kern w:val="0"/>
          <w:szCs w:val="21"/>
          <w14:textFill>
            <w14:solidFill>
              <w14:schemeClr w14:val="tx1"/>
            </w14:solidFill>
          </w14:textFill>
        </w:rPr>
        <w:t>元。</w:t>
      </w:r>
    </w:p>
    <w:p w14:paraId="37990361">
      <w:pPr>
        <w:autoSpaceDE w:val="0"/>
        <w:autoSpaceDN w:val="0"/>
        <w:adjustRightInd w:val="0"/>
        <w:ind w:firstLine="420" w:firstLineChars="200"/>
        <w:jc w:val="left"/>
        <w:rPr>
          <w:rFonts w:ascii="黑体" w:hAnsi="黑体" w:eastAsia="黑体" w:cs="黑体"/>
          <w:color w:val="000000" w:themeColor="text1"/>
          <w:kern w:val="0"/>
          <w:szCs w:val="21"/>
          <w14:textFill>
            <w14:solidFill>
              <w14:schemeClr w14:val="tx1"/>
            </w14:solidFill>
          </w14:textFill>
        </w:rPr>
      </w:pPr>
    </w:p>
    <w:p w14:paraId="042365C7">
      <w:pPr>
        <w:autoSpaceDE w:val="0"/>
        <w:autoSpaceDN w:val="0"/>
        <w:adjustRightInd w:val="0"/>
        <w:ind w:firstLine="420" w:firstLineChars="200"/>
        <w:jc w:val="left"/>
        <w:rPr>
          <w:rFonts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示例2：份额持有区间年化收益率为正，但未达到【当期浮动管理费的提取基准】。</w:t>
      </w:r>
    </w:p>
    <w:p w14:paraId="5D0425FC">
      <w:pPr>
        <w:autoSpaceDE w:val="0"/>
        <w:autoSpaceDN w:val="0"/>
        <w:adjustRightInd w:val="0"/>
        <w:ind w:firstLine="420" w:firstLineChars="200"/>
        <w:jc w:val="left"/>
        <w:rPr>
          <w:rFonts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假设投资者本金为10000元，申购受理日产品的单位净值和累计净值均为1.00元/份，则投资者持有份额为10000份，投资者持有满产品最短持有期后依照说明书约定提交全部份额的赎回申请（假设提交赎回申请时投资者持有该产品300天），赎回受理日产品的累计净值为1.0</w:t>
      </w:r>
      <w:r>
        <w:rPr>
          <w:rFonts w:ascii="黑体" w:hAnsi="黑体" w:eastAsia="黑体" w:cs="黑体"/>
          <w:color w:val="000000" w:themeColor="text1"/>
          <w:kern w:val="0"/>
          <w:szCs w:val="21"/>
          <w14:textFill>
            <w14:solidFill>
              <w14:schemeClr w14:val="tx1"/>
            </w14:solidFill>
          </w14:textFill>
        </w:rPr>
        <w:t>1</w:t>
      </w:r>
      <w:r>
        <w:rPr>
          <w:rFonts w:hint="eastAsia" w:ascii="黑体" w:hAnsi="黑体" w:eastAsia="黑体" w:cs="黑体"/>
          <w:color w:val="000000" w:themeColor="text1"/>
          <w:kern w:val="0"/>
          <w:szCs w:val="21"/>
          <w14:textFill>
            <w14:solidFill>
              <w14:schemeClr w14:val="tx1"/>
            </w14:solidFill>
          </w14:textFill>
        </w:rPr>
        <w:t>元/份，单位净值为1.0</w:t>
      </w:r>
      <w:r>
        <w:rPr>
          <w:rFonts w:ascii="黑体" w:hAnsi="黑体" w:eastAsia="黑体" w:cs="黑体"/>
          <w:color w:val="000000" w:themeColor="text1"/>
          <w:kern w:val="0"/>
          <w:szCs w:val="21"/>
          <w14:textFill>
            <w14:solidFill>
              <w14:schemeClr w14:val="tx1"/>
            </w14:solidFill>
          </w14:textFill>
        </w:rPr>
        <w:t>1</w:t>
      </w:r>
      <w:r>
        <w:rPr>
          <w:rFonts w:hint="eastAsia" w:ascii="黑体" w:hAnsi="黑体" w:eastAsia="黑体" w:cs="黑体"/>
          <w:color w:val="000000" w:themeColor="text1"/>
          <w:kern w:val="0"/>
          <w:szCs w:val="21"/>
          <w14:textFill>
            <w14:solidFill>
              <w14:schemeClr w14:val="tx1"/>
            </w14:solidFill>
          </w14:textFill>
        </w:rPr>
        <w:t>元/份，则投资者所赎回份额的持有区间年化收益率为（1.0</w:t>
      </w:r>
      <w:r>
        <w:rPr>
          <w:rFonts w:ascii="黑体" w:hAnsi="黑体" w:eastAsia="黑体" w:cs="黑体"/>
          <w:color w:val="000000" w:themeColor="text1"/>
          <w:kern w:val="0"/>
          <w:szCs w:val="21"/>
          <w14:textFill>
            <w14:solidFill>
              <w14:schemeClr w14:val="tx1"/>
            </w14:solidFill>
          </w14:textFill>
        </w:rPr>
        <w:t>1</w:t>
      </w:r>
      <w:r>
        <w:rPr>
          <w:rFonts w:hint="eastAsia" w:ascii="黑体" w:hAnsi="黑体" w:eastAsia="黑体" w:cs="黑体"/>
          <w:color w:val="000000" w:themeColor="text1"/>
          <w:kern w:val="0"/>
          <w:szCs w:val="21"/>
          <w14:textFill>
            <w14:solidFill>
              <w14:schemeClr w14:val="tx1"/>
            </w14:solidFill>
          </w14:textFill>
        </w:rPr>
        <w:t>元/份-1.00元/份）/</w:t>
      </w:r>
      <w:r>
        <w:rPr>
          <w:rFonts w:ascii="黑体" w:hAnsi="黑体" w:eastAsia="黑体" w:cs="黑体"/>
          <w:color w:val="000000" w:themeColor="text1"/>
          <w:kern w:val="0"/>
          <w:szCs w:val="21"/>
          <w14:textFill>
            <w14:solidFill>
              <w14:schemeClr w14:val="tx1"/>
            </w14:solidFill>
          </w14:textFill>
        </w:rPr>
        <w:t>300</w:t>
      </w:r>
      <w:r>
        <w:rPr>
          <w:rFonts w:hint="eastAsia" w:ascii="黑体" w:hAnsi="黑体" w:eastAsia="黑体" w:cs="黑体"/>
          <w:color w:val="000000" w:themeColor="text1"/>
          <w:kern w:val="0"/>
          <w:szCs w:val="21"/>
          <w14:textFill>
            <w14:solidFill>
              <w14:schemeClr w14:val="tx1"/>
            </w14:solidFill>
          </w14:textFill>
        </w:rPr>
        <w:t>*365=</w:t>
      </w:r>
      <w:r>
        <w:rPr>
          <w:rFonts w:ascii="黑体" w:hAnsi="黑体" w:eastAsia="黑体" w:cs="黑体"/>
          <w:color w:val="000000" w:themeColor="text1"/>
          <w:kern w:val="0"/>
          <w:szCs w:val="21"/>
          <w14:textFill>
            <w14:solidFill>
              <w14:schemeClr w14:val="tx1"/>
            </w14:solidFill>
          </w14:textFill>
        </w:rPr>
        <w:t>1.22</w:t>
      </w:r>
      <w:r>
        <w:rPr>
          <w:rFonts w:hint="eastAsia" w:ascii="黑体" w:hAnsi="黑体" w:eastAsia="黑体" w:cs="黑体"/>
          <w:color w:val="000000" w:themeColor="text1"/>
          <w:kern w:val="0"/>
          <w:szCs w:val="21"/>
          <w14:textFill>
            <w14:solidFill>
              <w14:schemeClr w14:val="tx1"/>
            </w14:solidFill>
          </w14:textFill>
        </w:rPr>
        <w:t>%，假设当期浮动管理费的提取基准为4%，1</w:t>
      </w:r>
      <w:r>
        <w:rPr>
          <w:rFonts w:ascii="黑体" w:hAnsi="黑体" w:eastAsia="黑体" w:cs="黑体"/>
          <w:color w:val="000000" w:themeColor="text1"/>
          <w:kern w:val="0"/>
          <w:szCs w:val="21"/>
          <w14:textFill>
            <w14:solidFill>
              <w14:schemeClr w14:val="tx1"/>
            </w14:solidFill>
          </w14:textFill>
        </w:rPr>
        <w:t>.22</w:t>
      </w:r>
      <w:r>
        <w:rPr>
          <w:rFonts w:hint="eastAsia" w:ascii="黑体" w:hAnsi="黑体" w:eastAsia="黑体" w:cs="黑体"/>
          <w:color w:val="000000" w:themeColor="text1"/>
          <w:kern w:val="0"/>
          <w:szCs w:val="21"/>
          <w14:textFill>
            <w14:solidFill>
              <w14:schemeClr w14:val="tx1"/>
            </w14:solidFill>
          </w14:textFill>
        </w:rPr>
        <w:t xml:space="preserve">% &lt; </w:t>
      </w:r>
      <w:r>
        <w:rPr>
          <w:rFonts w:ascii="黑体" w:hAnsi="黑体" w:eastAsia="黑体" w:cs="黑体"/>
          <w:color w:val="000000" w:themeColor="text1"/>
          <w:kern w:val="0"/>
          <w:szCs w:val="21"/>
          <w14:textFill>
            <w14:solidFill>
              <w14:schemeClr w14:val="tx1"/>
            </w14:solidFill>
          </w14:textFill>
        </w:rPr>
        <w:t>4</w:t>
      </w:r>
      <w:r>
        <w:rPr>
          <w:rFonts w:hint="eastAsia" w:ascii="黑体" w:hAnsi="黑体" w:eastAsia="黑体" w:cs="黑体"/>
          <w:color w:val="000000" w:themeColor="text1"/>
          <w:kern w:val="0"/>
          <w:szCs w:val="21"/>
          <w14:textFill>
            <w14:solidFill>
              <w14:schemeClr w14:val="tx1"/>
            </w14:solidFill>
          </w14:textFill>
        </w:rPr>
        <w:t>%，则产品管理人不提取浮动管理费。若赎回确认金额采取四舍五入后精确到小数点后2位，则投资者赎回份额的兑付金额为：10000份×1.0</w:t>
      </w:r>
      <w:r>
        <w:rPr>
          <w:rFonts w:ascii="黑体" w:hAnsi="黑体" w:eastAsia="黑体" w:cs="黑体"/>
          <w:color w:val="000000" w:themeColor="text1"/>
          <w:kern w:val="0"/>
          <w:szCs w:val="21"/>
          <w14:textFill>
            <w14:solidFill>
              <w14:schemeClr w14:val="tx1"/>
            </w14:solidFill>
          </w14:textFill>
        </w:rPr>
        <w:t>1</w:t>
      </w:r>
      <w:r>
        <w:rPr>
          <w:rFonts w:hint="eastAsia" w:ascii="黑体" w:hAnsi="黑体" w:eastAsia="黑体" w:cs="黑体"/>
          <w:color w:val="000000" w:themeColor="text1"/>
          <w:kern w:val="0"/>
          <w:szCs w:val="21"/>
          <w14:textFill>
            <w14:solidFill>
              <w14:schemeClr w14:val="tx1"/>
            </w14:solidFill>
          </w14:textFill>
        </w:rPr>
        <w:t>元/份＝10</w:t>
      </w:r>
      <w:r>
        <w:rPr>
          <w:rFonts w:ascii="黑体" w:hAnsi="黑体" w:eastAsia="黑体" w:cs="黑体"/>
          <w:color w:val="000000" w:themeColor="text1"/>
          <w:kern w:val="0"/>
          <w:szCs w:val="21"/>
          <w14:textFill>
            <w14:solidFill>
              <w14:schemeClr w14:val="tx1"/>
            </w14:solidFill>
          </w14:textFill>
        </w:rPr>
        <w:t>1</w:t>
      </w:r>
      <w:r>
        <w:rPr>
          <w:rFonts w:hint="eastAsia" w:ascii="黑体" w:hAnsi="黑体" w:eastAsia="黑体" w:cs="黑体"/>
          <w:color w:val="000000" w:themeColor="text1"/>
          <w:kern w:val="0"/>
          <w:szCs w:val="21"/>
          <w14:textFill>
            <w14:solidFill>
              <w14:schemeClr w14:val="tx1"/>
            </w14:solidFill>
          </w14:textFill>
        </w:rPr>
        <w:t>00.00元，投资者理财收益</w:t>
      </w:r>
      <w:r>
        <w:rPr>
          <w:rFonts w:ascii="黑体" w:hAnsi="黑体" w:eastAsia="黑体" w:cs="黑体"/>
          <w:color w:val="000000" w:themeColor="text1"/>
          <w:kern w:val="0"/>
          <w:szCs w:val="21"/>
          <w14:textFill>
            <w14:solidFill>
              <w14:schemeClr w14:val="tx1"/>
            </w14:solidFill>
          </w14:textFill>
        </w:rPr>
        <w:t>1</w:t>
      </w:r>
      <w:r>
        <w:rPr>
          <w:rFonts w:hint="eastAsia" w:ascii="黑体" w:hAnsi="黑体" w:eastAsia="黑体" w:cs="黑体"/>
          <w:color w:val="000000" w:themeColor="text1"/>
          <w:kern w:val="0"/>
          <w:szCs w:val="21"/>
          <w14:textFill>
            <w14:solidFill>
              <w14:schemeClr w14:val="tx1"/>
            </w14:solidFill>
          </w14:textFill>
        </w:rPr>
        <w:t>00.00元。</w:t>
      </w:r>
    </w:p>
    <w:p w14:paraId="03321236">
      <w:pPr>
        <w:autoSpaceDE w:val="0"/>
        <w:autoSpaceDN w:val="0"/>
        <w:adjustRightInd w:val="0"/>
        <w:ind w:firstLine="420" w:firstLineChars="200"/>
        <w:jc w:val="left"/>
        <w:rPr>
          <w:rFonts w:ascii="黑体" w:hAnsi="黑体" w:eastAsia="黑体" w:cs="黑体"/>
          <w:color w:val="000000" w:themeColor="text1"/>
          <w:kern w:val="0"/>
          <w:szCs w:val="21"/>
          <w14:textFill>
            <w14:solidFill>
              <w14:schemeClr w14:val="tx1"/>
            </w14:solidFill>
          </w14:textFill>
        </w:rPr>
      </w:pPr>
    </w:p>
    <w:p w14:paraId="32F1570B">
      <w:pPr>
        <w:autoSpaceDE w:val="0"/>
        <w:autoSpaceDN w:val="0"/>
        <w:adjustRightInd w:val="0"/>
        <w:ind w:firstLine="420" w:firstLineChars="200"/>
        <w:jc w:val="left"/>
        <w:rPr>
          <w:rFonts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示例3：份额持有区间年化收益率为负，投资发生亏损。</w:t>
      </w:r>
    </w:p>
    <w:p w14:paraId="6FA50807">
      <w:pPr>
        <w:autoSpaceDE w:val="0"/>
        <w:autoSpaceDN w:val="0"/>
        <w:adjustRightInd w:val="0"/>
        <w:ind w:firstLine="420" w:firstLineChars="200"/>
        <w:jc w:val="left"/>
        <w:rPr>
          <w:rFonts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假设投资者本金为10000元，申购受理日产品的单位净值和累计净值均为1.00元/份，则投资者持有份额为10000份，投资者持有满产品最短持有期后依照说明书约定提交全部份额的赎回申请（假设提交赎回申请时投资者持有该产品300天），赎回受理日产品的累计净值为0</w:t>
      </w:r>
      <w:r>
        <w:rPr>
          <w:rFonts w:ascii="黑体" w:hAnsi="黑体" w:eastAsia="黑体" w:cs="黑体"/>
          <w:color w:val="000000" w:themeColor="text1"/>
          <w:kern w:val="0"/>
          <w:szCs w:val="21"/>
          <w14:textFill>
            <w14:solidFill>
              <w14:schemeClr w14:val="tx1"/>
            </w14:solidFill>
          </w14:textFill>
        </w:rPr>
        <w:t>.99</w:t>
      </w:r>
      <w:r>
        <w:rPr>
          <w:rFonts w:hint="eastAsia" w:ascii="黑体" w:hAnsi="黑体" w:eastAsia="黑体" w:cs="黑体"/>
          <w:color w:val="000000" w:themeColor="text1"/>
          <w:kern w:val="0"/>
          <w:szCs w:val="21"/>
          <w14:textFill>
            <w14:solidFill>
              <w14:schemeClr w14:val="tx1"/>
            </w14:solidFill>
          </w14:textFill>
        </w:rPr>
        <w:t>元/份，单位净值为0</w:t>
      </w:r>
      <w:r>
        <w:rPr>
          <w:rFonts w:ascii="黑体" w:hAnsi="黑体" w:eastAsia="黑体" w:cs="黑体"/>
          <w:color w:val="000000" w:themeColor="text1"/>
          <w:kern w:val="0"/>
          <w:szCs w:val="21"/>
          <w14:textFill>
            <w14:solidFill>
              <w14:schemeClr w14:val="tx1"/>
            </w14:solidFill>
          </w14:textFill>
        </w:rPr>
        <w:t>.99</w:t>
      </w:r>
      <w:r>
        <w:rPr>
          <w:rFonts w:hint="eastAsia" w:ascii="黑体" w:hAnsi="黑体" w:eastAsia="黑体" w:cs="黑体"/>
          <w:color w:val="000000" w:themeColor="text1"/>
          <w:kern w:val="0"/>
          <w:szCs w:val="21"/>
          <w14:textFill>
            <w14:solidFill>
              <w14:schemeClr w14:val="tx1"/>
            </w14:solidFill>
          </w14:textFill>
        </w:rPr>
        <w:t>元/份，则投资者所赎回份额的持有区间年化收益率为（0.9</w:t>
      </w:r>
      <w:r>
        <w:rPr>
          <w:rFonts w:ascii="黑体" w:hAnsi="黑体" w:eastAsia="黑体" w:cs="黑体"/>
          <w:color w:val="000000" w:themeColor="text1"/>
          <w:kern w:val="0"/>
          <w:szCs w:val="21"/>
          <w14:textFill>
            <w14:solidFill>
              <w14:schemeClr w14:val="tx1"/>
            </w14:solidFill>
          </w14:textFill>
        </w:rPr>
        <w:t>9</w:t>
      </w:r>
      <w:r>
        <w:rPr>
          <w:rFonts w:hint="eastAsia" w:ascii="黑体" w:hAnsi="黑体" w:eastAsia="黑体" w:cs="黑体"/>
          <w:color w:val="000000" w:themeColor="text1"/>
          <w:kern w:val="0"/>
          <w:szCs w:val="21"/>
          <w14:textFill>
            <w14:solidFill>
              <w14:schemeClr w14:val="tx1"/>
            </w14:solidFill>
          </w14:textFill>
        </w:rPr>
        <w:t>元/份-1.00元/份）/</w:t>
      </w:r>
      <w:r>
        <w:rPr>
          <w:rFonts w:ascii="黑体" w:hAnsi="黑体" w:eastAsia="黑体" w:cs="黑体"/>
          <w:color w:val="000000" w:themeColor="text1"/>
          <w:kern w:val="0"/>
          <w:szCs w:val="21"/>
          <w14:textFill>
            <w14:solidFill>
              <w14:schemeClr w14:val="tx1"/>
            </w14:solidFill>
          </w14:textFill>
        </w:rPr>
        <w:t>300</w:t>
      </w:r>
      <w:r>
        <w:rPr>
          <w:rFonts w:hint="eastAsia" w:ascii="黑体" w:hAnsi="黑体" w:eastAsia="黑体" w:cs="黑体"/>
          <w:color w:val="000000" w:themeColor="text1"/>
          <w:kern w:val="0"/>
          <w:szCs w:val="21"/>
          <w14:textFill>
            <w14:solidFill>
              <w14:schemeClr w14:val="tx1"/>
            </w14:solidFill>
          </w14:textFill>
        </w:rPr>
        <w:t>*365=-</w:t>
      </w:r>
      <w:r>
        <w:rPr>
          <w:rFonts w:ascii="黑体" w:hAnsi="黑体" w:eastAsia="黑体" w:cs="黑体"/>
          <w:color w:val="000000" w:themeColor="text1"/>
          <w:kern w:val="0"/>
          <w:szCs w:val="21"/>
          <w14:textFill>
            <w14:solidFill>
              <w14:schemeClr w14:val="tx1"/>
            </w14:solidFill>
          </w14:textFill>
        </w:rPr>
        <w:t>1.22</w:t>
      </w:r>
      <w:r>
        <w:rPr>
          <w:rFonts w:hint="eastAsia" w:ascii="黑体" w:hAnsi="黑体" w:eastAsia="黑体" w:cs="黑体"/>
          <w:color w:val="000000" w:themeColor="text1"/>
          <w:kern w:val="0"/>
          <w:szCs w:val="21"/>
          <w14:textFill>
            <w14:solidFill>
              <w14:schemeClr w14:val="tx1"/>
            </w14:solidFill>
          </w14:textFill>
        </w:rPr>
        <w:t>%，假设当期浮动管理费的提取基准为4%，-</w:t>
      </w:r>
      <w:r>
        <w:rPr>
          <w:rFonts w:ascii="黑体" w:hAnsi="黑体" w:eastAsia="黑体" w:cs="黑体"/>
          <w:color w:val="000000" w:themeColor="text1"/>
          <w:kern w:val="0"/>
          <w:szCs w:val="21"/>
          <w14:textFill>
            <w14:solidFill>
              <w14:schemeClr w14:val="tx1"/>
            </w14:solidFill>
          </w14:textFill>
        </w:rPr>
        <w:t>1.22</w:t>
      </w:r>
      <w:r>
        <w:rPr>
          <w:rFonts w:hint="eastAsia" w:ascii="黑体" w:hAnsi="黑体" w:eastAsia="黑体" w:cs="黑体"/>
          <w:color w:val="000000" w:themeColor="text1"/>
          <w:kern w:val="0"/>
          <w:szCs w:val="21"/>
          <w14:textFill>
            <w14:solidFill>
              <w14:schemeClr w14:val="tx1"/>
            </w14:solidFill>
          </w14:textFill>
        </w:rPr>
        <w:t xml:space="preserve">% &lt; </w:t>
      </w:r>
      <w:r>
        <w:rPr>
          <w:rFonts w:ascii="黑体" w:hAnsi="黑体" w:eastAsia="黑体" w:cs="黑体"/>
          <w:color w:val="000000" w:themeColor="text1"/>
          <w:kern w:val="0"/>
          <w:szCs w:val="21"/>
          <w14:textFill>
            <w14:solidFill>
              <w14:schemeClr w14:val="tx1"/>
            </w14:solidFill>
          </w14:textFill>
        </w:rPr>
        <w:t>4</w:t>
      </w:r>
      <w:r>
        <w:rPr>
          <w:rFonts w:hint="eastAsia" w:ascii="黑体" w:hAnsi="黑体" w:eastAsia="黑体" w:cs="黑体"/>
          <w:color w:val="000000" w:themeColor="text1"/>
          <w:kern w:val="0"/>
          <w:szCs w:val="21"/>
          <w14:textFill>
            <w14:solidFill>
              <w14:schemeClr w14:val="tx1"/>
            </w14:solidFill>
          </w14:textFill>
        </w:rPr>
        <w:t>%，则产品管理人不提取浮动管理费。若赎回确认金额采取四舍五入后精确到小数点后2位，则投资者赎回份额的兑付金额为：10000份×0.9</w:t>
      </w:r>
      <w:r>
        <w:rPr>
          <w:rFonts w:ascii="黑体" w:hAnsi="黑体" w:eastAsia="黑体" w:cs="黑体"/>
          <w:color w:val="000000" w:themeColor="text1"/>
          <w:kern w:val="0"/>
          <w:szCs w:val="21"/>
          <w14:textFill>
            <w14:solidFill>
              <w14:schemeClr w14:val="tx1"/>
            </w14:solidFill>
          </w14:textFill>
        </w:rPr>
        <w:t>9</w:t>
      </w:r>
      <w:r>
        <w:rPr>
          <w:rFonts w:hint="eastAsia" w:ascii="黑体" w:hAnsi="黑体" w:eastAsia="黑体" w:cs="黑体"/>
          <w:color w:val="000000" w:themeColor="text1"/>
          <w:kern w:val="0"/>
          <w:szCs w:val="21"/>
          <w14:textFill>
            <w14:solidFill>
              <w14:schemeClr w14:val="tx1"/>
            </w14:solidFill>
          </w14:textFill>
        </w:rPr>
        <w:t>元/份＝9</w:t>
      </w:r>
      <w:r>
        <w:rPr>
          <w:rFonts w:ascii="黑体" w:hAnsi="黑体" w:eastAsia="黑体" w:cs="黑体"/>
          <w:color w:val="000000" w:themeColor="text1"/>
          <w:kern w:val="0"/>
          <w:szCs w:val="21"/>
          <w14:textFill>
            <w14:solidFill>
              <w14:schemeClr w14:val="tx1"/>
            </w14:solidFill>
          </w14:textFill>
        </w:rPr>
        <w:t>9</w:t>
      </w:r>
      <w:r>
        <w:rPr>
          <w:rFonts w:hint="eastAsia" w:ascii="黑体" w:hAnsi="黑体" w:eastAsia="黑体" w:cs="黑体"/>
          <w:color w:val="000000" w:themeColor="text1"/>
          <w:kern w:val="0"/>
          <w:szCs w:val="21"/>
          <w14:textFill>
            <w14:solidFill>
              <w14:schemeClr w14:val="tx1"/>
            </w14:solidFill>
          </w14:textFill>
        </w:rPr>
        <w:t>00.00元，投资者理财亏损</w:t>
      </w:r>
      <w:r>
        <w:rPr>
          <w:rFonts w:ascii="黑体" w:hAnsi="黑体" w:eastAsia="黑体" w:cs="黑体"/>
          <w:color w:val="000000" w:themeColor="text1"/>
          <w:kern w:val="0"/>
          <w:szCs w:val="21"/>
          <w14:textFill>
            <w14:solidFill>
              <w14:schemeClr w14:val="tx1"/>
            </w14:solidFill>
          </w14:textFill>
        </w:rPr>
        <w:t>1</w:t>
      </w:r>
      <w:r>
        <w:rPr>
          <w:rFonts w:hint="eastAsia" w:ascii="黑体" w:hAnsi="黑体" w:eastAsia="黑体" w:cs="黑体"/>
          <w:color w:val="000000" w:themeColor="text1"/>
          <w:kern w:val="0"/>
          <w:szCs w:val="21"/>
          <w14:textFill>
            <w14:solidFill>
              <w14:schemeClr w14:val="tx1"/>
            </w14:solidFill>
          </w14:textFill>
        </w:rPr>
        <w:t>00.00元。</w:t>
      </w:r>
    </w:p>
    <w:p w14:paraId="2931ECE1">
      <w:pPr>
        <w:autoSpaceDE w:val="0"/>
        <w:autoSpaceDN w:val="0"/>
        <w:adjustRightInd w:val="0"/>
        <w:ind w:firstLine="420" w:firstLineChars="200"/>
        <w:jc w:val="left"/>
        <w:rPr>
          <w:rFonts w:ascii="黑体" w:hAnsi="黑体" w:eastAsia="黑体" w:cs="黑体"/>
          <w:color w:val="000000" w:themeColor="text1"/>
          <w:kern w:val="0"/>
          <w:szCs w:val="21"/>
          <w14:textFill>
            <w14:solidFill>
              <w14:schemeClr w14:val="tx1"/>
            </w14:solidFill>
          </w14:textFill>
        </w:rPr>
      </w:pPr>
    </w:p>
    <w:p w14:paraId="7B5942C9">
      <w:pPr>
        <w:autoSpaceDE w:val="0"/>
        <w:autoSpaceDN w:val="0"/>
        <w:adjustRightInd w:val="0"/>
        <w:ind w:firstLine="422" w:firstLineChars="200"/>
        <w:jc w:val="left"/>
        <w:rPr>
          <w:rFonts w:ascii="黑体" w:hAnsi="黑体" w:eastAsia="黑体" w:cs="黑体"/>
          <w:kern w:val="0"/>
          <w:szCs w:val="21"/>
        </w:rPr>
      </w:pPr>
      <w:r>
        <w:rPr>
          <w:rFonts w:hint="eastAsia" w:ascii="黑体" w:hAnsi="黑体" w:eastAsia="黑体" w:cs="黑体"/>
          <w:b/>
          <w:bCs/>
          <w:kern w:val="0"/>
          <w:szCs w:val="21"/>
        </w:rPr>
        <w:t>上述示例采用假设数据计算，测算收益不等于实际收益，投资须谨慎。</w:t>
      </w:r>
    </w:p>
    <w:p w14:paraId="2A640B10">
      <w:pPr>
        <w:autoSpaceDE w:val="0"/>
        <w:autoSpaceDN w:val="0"/>
        <w:adjustRightInd w:val="0"/>
        <w:ind w:firstLine="422" w:firstLineChars="200"/>
        <w:jc w:val="left"/>
        <w:rPr>
          <w:rFonts w:ascii="黑体" w:hAnsi="黑体" w:eastAsia="黑体" w:cs="黑体"/>
          <w:b/>
          <w:bCs/>
          <w:kern w:val="0"/>
          <w:szCs w:val="21"/>
        </w:rPr>
      </w:pPr>
      <w:r>
        <w:rPr>
          <w:rFonts w:hint="eastAsia" w:ascii="黑体" w:hAnsi="黑体" w:eastAsia="黑体" w:cs="黑体"/>
          <w:b/>
          <w:bCs/>
          <w:kern w:val="0"/>
          <w:szCs w:val="21"/>
        </w:rPr>
        <w:t>在最不利情况下，投资者甚至可能损失全部本金。投资者应充分认识投资风险，谨慎投资。</w:t>
      </w:r>
    </w:p>
    <w:p w14:paraId="5B0929F8">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示例：如投资者购买本理财产品本金为</w:t>
      </w:r>
      <w:r>
        <w:rPr>
          <w:rFonts w:ascii="黑体" w:hAnsi="黑体" w:eastAsia="黑体" w:cs="黑体"/>
          <w:kern w:val="0"/>
          <w:szCs w:val="21"/>
        </w:rPr>
        <w:t>10,000.00元，在理财</w:t>
      </w:r>
      <w:r>
        <w:rPr>
          <w:rFonts w:hint="eastAsia" w:ascii="黑体" w:hAnsi="黑体" w:eastAsia="黑体" w:cs="黑体"/>
          <w:kern w:val="0"/>
          <w:szCs w:val="21"/>
        </w:rPr>
        <w:t>产品资产组合项下资产全部亏损的最不利情况下，理财产品</w:t>
      </w:r>
      <w:r>
        <w:rPr>
          <w:rFonts w:ascii="黑体" w:hAnsi="黑体" w:eastAsia="黑体" w:cs="黑体"/>
          <w:kern w:val="0"/>
          <w:szCs w:val="21"/>
        </w:rPr>
        <w:t>10,000.00元本金将全部损失</w:t>
      </w:r>
    </w:p>
    <w:p w14:paraId="6E0679F1">
      <w:pPr>
        <w:autoSpaceDE w:val="0"/>
        <w:autoSpaceDN w:val="0"/>
        <w:adjustRightInd w:val="0"/>
        <w:jc w:val="left"/>
        <w:rPr>
          <w:rFonts w:ascii="黑体" w:hAnsi="黑体" w:eastAsia="黑体" w:cs="宋体"/>
          <w:kern w:val="0"/>
          <w:szCs w:val="21"/>
        </w:rPr>
      </w:pPr>
      <w:r>
        <w:rPr>
          <w:rFonts w:hint="eastAsia" w:ascii="黑体" w:hAnsi="黑体" w:eastAsia="黑体" w:cs="宋体"/>
          <w:kern w:val="0"/>
          <w:szCs w:val="21"/>
        </w:rPr>
        <w:t>（三）税收</w:t>
      </w:r>
    </w:p>
    <w:p w14:paraId="2BCE01CF">
      <w:pPr>
        <w:autoSpaceDE w:val="0"/>
        <w:autoSpaceDN w:val="0"/>
        <w:adjustRightInd w:val="0"/>
        <w:ind w:firstLine="422" w:firstLineChars="200"/>
        <w:jc w:val="left"/>
        <w:rPr>
          <w:rFonts w:ascii="黑体" w:hAnsi="黑体" w:eastAsia="黑体" w:cs="黑体"/>
          <w:b/>
          <w:kern w:val="0"/>
          <w:szCs w:val="21"/>
        </w:rPr>
      </w:pPr>
      <w:r>
        <w:rPr>
          <w:rFonts w:ascii="黑体" w:hAnsi="黑体" w:eastAsia="黑体" w:cs="黑体"/>
          <w:b/>
          <w:kern w:val="0"/>
          <w:szCs w:val="21"/>
        </w:rPr>
        <w:t>1、</w:t>
      </w:r>
      <w:r>
        <w:rPr>
          <w:rFonts w:hint="eastAsia" w:ascii="黑体" w:hAnsi="黑体" w:eastAsia="黑体" w:cs="黑体"/>
          <w:b/>
          <w:kern w:val="0"/>
          <w:szCs w:val="21"/>
        </w:rPr>
        <w:t>根据财政部、国家税务总局相关税收监管政策的规定，理财产品运营过程中发生的增值税应税行为，</w:t>
      </w:r>
      <w:r>
        <w:rPr>
          <w:rFonts w:ascii="黑体" w:hAnsi="黑体" w:eastAsia="黑体" w:cs="黑体"/>
          <w:b/>
          <w:kern w:val="0"/>
          <w:szCs w:val="21"/>
        </w:rPr>
        <w:t>以</w:t>
      </w:r>
      <w:r>
        <w:rPr>
          <w:rFonts w:hint="eastAsia" w:ascii="黑体" w:hAnsi="黑体" w:eastAsia="黑体" w:cs="黑体"/>
          <w:b/>
          <w:kern w:val="0"/>
          <w:szCs w:val="21"/>
        </w:rPr>
        <w:t>理财产品为增值税纳税主体，计算并缴纳增值税及附加税费。产品</w:t>
      </w:r>
      <w:r>
        <w:rPr>
          <w:rFonts w:ascii="黑体" w:hAnsi="黑体" w:eastAsia="黑体" w:cs="黑体"/>
          <w:b/>
          <w:kern w:val="0"/>
          <w:szCs w:val="21"/>
        </w:rPr>
        <w:t>管理人将按照相关规定计算应缴纳的税费，</w:t>
      </w:r>
      <w:r>
        <w:rPr>
          <w:rFonts w:hint="eastAsia" w:ascii="黑体" w:hAnsi="黑体" w:eastAsia="黑体" w:cs="黑体"/>
          <w:b/>
          <w:kern w:val="0"/>
          <w:szCs w:val="21"/>
        </w:rPr>
        <w:t>并</w:t>
      </w:r>
      <w:r>
        <w:rPr>
          <w:rFonts w:ascii="黑体" w:hAnsi="黑体" w:eastAsia="黑体" w:cs="黑体"/>
          <w:b/>
          <w:kern w:val="0"/>
          <w:szCs w:val="21"/>
        </w:rPr>
        <w:t>从本产品财产中</w:t>
      </w:r>
      <w:r>
        <w:rPr>
          <w:rFonts w:hint="eastAsia" w:ascii="黑体" w:hAnsi="黑体" w:eastAsia="黑体" w:cs="黑体"/>
          <w:b/>
          <w:kern w:val="0"/>
          <w:szCs w:val="21"/>
        </w:rPr>
        <w:t>扣除</w:t>
      </w:r>
      <w:r>
        <w:rPr>
          <w:rFonts w:ascii="黑体" w:hAnsi="黑体" w:eastAsia="黑体" w:cs="黑体"/>
          <w:b/>
          <w:kern w:val="0"/>
          <w:szCs w:val="21"/>
        </w:rPr>
        <w:t>。</w:t>
      </w:r>
    </w:p>
    <w:p w14:paraId="09464649">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2</w:t>
      </w:r>
      <w:r>
        <w:rPr>
          <w:rFonts w:hint="eastAsia" w:ascii="黑体" w:hAnsi="黑体" w:eastAsia="黑体" w:cs="黑体"/>
          <w:kern w:val="0"/>
          <w:szCs w:val="21"/>
        </w:rPr>
        <w:t>、除法律法规</w:t>
      </w:r>
      <w:r>
        <w:rPr>
          <w:rFonts w:ascii="黑体" w:hAnsi="黑体" w:eastAsia="黑体" w:cs="黑体"/>
          <w:kern w:val="0"/>
          <w:szCs w:val="21"/>
        </w:rPr>
        <w:t>特别要求外，投资者应缴纳的</w:t>
      </w:r>
      <w:r>
        <w:rPr>
          <w:rFonts w:hint="eastAsia" w:ascii="黑体" w:hAnsi="黑体" w:eastAsia="黑体" w:cs="黑体"/>
          <w:kern w:val="0"/>
          <w:szCs w:val="21"/>
        </w:rPr>
        <w:t>税费</w:t>
      </w:r>
      <w:r>
        <w:rPr>
          <w:rFonts w:ascii="黑体" w:hAnsi="黑体" w:eastAsia="黑体" w:cs="黑体"/>
          <w:kern w:val="0"/>
          <w:szCs w:val="21"/>
        </w:rPr>
        <w:t>由投资者</w:t>
      </w:r>
      <w:r>
        <w:rPr>
          <w:rFonts w:hint="eastAsia" w:ascii="黑体" w:hAnsi="黑体" w:eastAsia="黑体" w:cs="黑体"/>
          <w:kern w:val="0"/>
          <w:szCs w:val="21"/>
        </w:rPr>
        <w:t>自行缴纳</w:t>
      </w:r>
      <w:r>
        <w:rPr>
          <w:rFonts w:ascii="黑体" w:hAnsi="黑体" w:eastAsia="黑体" w:cs="黑体"/>
          <w:kern w:val="0"/>
          <w:szCs w:val="21"/>
        </w:rPr>
        <w:t>，</w:t>
      </w:r>
      <w:r>
        <w:rPr>
          <w:rFonts w:hint="eastAsia" w:ascii="黑体" w:hAnsi="黑体" w:eastAsia="黑体" w:cs="黑体"/>
          <w:kern w:val="0"/>
          <w:szCs w:val="21"/>
        </w:rPr>
        <w:t>产品管理人</w:t>
      </w:r>
      <w:r>
        <w:rPr>
          <w:rFonts w:ascii="黑体" w:hAnsi="黑体" w:eastAsia="黑体" w:cs="黑体"/>
          <w:kern w:val="0"/>
          <w:szCs w:val="21"/>
        </w:rPr>
        <w:t>不承担代扣代缴或纳税的义务。</w:t>
      </w:r>
    </w:p>
    <w:p w14:paraId="09810798">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3</w:t>
      </w:r>
      <w:r>
        <w:rPr>
          <w:rFonts w:hint="eastAsia" w:ascii="黑体" w:hAnsi="黑体" w:eastAsia="黑体" w:cs="黑体"/>
          <w:kern w:val="0"/>
          <w:szCs w:val="21"/>
        </w:rPr>
        <w:t>、后续国家法律法规如对相关税收政策进行调整，产品管理人有权根据税收政策相应调整理财产品运营过程中发生的税费计算及</w:t>
      </w:r>
      <w:r>
        <w:rPr>
          <w:rFonts w:ascii="黑体" w:hAnsi="黑体" w:eastAsia="黑体" w:cs="黑体"/>
          <w:kern w:val="0"/>
          <w:szCs w:val="21"/>
        </w:rPr>
        <w:t>缴纳</w:t>
      </w:r>
      <w:r>
        <w:rPr>
          <w:rFonts w:hint="eastAsia" w:ascii="黑体" w:hAnsi="黑体" w:eastAsia="黑体" w:cs="黑体"/>
          <w:kern w:val="0"/>
          <w:szCs w:val="21"/>
        </w:rPr>
        <w:t>方式。</w:t>
      </w:r>
    </w:p>
    <w:p w14:paraId="2A4E6FB7">
      <w:pPr>
        <w:autoSpaceDE w:val="0"/>
        <w:autoSpaceDN w:val="0"/>
        <w:adjustRightInd w:val="0"/>
        <w:ind w:firstLine="495" w:firstLineChars="236"/>
        <w:jc w:val="left"/>
        <w:rPr>
          <w:rFonts w:ascii="黑体" w:hAnsi="黑体" w:eastAsia="黑体" w:cs="黑体"/>
          <w:kern w:val="0"/>
          <w:szCs w:val="21"/>
        </w:rPr>
      </w:pPr>
    </w:p>
    <w:p w14:paraId="3A826B67">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七、理财产品到期与终止</w:t>
      </w:r>
    </w:p>
    <w:p w14:paraId="385F3273">
      <w:pPr>
        <w:autoSpaceDE w:val="0"/>
        <w:autoSpaceDN w:val="0"/>
        <w:adjustRightInd w:val="0"/>
        <w:ind w:firstLine="422" w:firstLineChars="200"/>
        <w:jc w:val="left"/>
        <w:rPr>
          <w:rFonts w:ascii="黑体" w:hAnsi="黑体" w:eastAsia="黑体" w:cs="黑体"/>
          <w:b/>
          <w:kern w:val="0"/>
          <w:szCs w:val="21"/>
        </w:rPr>
      </w:pPr>
      <w:r>
        <w:rPr>
          <w:rFonts w:ascii="黑体" w:hAnsi="黑体" w:eastAsia="黑体" w:cs="黑体"/>
          <w:b/>
          <w:kern w:val="0"/>
          <w:szCs w:val="21"/>
        </w:rPr>
        <w:t>1</w:t>
      </w:r>
      <w:r>
        <w:rPr>
          <w:rFonts w:hint="eastAsia" w:ascii="黑体" w:hAnsi="黑体" w:eastAsia="黑体" w:cs="黑体"/>
          <w:b/>
          <w:kern w:val="0"/>
          <w:szCs w:val="21"/>
        </w:rPr>
        <w:t>、正常兑付</w:t>
      </w:r>
    </w:p>
    <w:p w14:paraId="371F2C10">
      <w:pPr>
        <w:autoSpaceDE w:val="0"/>
        <w:autoSpaceDN w:val="0"/>
        <w:adjustRightInd w:val="0"/>
        <w:ind w:firstLine="422" w:firstLineChars="200"/>
        <w:jc w:val="left"/>
        <w:rPr>
          <w:rFonts w:ascii="黑体" w:hAnsi="黑体" w:eastAsia="黑体" w:cs="黑体"/>
          <w:b/>
          <w:kern w:val="0"/>
          <w:szCs w:val="21"/>
        </w:rPr>
      </w:pPr>
      <w:r>
        <w:rPr>
          <w:rFonts w:hint="eastAsia" w:ascii="黑体" w:hAnsi="黑体" w:eastAsia="黑体" w:cs="黑体"/>
          <w:b/>
          <w:kern w:val="0"/>
          <w:szCs w:val="21"/>
        </w:rPr>
        <w:t>投资者持有产品至产品到期日，投资者的理财产品投资本金（如有）和收益（如有）在产品到期后一次性支付。投资者理财产品投资本金（如有）和收益（如有）将于产品到期日后</w:t>
      </w:r>
      <w:r>
        <w:rPr>
          <w:rFonts w:ascii="黑体" w:hAnsi="黑体" w:eastAsia="黑体" w:cs="黑体"/>
          <w:b/>
          <w:kern w:val="0"/>
          <w:szCs w:val="21"/>
        </w:rPr>
        <w:t>5</w:t>
      </w:r>
      <w:r>
        <w:rPr>
          <w:rFonts w:hint="eastAsia" w:ascii="黑体" w:hAnsi="黑体" w:eastAsia="黑体" w:cs="黑体"/>
          <w:b/>
          <w:kern w:val="0"/>
          <w:szCs w:val="21"/>
        </w:rPr>
        <w:t>个工作日内划转至投资者指定账户，如遇法定节假日或公休日则顺延。产品到期日至资金实际到账日之间，投资者资金不计息。</w:t>
      </w:r>
    </w:p>
    <w:p w14:paraId="41EA23D3">
      <w:pPr>
        <w:autoSpaceDE w:val="0"/>
        <w:autoSpaceDN w:val="0"/>
        <w:adjustRightInd w:val="0"/>
        <w:ind w:firstLine="422" w:firstLineChars="200"/>
        <w:jc w:val="left"/>
        <w:rPr>
          <w:rFonts w:ascii="黑体" w:hAnsi="黑体" w:eastAsia="黑体" w:cs="黑体"/>
          <w:b/>
          <w:kern w:val="0"/>
          <w:szCs w:val="21"/>
        </w:rPr>
      </w:pPr>
      <w:r>
        <w:rPr>
          <w:rFonts w:ascii="黑体" w:hAnsi="黑体" w:eastAsia="黑体" w:cs="黑体"/>
          <w:b/>
          <w:kern w:val="0"/>
          <w:szCs w:val="21"/>
        </w:rPr>
        <w:t>2、提前终止</w:t>
      </w:r>
    </w:p>
    <w:p w14:paraId="366904A5">
      <w:pPr>
        <w:autoSpaceDE w:val="0"/>
        <w:autoSpaceDN w:val="0"/>
        <w:adjustRightInd w:val="0"/>
        <w:ind w:firstLine="422" w:firstLineChars="200"/>
        <w:jc w:val="left"/>
        <w:rPr>
          <w:rFonts w:ascii="黑体" w:hAnsi="黑体" w:eastAsia="黑体" w:cs="黑体"/>
          <w:b/>
          <w:kern w:val="0"/>
          <w:szCs w:val="21"/>
        </w:rPr>
      </w:pPr>
      <w:r>
        <w:rPr>
          <w:rFonts w:hint="eastAsia" w:ascii="黑体" w:hAnsi="黑体" w:eastAsia="黑体" w:cs="黑体"/>
          <w:b/>
          <w:kern w:val="0"/>
          <w:szCs w:val="21"/>
        </w:rPr>
        <w:t>本产品单一份额如遇存续规模大幅下降、存续份额低于</w:t>
      </w:r>
      <w:r>
        <w:rPr>
          <w:rFonts w:ascii="黑体" w:hAnsi="黑体" w:eastAsia="黑体" w:cs="黑体"/>
          <w:b/>
          <w:kern w:val="0"/>
          <w:szCs w:val="21"/>
        </w:rPr>
        <w:t>1000万等情况，或产品管理人认为影响份额运作需要提前终止的其他情况，管理人有权根据产品实际运作情况对该份额进行终止，不晚于终止日当日以投资者可接收的方式对终止运作的份额持有人下发终止告知函，并在终止日后5个工作日内以投资者可接收的方式对终止运作的份额持有人下发终止公告，相关兑付安排规则将在终止公告中披露，前述份额终止情形不影响本文件其他条款的有效性。</w:t>
      </w:r>
    </w:p>
    <w:p w14:paraId="4E6D3077">
      <w:pPr>
        <w:autoSpaceDE w:val="0"/>
        <w:autoSpaceDN w:val="0"/>
        <w:adjustRightInd w:val="0"/>
        <w:ind w:firstLine="422" w:firstLineChars="200"/>
        <w:jc w:val="left"/>
        <w:rPr>
          <w:rFonts w:ascii="黑体" w:hAnsi="黑体" w:eastAsia="黑体" w:cs="黑体"/>
          <w:b/>
          <w:kern w:val="0"/>
          <w:szCs w:val="21"/>
        </w:rPr>
      </w:pPr>
      <w:r>
        <w:rPr>
          <w:rFonts w:hint="eastAsia" w:ascii="黑体" w:hAnsi="黑体" w:eastAsia="黑体" w:cs="黑体"/>
          <w:b/>
          <w:kern w:val="0"/>
          <w:szCs w:val="21"/>
        </w:rPr>
        <w:t>在本产品存续期内，如遇包括但不限于国家金融政策发生重大调整、金融市场发生重大波动、</w:t>
      </w:r>
      <w:r>
        <w:rPr>
          <w:rFonts w:ascii="黑体" w:hAnsi="黑体" w:eastAsia="黑体" w:cs="黑体"/>
          <w:b/>
          <w:kern w:val="0"/>
          <w:szCs w:val="21"/>
        </w:rPr>
        <w:t>不可抗力</w:t>
      </w:r>
      <w:r>
        <w:rPr>
          <w:rFonts w:hint="eastAsia" w:ascii="黑体" w:hAnsi="黑体" w:eastAsia="黑体" w:cs="黑体"/>
          <w:b/>
          <w:kern w:val="0"/>
          <w:szCs w:val="21"/>
        </w:rPr>
        <w:t>、产品存续规模低于产品最低成立规模或产品管理人认为影响产品运作需要提前终止产品的其他情况，产品管理人有权提前终止产品，并至少于提前终止日前</w:t>
      </w:r>
      <w:r>
        <w:rPr>
          <w:rFonts w:ascii="黑体" w:hAnsi="黑体" w:eastAsia="黑体" w:cs="黑体"/>
          <w:b/>
          <w:kern w:val="0"/>
          <w:szCs w:val="21"/>
        </w:rPr>
        <w:t>3</w:t>
      </w:r>
      <w:r>
        <w:rPr>
          <w:rFonts w:hint="eastAsia" w:ascii="黑体" w:hAnsi="黑体" w:eastAsia="黑体" w:cs="黑体"/>
          <w:b/>
          <w:kern w:val="0"/>
          <w:szCs w:val="21"/>
        </w:rPr>
        <w:t>个工作日进行公告，相关兑付</w:t>
      </w:r>
      <w:r>
        <w:rPr>
          <w:rFonts w:ascii="黑体" w:hAnsi="黑体" w:eastAsia="黑体" w:cs="黑体"/>
          <w:b/>
          <w:kern w:val="0"/>
          <w:szCs w:val="21"/>
        </w:rPr>
        <w:t>安排规则</w:t>
      </w:r>
      <w:r>
        <w:rPr>
          <w:rFonts w:hint="eastAsia" w:ascii="黑体" w:hAnsi="黑体" w:eastAsia="黑体" w:cs="黑体"/>
          <w:b/>
          <w:kern w:val="0"/>
          <w:szCs w:val="21"/>
        </w:rPr>
        <w:t>将在</w:t>
      </w:r>
      <w:r>
        <w:rPr>
          <w:rFonts w:ascii="黑体" w:hAnsi="黑体" w:eastAsia="黑体" w:cs="黑体"/>
          <w:b/>
          <w:kern w:val="0"/>
          <w:szCs w:val="21"/>
        </w:rPr>
        <w:t>公告</w:t>
      </w:r>
      <w:r>
        <w:rPr>
          <w:rFonts w:hint="eastAsia" w:ascii="黑体" w:hAnsi="黑体" w:eastAsia="黑体" w:cs="黑体"/>
          <w:b/>
          <w:kern w:val="0"/>
          <w:szCs w:val="21"/>
        </w:rPr>
        <w:t>中</w:t>
      </w:r>
      <w:r>
        <w:rPr>
          <w:rFonts w:ascii="黑体" w:hAnsi="黑体" w:eastAsia="黑体" w:cs="黑体"/>
          <w:b/>
          <w:kern w:val="0"/>
          <w:szCs w:val="21"/>
        </w:rPr>
        <w:t>披露。</w:t>
      </w:r>
    </w:p>
    <w:p w14:paraId="4DE924C3">
      <w:pPr>
        <w:autoSpaceDE w:val="0"/>
        <w:autoSpaceDN w:val="0"/>
        <w:adjustRightInd w:val="0"/>
        <w:ind w:firstLine="422" w:firstLineChars="200"/>
        <w:jc w:val="left"/>
        <w:rPr>
          <w:rFonts w:ascii="黑体" w:hAnsi="黑体" w:eastAsia="黑体" w:cs="黑体"/>
          <w:b/>
          <w:kern w:val="0"/>
          <w:szCs w:val="21"/>
        </w:rPr>
      </w:pPr>
      <w:r>
        <w:rPr>
          <w:rFonts w:ascii="黑体" w:hAnsi="黑体" w:eastAsia="黑体" w:cs="黑体"/>
          <w:b/>
          <w:kern w:val="0"/>
          <w:szCs w:val="21"/>
        </w:rPr>
        <w:t>3、其他情况</w:t>
      </w:r>
    </w:p>
    <w:p w14:paraId="074D976D">
      <w:pPr>
        <w:autoSpaceDE w:val="0"/>
        <w:autoSpaceDN w:val="0"/>
        <w:adjustRightInd w:val="0"/>
        <w:ind w:firstLine="422" w:firstLineChars="200"/>
        <w:jc w:val="left"/>
        <w:rPr>
          <w:rFonts w:ascii="黑体" w:hAnsi="黑体" w:eastAsia="黑体" w:cs="黑体"/>
          <w:b/>
          <w:kern w:val="0"/>
          <w:szCs w:val="21"/>
        </w:rPr>
      </w:pPr>
      <w:r>
        <w:rPr>
          <w:rFonts w:hint="eastAsia" w:ascii="黑体" w:hAnsi="黑体" w:eastAsia="黑体" w:cs="黑体"/>
          <w:b/>
          <w:kern w:val="0"/>
          <w:szCs w:val="21"/>
        </w:rPr>
        <w:t>如果发生国家金融政策发生重大调整、流动性紧张、</w:t>
      </w:r>
      <w:r>
        <w:rPr>
          <w:rFonts w:ascii="黑体" w:hAnsi="黑体" w:eastAsia="黑体" w:cs="黑体"/>
          <w:b/>
          <w:kern w:val="0"/>
          <w:szCs w:val="21"/>
        </w:rPr>
        <w:t>市场环境变化</w:t>
      </w:r>
      <w:r>
        <w:rPr>
          <w:rFonts w:hint="eastAsia" w:ascii="黑体" w:hAnsi="黑体" w:eastAsia="黑体" w:cs="黑体"/>
          <w:b/>
          <w:kern w:val="0"/>
          <w:szCs w:val="21"/>
        </w:rPr>
        <w:t>或</w:t>
      </w:r>
      <w:r>
        <w:rPr>
          <w:rFonts w:ascii="黑体" w:hAnsi="黑体" w:eastAsia="黑体" w:cs="黑体"/>
          <w:b/>
          <w:kern w:val="0"/>
          <w:szCs w:val="21"/>
        </w:rPr>
        <w:t>不可抗力等特殊</w:t>
      </w:r>
      <w:r>
        <w:rPr>
          <w:rFonts w:hint="eastAsia" w:ascii="黑体" w:hAnsi="黑体" w:eastAsia="黑体" w:cs="黑体"/>
          <w:b/>
          <w:kern w:val="0"/>
          <w:szCs w:val="21"/>
        </w:rPr>
        <w:t>情形，造成本产品持有的基础资产无法及时、足额变现，产品管理人可以根据实际情况选择向投资者延迟兑付或者分次兑付，并于发生上述情形后的</w:t>
      </w:r>
      <w:r>
        <w:rPr>
          <w:rFonts w:ascii="黑体" w:hAnsi="黑体" w:eastAsia="黑体" w:cs="黑体"/>
          <w:b/>
          <w:kern w:val="0"/>
          <w:szCs w:val="21"/>
        </w:rPr>
        <w:t>2</w:t>
      </w:r>
      <w:r>
        <w:rPr>
          <w:rFonts w:hint="eastAsia" w:ascii="黑体" w:hAnsi="黑体" w:eastAsia="黑体" w:cs="黑体"/>
          <w:b/>
          <w:kern w:val="0"/>
          <w:szCs w:val="21"/>
        </w:rPr>
        <w:t>个工作日内公告兑付方案。</w:t>
      </w:r>
    </w:p>
    <w:p w14:paraId="1E208431">
      <w:pPr>
        <w:autoSpaceDE w:val="0"/>
        <w:autoSpaceDN w:val="0"/>
        <w:adjustRightInd w:val="0"/>
        <w:ind w:firstLine="420" w:firstLineChars="200"/>
        <w:jc w:val="left"/>
        <w:rPr>
          <w:rFonts w:ascii="黑体" w:hAnsi="黑体" w:eastAsia="黑体" w:cs="黑体"/>
          <w:kern w:val="0"/>
          <w:szCs w:val="21"/>
        </w:rPr>
      </w:pPr>
    </w:p>
    <w:p w14:paraId="0F5B30B9">
      <w:pPr>
        <w:autoSpaceDE w:val="0"/>
        <w:autoSpaceDN w:val="0"/>
        <w:adjustRightInd w:val="0"/>
        <w:jc w:val="left"/>
        <w:rPr>
          <w:rFonts w:ascii="黑体" w:hAnsi="黑体" w:eastAsia="黑体" w:cs="宋体"/>
          <w:b/>
          <w:kern w:val="0"/>
          <w:szCs w:val="21"/>
        </w:rPr>
      </w:pPr>
      <w:r>
        <w:rPr>
          <w:rFonts w:hint="eastAsia" w:ascii="黑体" w:hAnsi="黑体" w:eastAsia="黑体" w:cs="宋体"/>
          <w:b/>
          <w:kern w:val="0"/>
          <w:szCs w:val="21"/>
        </w:rPr>
        <w:t>八、托管机构和销售机构</w:t>
      </w:r>
    </w:p>
    <w:p w14:paraId="3B1BFB55">
      <w:pPr>
        <w:autoSpaceDE w:val="0"/>
        <w:autoSpaceDN w:val="0"/>
        <w:adjustRightInd w:val="0"/>
        <w:jc w:val="left"/>
        <w:rPr>
          <w:rFonts w:ascii="黑体" w:hAnsi="黑体" w:eastAsia="黑体" w:cs="宋体"/>
          <w:bCs/>
          <w:kern w:val="0"/>
          <w:szCs w:val="21"/>
        </w:rPr>
      </w:pPr>
      <w:r>
        <w:rPr>
          <w:rFonts w:hint="eastAsia" w:ascii="黑体" w:hAnsi="黑体" w:eastAsia="黑体" w:cs="宋体"/>
          <w:bCs/>
          <w:kern w:val="0"/>
          <w:szCs w:val="21"/>
        </w:rPr>
        <w:t>（一）托管机构基本信息：</w:t>
      </w:r>
    </w:p>
    <w:p w14:paraId="412D1227">
      <w:pPr>
        <w:autoSpaceDE w:val="0"/>
        <w:autoSpaceDN w:val="0"/>
        <w:adjustRightInd w:val="0"/>
        <w:ind w:left="420" w:leftChars="200"/>
        <w:jc w:val="left"/>
        <w:rPr>
          <w:rFonts w:ascii="黑体" w:hAnsi="黑体" w:eastAsia="黑体" w:cs="宋体"/>
          <w:kern w:val="0"/>
          <w:szCs w:val="21"/>
        </w:rPr>
      </w:pPr>
      <w:r>
        <w:rPr>
          <w:rFonts w:ascii="黑体" w:hAnsi="黑体" w:eastAsia="黑体" w:cs="宋体"/>
          <w:kern w:val="0"/>
          <w:szCs w:val="21"/>
        </w:rPr>
        <w:t>1、机构名称：</w:t>
      </w:r>
      <w:r>
        <w:rPr>
          <w:rFonts w:hint="eastAsia" w:ascii="黑体" w:hAnsi="黑体" w:eastAsia="黑体" w:cs="宋体"/>
          <w:kern w:val="0"/>
          <w:szCs w:val="21"/>
        </w:rPr>
        <w:t>宁波银行股份有限公司</w:t>
      </w:r>
    </w:p>
    <w:p w14:paraId="791E2A3F">
      <w:pPr>
        <w:autoSpaceDE w:val="0"/>
        <w:autoSpaceDN w:val="0"/>
        <w:adjustRightInd w:val="0"/>
        <w:ind w:firstLine="735" w:firstLineChars="350"/>
        <w:jc w:val="left"/>
        <w:rPr>
          <w:rFonts w:ascii="黑体" w:hAnsi="黑体" w:eastAsia="黑体" w:cs="宋体"/>
          <w:bCs/>
          <w:kern w:val="0"/>
          <w:szCs w:val="21"/>
        </w:rPr>
      </w:pPr>
      <w:r>
        <w:rPr>
          <w:rFonts w:hint="eastAsia" w:ascii="黑体" w:hAnsi="黑体" w:eastAsia="黑体" w:cs="宋体"/>
          <w:bCs/>
          <w:kern w:val="0"/>
          <w:szCs w:val="21"/>
        </w:rPr>
        <w:t>客服热线：</w:t>
      </w:r>
      <w:r>
        <w:rPr>
          <w:rFonts w:ascii="黑体" w:hAnsi="黑体" w:eastAsia="黑体" w:cs="宋体"/>
          <w:bCs/>
          <w:kern w:val="0"/>
          <w:szCs w:val="21"/>
        </w:rPr>
        <w:t>95574</w:t>
      </w:r>
    </w:p>
    <w:p w14:paraId="1547A90D">
      <w:pPr>
        <w:autoSpaceDE w:val="0"/>
        <w:autoSpaceDN w:val="0"/>
        <w:adjustRightInd w:val="0"/>
        <w:ind w:firstLine="735" w:firstLineChars="350"/>
        <w:jc w:val="left"/>
        <w:rPr>
          <w:rFonts w:ascii="Calibri" w:hAnsi="Calibri" w:eastAsia="黑体" w:cs="Calibri"/>
          <w:bCs/>
          <w:kern w:val="0"/>
          <w:szCs w:val="21"/>
        </w:rPr>
      </w:pPr>
      <w:r>
        <w:rPr>
          <w:rFonts w:hint="eastAsia" w:ascii="黑体" w:hAnsi="黑体" w:eastAsia="黑体" w:cs="宋体"/>
          <w:bCs/>
          <w:kern w:val="0"/>
          <w:szCs w:val="21"/>
        </w:rPr>
        <w:t>官方网站：</w:t>
      </w:r>
      <w:r>
        <w:rPr>
          <w:rFonts w:ascii="黑体" w:hAnsi="黑体" w:eastAsia="黑体" w:cs="宋体"/>
          <w:bCs/>
          <w:kern w:val="0"/>
          <w:szCs w:val="21"/>
        </w:rPr>
        <w:t>www.nbcb.com.cn</w:t>
      </w:r>
    </w:p>
    <w:p w14:paraId="07AA9A3B">
      <w:pPr>
        <w:autoSpaceDE w:val="0"/>
        <w:autoSpaceDN w:val="0"/>
        <w:adjustRightInd w:val="0"/>
        <w:ind w:firstLine="420" w:firstLineChars="200"/>
        <w:jc w:val="left"/>
        <w:rPr>
          <w:rFonts w:ascii="黑体" w:hAnsi="黑体" w:eastAsia="黑体" w:cs="宋体"/>
          <w:bCs/>
          <w:kern w:val="0"/>
          <w:szCs w:val="21"/>
        </w:rPr>
      </w:pPr>
      <w:r>
        <w:rPr>
          <w:rFonts w:hint="eastAsia" w:ascii="黑体" w:hAnsi="黑体" w:eastAsia="黑体" w:cs="宋体"/>
          <w:bCs/>
          <w:kern w:val="0"/>
          <w:szCs w:val="21"/>
        </w:rPr>
        <w:t>托管机构主要职责：</w:t>
      </w:r>
    </w:p>
    <w:p w14:paraId="3868D0D8">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1、安全</w:t>
      </w:r>
      <w:r>
        <w:rPr>
          <w:rFonts w:hint="eastAsia" w:ascii="黑体" w:hAnsi="黑体" w:eastAsia="黑体" w:cs="宋体"/>
          <w:kern w:val="0"/>
          <w:szCs w:val="21"/>
        </w:rPr>
        <w:t>托管理财资金及其所投资的资产或</w:t>
      </w:r>
      <w:r>
        <w:rPr>
          <w:rFonts w:hint="eastAsia" w:ascii="黑体" w:hAnsi="黑体" w:eastAsia="黑体" w:cs="黑体"/>
          <w:kern w:val="0"/>
          <w:szCs w:val="21"/>
        </w:rPr>
        <w:t>保管</w:t>
      </w:r>
      <w:r>
        <w:rPr>
          <w:rFonts w:hint="eastAsia" w:ascii="黑体" w:hAnsi="黑体" w:eastAsia="黑体" w:cs="宋体"/>
          <w:kern w:val="0"/>
          <w:szCs w:val="21"/>
        </w:rPr>
        <w:t>代表资产的权益凭证或</w:t>
      </w:r>
      <w:r>
        <w:rPr>
          <w:rFonts w:hint="eastAsia" w:ascii="黑体" w:hAnsi="黑体" w:eastAsia="黑体" w:cs="黑体"/>
          <w:kern w:val="0"/>
          <w:szCs w:val="21"/>
        </w:rPr>
        <w:t>财产清单；</w:t>
      </w:r>
    </w:p>
    <w:p w14:paraId="2820CBAE">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2、为本产品开设独立的托管账户，不同托管账户中的资产应当相互独立；</w:t>
      </w:r>
    </w:p>
    <w:p w14:paraId="0D32AA8E">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3、按照托管协议约定和</w:t>
      </w:r>
      <w:r>
        <w:rPr>
          <w:rFonts w:hint="eastAsia" w:ascii="黑体" w:hAnsi="黑体" w:eastAsia="黑体" w:cs="黑体"/>
          <w:kern w:val="0"/>
          <w:szCs w:val="21"/>
        </w:rPr>
        <w:t>产品管理人的投资指令，及时办理清算、交割事宜；</w:t>
      </w:r>
    </w:p>
    <w:p w14:paraId="392BFD22">
      <w:pPr>
        <w:autoSpaceDE w:val="0"/>
        <w:autoSpaceDN w:val="0"/>
        <w:adjustRightInd w:val="0"/>
        <w:ind w:firstLine="420" w:firstLineChars="200"/>
        <w:jc w:val="left"/>
        <w:rPr>
          <w:rFonts w:ascii="黑体" w:hAnsi="黑体" w:eastAsia="黑体" w:cs="宋体"/>
          <w:kern w:val="0"/>
          <w:szCs w:val="21"/>
        </w:rPr>
      </w:pPr>
      <w:r>
        <w:rPr>
          <w:rFonts w:ascii="黑体" w:hAnsi="黑体" w:eastAsia="黑体" w:cs="宋体"/>
          <w:kern w:val="0"/>
          <w:szCs w:val="21"/>
        </w:rPr>
        <w:t>4、记录理财资金划拨情况，保存产品管理人的资金用途说明；</w:t>
      </w:r>
    </w:p>
    <w:p w14:paraId="08622B83">
      <w:pPr>
        <w:autoSpaceDE w:val="0"/>
        <w:autoSpaceDN w:val="0"/>
        <w:adjustRightInd w:val="0"/>
        <w:ind w:firstLine="420" w:firstLineChars="200"/>
        <w:jc w:val="left"/>
        <w:rPr>
          <w:rFonts w:ascii="黑体" w:hAnsi="黑体" w:eastAsia="黑体" w:cs="宋体"/>
          <w:kern w:val="0"/>
          <w:szCs w:val="21"/>
        </w:rPr>
      </w:pPr>
      <w:r>
        <w:rPr>
          <w:rFonts w:ascii="黑体" w:hAnsi="黑体" w:eastAsia="黑体" w:cs="宋体"/>
          <w:kern w:val="0"/>
          <w:szCs w:val="21"/>
        </w:rPr>
        <w:t>5、负责本产品财产的会计核算；</w:t>
      </w:r>
    </w:p>
    <w:p w14:paraId="6BC5C2FB">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6</w:t>
      </w:r>
      <w:r>
        <w:rPr>
          <w:rFonts w:hint="eastAsia" w:ascii="黑体" w:hAnsi="黑体" w:eastAsia="黑体" w:cs="黑体"/>
          <w:kern w:val="0"/>
          <w:szCs w:val="21"/>
        </w:rPr>
        <w:t>、建立与产品管理人的对账机制，核对本产品财产交易记录、资金和财产账目、资产净值等数据；</w:t>
      </w:r>
    </w:p>
    <w:p w14:paraId="1CD5F645">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7</w:t>
      </w:r>
      <w:r>
        <w:rPr>
          <w:rFonts w:hint="eastAsia" w:ascii="黑体" w:hAnsi="黑体" w:eastAsia="黑体" w:cs="黑体"/>
          <w:kern w:val="0"/>
          <w:szCs w:val="21"/>
        </w:rPr>
        <w:t>、监督本产品投资运作；</w:t>
      </w:r>
    </w:p>
    <w:p w14:paraId="57557BDF">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8</w:t>
      </w:r>
      <w:r>
        <w:rPr>
          <w:rFonts w:hint="eastAsia" w:ascii="黑体" w:hAnsi="黑体" w:eastAsia="黑体" w:cs="黑体"/>
          <w:kern w:val="0"/>
          <w:szCs w:val="21"/>
        </w:rPr>
        <w:t>、办理与本产品托管业务活动相关的信息披露事项；</w:t>
      </w:r>
    </w:p>
    <w:p w14:paraId="057E0CCE">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9</w:t>
      </w:r>
      <w:r>
        <w:rPr>
          <w:rFonts w:hint="eastAsia" w:ascii="黑体" w:hAnsi="黑体" w:eastAsia="黑体" w:cs="黑体"/>
          <w:kern w:val="0"/>
          <w:szCs w:val="21"/>
        </w:rPr>
        <w:t>、将本产</w:t>
      </w:r>
      <w:r>
        <w:rPr>
          <w:rFonts w:ascii="黑体" w:hAnsi="黑体" w:eastAsia="黑体" w:cs="黑体"/>
          <w:kern w:val="0"/>
          <w:szCs w:val="21"/>
        </w:rPr>
        <w:t>品</w:t>
      </w:r>
      <w:r>
        <w:rPr>
          <w:rFonts w:hint="eastAsia" w:ascii="黑体" w:hAnsi="黑体" w:eastAsia="黑体" w:cs="黑体"/>
          <w:kern w:val="0"/>
          <w:szCs w:val="21"/>
        </w:rPr>
        <w:t>托管业务活动的记录、账册、报表和其他相关资料保存</w:t>
      </w:r>
      <w:r>
        <w:rPr>
          <w:rFonts w:ascii="黑体" w:hAnsi="黑体" w:eastAsia="黑体" w:cs="黑体"/>
          <w:kern w:val="0"/>
          <w:szCs w:val="21"/>
        </w:rPr>
        <w:t>15年以上；</w:t>
      </w:r>
    </w:p>
    <w:p w14:paraId="4FBDF8CD">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10</w:t>
      </w:r>
      <w:r>
        <w:rPr>
          <w:rFonts w:hint="eastAsia" w:ascii="黑体" w:hAnsi="黑体" w:eastAsia="黑体" w:cs="黑体"/>
          <w:kern w:val="0"/>
          <w:szCs w:val="21"/>
        </w:rPr>
        <w:t>、对本产品投资信息和相关资料承担保密责任，除法律、行政法规、规章规定、审计要求或者合同约定外，不得向任何机构或者个人提供相关信息和资料；</w:t>
      </w:r>
    </w:p>
    <w:p w14:paraId="151542D6">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11</w:t>
      </w:r>
      <w:r>
        <w:rPr>
          <w:rFonts w:hint="eastAsia" w:ascii="黑体" w:hAnsi="黑体" w:eastAsia="黑体" w:cs="黑体"/>
          <w:kern w:val="0"/>
          <w:szCs w:val="21"/>
        </w:rPr>
        <w:t>、每季度向产品管理人出具本产品的托管业务报告；</w:t>
      </w:r>
    </w:p>
    <w:p w14:paraId="1C2A550A">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12</w:t>
      </w:r>
      <w:r>
        <w:rPr>
          <w:rFonts w:hint="eastAsia" w:ascii="黑体" w:hAnsi="黑体" w:eastAsia="黑体" w:cs="黑体"/>
          <w:kern w:val="0"/>
          <w:szCs w:val="21"/>
        </w:rPr>
        <w:t>、法律、法规、国务院银行业监督管理机构规定的其他职责。</w:t>
      </w:r>
    </w:p>
    <w:p w14:paraId="5740E543">
      <w:pPr>
        <w:autoSpaceDE w:val="0"/>
        <w:autoSpaceDN w:val="0"/>
        <w:adjustRightInd w:val="0"/>
        <w:jc w:val="left"/>
        <w:rPr>
          <w:rFonts w:ascii="黑体" w:hAnsi="黑体" w:eastAsia="黑体" w:cs="宋体"/>
          <w:kern w:val="0"/>
          <w:szCs w:val="21"/>
        </w:rPr>
      </w:pPr>
      <w:bookmarkStart w:id="7" w:name="_Hlk33106867"/>
      <w:r>
        <w:rPr>
          <w:rFonts w:hint="eastAsia" w:ascii="黑体" w:hAnsi="黑体" w:eastAsia="黑体" w:cs="宋体"/>
          <w:kern w:val="0"/>
          <w:szCs w:val="21"/>
        </w:rPr>
        <w:t>（二）销售机构基本信息</w:t>
      </w:r>
    </w:p>
    <w:p w14:paraId="131BFD6B">
      <w:pPr>
        <w:autoSpaceDE w:val="0"/>
        <w:autoSpaceDN w:val="0"/>
        <w:adjustRightInd w:val="0"/>
        <w:ind w:left="420" w:leftChars="200"/>
        <w:jc w:val="left"/>
        <w:rPr>
          <w:rFonts w:ascii="Calibri" w:hAnsi="Calibri" w:eastAsia="黑体" w:cs="Calibri"/>
          <w:bCs/>
          <w:kern w:val="0"/>
          <w:szCs w:val="21"/>
        </w:rPr>
      </w:pPr>
      <w:r>
        <w:rPr>
          <w:rFonts w:ascii="黑体" w:hAnsi="黑体" w:eastAsia="黑体" w:cs="宋体"/>
          <w:kern w:val="0"/>
          <w:szCs w:val="21"/>
        </w:rPr>
        <w:t>1、</w:t>
      </w:r>
      <w:r>
        <w:rPr>
          <w:rFonts w:hint="eastAsia" w:ascii="黑体" w:hAnsi="黑体" w:eastAsia="黑体"/>
          <w:kern w:val="0"/>
        </w:rPr>
        <w:t>机构</w:t>
      </w:r>
      <w:r>
        <w:rPr>
          <w:rFonts w:hint="eastAsia" w:ascii="黑体" w:hAnsi="黑体" w:eastAsia="黑体" w:cs="宋体"/>
          <w:kern w:val="0"/>
          <w:szCs w:val="21"/>
        </w:rPr>
        <w:t>名称：宁银理财有限责任公司</w:t>
      </w:r>
    </w:p>
    <w:p w14:paraId="33D5ABDE">
      <w:pPr>
        <w:autoSpaceDE w:val="0"/>
        <w:autoSpaceDN w:val="0"/>
        <w:adjustRightInd w:val="0"/>
        <w:ind w:firstLine="735" w:firstLineChars="350"/>
        <w:jc w:val="left"/>
        <w:rPr>
          <w:rFonts w:ascii="黑体" w:hAnsi="黑体" w:eastAsia="黑体" w:cs="宋体"/>
          <w:kern w:val="0"/>
          <w:szCs w:val="21"/>
        </w:rPr>
      </w:pPr>
      <w:r>
        <w:rPr>
          <w:rFonts w:hint="eastAsia" w:ascii="黑体" w:hAnsi="黑体" w:eastAsia="黑体" w:cs="宋体"/>
          <w:kern w:val="0"/>
          <w:szCs w:val="21"/>
        </w:rPr>
        <w:t>客服热线：</w:t>
      </w:r>
      <w:r>
        <w:rPr>
          <w:rFonts w:ascii="黑体" w:hAnsi="黑体" w:eastAsia="黑体" w:cs="宋体"/>
          <w:kern w:val="0"/>
          <w:szCs w:val="21"/>
        </w:rPr>
        <w:t>400-099-5574</w:t>
      </w:r>
    </w:p>
    <w:p w14:paraId="610B91C9">
      <w:pPr>
        <w:autoSpaceDE w:val="0"/>
        <w:autoSpaceDN w:val="0"/>
        <w:adjustRightInd w:val="0"/>
        <w:ind w:firstLine="735" w:firstLineChars="350"/>
        <w:jc w:val="left"/>
        <w:rPr>
          <w:rFonts w:ascii="黑体" w:hAnsi="黑体" w:eastAsia="黑体" w:cs="宋体"/>
          <w:kern w:val="0"/>
          <w:szCs w:val="21"/>
        </w:rPr>
      </w:pPr>
      <w:r>
        <w:rPr>
          <w:rFonts w:hint="eastAsia" w:ascii="黑体" w:hAnsi="黑体" w:eastAsia="黑体" w:cs="宋体"/>
          <w:kern w:val="0"/>
          <w:szCs w:val="21"/>
        </w:rPr>
        <w:t>官方网站：</w:t>
      </w:r>
      <w:r>
        <w:rPr>
          <w:rFonts w:ascii="黑体" w:hAnsi="黑体" w:eastAsia="黑体" w:cs="宋体"/>
          <w:kern w:val="0"/>
          <w:szCs w:val="21"/>
        </w:rPr>
        <w:t>www.wmbnb.com</w:t>
      </w:r>
    </w:p>
    <w:p w14:paraId="23D5093B">
      <w:pPr>
        <w:pStyle w:val="26"/>
        <w:ind w:firstLine="420"/>
      </w:pPr>
      <w:r>
        <w:rPr>
          <w:rFonts w:hint="eastAsia"/>
        </w:rPr>
        <w:t>2、</w:t>
      </w:r>
      <w:r>
        <w:t>机构名称：宁波银行股份有限公司</w:t>
      </w:r>
      <w:r>
        <w:br w:type="textWrapping"/>
      </w:r>
      <w:r>
        <w:t xml:space="preserve">       客服热线：95574</w:t>
      </w:r>
      <w:r>
        <w:br w:type="textWrapping"/>
      </w:r>
      <w:r>
        <w:t xml:space="preserve">       官方网站：www.nbcb.com.cn</w:t>
      </w:r>
    </w:p>
    <w:p w14:paraId="0B6ABB61">
      <w:pPr>
        <w:autoSpaceDE w:val="0"/>
        <w:autoSpaceDN w:val="0"/>
        <w:adjustRightInd w:val="0"/>
        <w:ind w:left="420" w:leftChars="200"/>
        <w:jc w:val="left"/>
        <w:rPr>
          <w:rFonts w:ascii="Calibri" w:hAnsi="Calibri" w:eastAsia="黑体" w:cs="Calibri"/>
          <w:bCs/>
          <w:kern w:val="0"/>
          <w:szCs w:val="21"/>
        </w:rPr>
      </w:pPr>
      <w:r>
        <w:rPr>
          <w:rFonts w:hint="eastAsia" w:ascii="黑体" w:hAnsi="黑体" w:eastAsia="黑体" w:cs="宋体"/>
          <w:kern w:val="0"/>
          <w:szCs w:val="21"/>
        </w:rPr>
        <w:t>3</w:t>
      </w:r>
      <w:r>
        <w:rPr>
          <w:rFonts w:ascii="黑体" w:hAnsi="黑体" w:eastAsia="黑体" w:cs="宋体"/>
          <w:kern w:val="0"/>
          <w:szCs w:val="21"/>
        </w:rPr>
        <w:t>、</w:t>
      </w:r>
      <w:r>
        <w:rPr>
          <w:rFonts w:hint="eastAsia" w:ascii="黑体" w:hAnsi="黑体" w:eastAsia="黑体"/>
          <w:kern w:val="0"/>
        </w:rPr>
        <w:t>机构</w:t>
      </w:r>
      <w:r>
        <w:rPr>
          <w:rFonts w:hint="eastAsia" w:ascii="黑体" w:hAnsi="黑体" w:eastAsia="黑体" w:cs="宋体"/>
          <w:kern w:val="0"/>
          <w:szCs w:val="21"/>
        </w:rPr>
        <w:t>名称：浙江网商银行股份有限公司</w:t>
      </w:r>
    </w:p>
    <w:p w14:paraId="18A33695">
      <w:pPr>
        <w:autoSpaceDE w:val="0"/>
        <w:autoSpaceDN w:val="0"/>
        <w:adjustRightInd w:val="0"/>
        <w:ind w:firstLine="735" w:firstLineChars="350"/>
        <w:jc w:val="left"/>
        <w:rPr>
          <w:rFonts w:ascii="黑体" w:hAnsi="黑体" w:eastAsia="黑体" w:cs="宋体"/>
          <w:kern w:val="0"/>
          <w:szCs w:val="21"/>
        </w:rPr>
      </w:pPr>
      <w:r>
        <w:rPr>
          <w:rFonts w:hint="eastAsia" w:ascii="黑体" w:hAnsi="黑体" w:eastAsia="黑体" w:cs="宋体"/>
          <w:kern w:val="0"/>
          <w:szCs w:val="21"/>
        </w:rPr>
        <w:t>客服热线：</w:t>
      </w:r>
      <w:r>
        <w:rPr>
          <w:rFonts w:ascii="黑体" w:hAnsi="黑体" w:eastAsia="黑体" w:cs="宋体"/>
          <w:kern w:val="0"/>
          <w:szCs w:val="21"/>
        </w:rPr>
        <w:t>95188-3</w:t>
      </w:r>
    </w:p>
    <w:p w14:paraId="4871AA66">
      <w:pPr>
        <w:autoSpaceDE w:val="0"/>
        <w:autoSpaceDN w:val="0"/>
        <w:adjustRightInd w:val="0"/>
        <w:ind w:firstLine="735" w:firstLineChars="350"/>
        <w:jc w:val="left"/>
        <w:rPr>
          <w:rFonts w:ascii="黑体" w:hAnsi="黑体" w:eastAsia="黑体" w:cs="宋体"/>
          <w:kern w:val="0"/>
          <w:szCs w:val="21"/>
        </w:rPr>
      </w:pPr>
      <w:r>
        <w:rPr>
          <w:rFonts w:hint="eastAsia" w:ascii="黑体" w:hAnsi="黑体" w:eastAsia="黑体" w:cs="宋体"/>
          <w:kern w:val="0"/>
          <w:szCs w:val="21"/>
        </w:rPr>
        <w:t>官方网站：</w:t>
      </w:r>
      <w:r>
        <w:rPr>
          <w:rFonts w:ascii="黑体" w:hAnsi="黑体" w:eastAsia="黑体" w:cs="宋体"/>
          <w:kern w:val="0"/>
          <w:szCs w:val="21"/>
        </w:rPr>
        <w:fldChar w:fldCharType="begin"/>
      </w:r>
      <w:r>
        <w:rPr>
          <w:rFonts w:ascii="黑体" w:hAnsi="黑体" w:eastAsia="黑体" w:cs="宋体"/>
          <w:kern w:val="0"/>
          <w:szCs w:val="21"/>
        </w:rPr>
        <w:instrText xml:space="preserve"> HYPERLINK "http://www.mybank.cn" </w:instrText>
      </w:r>
      <w:r>
        <w:rPr>
          <w:rFonts w:ascii="黑体" w:hAnsi="黑体" w:eastAsia="黑体" w:cs="宋体"/>
          <w:kern w:val="0"/>
          <w:szCs w:val="21"/>
        </w:rPr>
        <w:fldChar w:fldCharType="separate"/>
      </w:r>
      <w:r>
        <w:rPr>
          <w:rStyle w:val="10"/>
          <w:rFonts w:ascii="黑体" w:hAnsi="黑体" w:eastAsia="黑体" w:cs="宋体"/>
          <w:kern w:val="0"/>
          <w:szCs w:val="21"/>
        </w:rPr>
        <w:t>www.mybank.cn</w:t>
      </w:r>
      <w:r>
        <w:rPr>
          <w:rFonts w:ascii="黑体" w:hAnsi="黑体" w:eastAsia="黑体" w:cs="宋体"/>
          <w:kern w:val="0"/>
          <w:szCs w:val="21"/>
        </w:rPr>
        <w:fldChar w:fldCharType="end"/>
      </w:r>
    </w:p>
    <w:p w14:paraId="68F84E93">
      <w:pPr>
        <w:autoSpaceDE w:val="0"/>
        <w:autoSpaceDN w:val="0"/>
        <w:adjustRightInd w:val="0"/>
        <w:jc w:val="left"/>
        <w:rPr>
          <w:rFonts w:hint="eastAsia" w:ascii="黑体" w:hAnsi="黑体" w:eastAsia="黑体" w:cs="宋体"/>
          <w:kern w:val="0"/>
          <w:szCs w:val="21"/>
          <w:lang w:val="en-US" w:eastAsia="zh-CN"/>
        </w:rPr>
      </w:pPr>
      <w:r>
        <w:rPr>
          <w:rFonts w:hint="eastAsia" w:ascii="黑体" w:hAnsi="黑体" w:eastAsia="黑体" w:cs="宋体"/>
          <w:kern w:val="0"/>
          <w:szCs w:val="21"/>
          <w:lang w:val="en-US" w:eastAsia="zh-CN"/>
        </w:rPr>
        <w:t xml:space="preserve">    4、机构名称：广东华兴银行股份有限公司</w:t>
      </w:r>
    </w:p>
    <w:p w14:paraId="13BC9FE5">
      <w:pPr>
        <w:autoSpaceDE w:val="0"/>
        <w:autoSpaceDN w:val="0"/>
        <w:adjustRightInd w:val="0"/>
        <w:ind w:firstLine="630" w:firstLineChars="300"/>
        <w:jc w:val="left"/>
        <w:rPr>
          <w:rFonts w:hint="eastAsia" w:ascii="黑体" w:hAnsi="黑体" w:eastAsia="黑体" w:cs="宋体"/>
          <w:kern w:val="0"/>
          <w:szCs w:val="21"/>
          <w:lang w:val="en-US" w:eastAsia="zh-CN"/>
        </w:rPr>
      </w:pPr>
      <w:r>
        <w:rPr>
          <w:rFonts w:hint="eastAsia" w:ascii="黑体" w:hAnsi="黑体" w:eastAsia="黑体" w:cs="宋体"/>
          <w:kern w:val="0"/>
          <w:szCs w:val="21"/>
          <w:lang w:val="en-US" w:eastAsia="zh-CN"/>
        </w:rPr>
        <w:t>客服热线：95091</w:t>
      </w:r>
    </w:p>
    <w:p w14:paraId="3647B31A">
      <w:pPr>
        <w:autoSpaceDE w:val="0"/>
        <w:autoSpaceDN w:val="0"/>
        <w:adjustRightInd w:val="0"/>
        <w:ind w:firstLine="630" w:firstLineChars="300"/>
        <w:jc w:val="left"/>
        <w:rPr>
          <w:rFonts w:hint="eastAsia" w:ascii="黑体" w:hAnsi="黑体" w:eastAsia="黑体" w:cs="宋体"/>
          <w:kern w:val="0"/>
          <w:szCs w:val="21"/>
          <w:lang w:val="en-US" w:eastAsia="zh-CN"/>
        </w:rPr>
      </w:pPr>
      <w:r>
        <w:rPr>
          <w:rFonts w:hint="eastAsia" w:ascii="黑体" w:hAnsi="黑体" w:eastAsia="黑体" w:cs="宋体"/>
          <w:kern w:val="0"/>
          <w:szCs w:val="21"/>
          <w:lang w:val="en-US" w:eastAsia="zh-CN"/>
        </w:rPr>
        <w:t>官方网站：www.ghbank.com.cn</w:t>
      </w:r>
    </w:p>
    <w:p w14:paraId="344C6513">
      <w:pPr>
        <w:pStyle w:val="26"/>
        <w:ind w:firstLine="420"/>
      </w:pPr>
      <w:r>
        <w:rPr>
          <w:rFonts w:hint="eastAsia"/>
          <w:lang w:val="en-US" w:eastAsia="zh-CN"/>
        </w:rPr>
        <w:t>5</w:t>
      </w:r>
      <w:r>
        <w:rPr>
          <w:rFonts w:hint="eastAsia"/>
        </w:rPr>
        <w:t>、</w:t>
      </w:r>
      <w:r>
        <w:t>机构名称：</w:t>
      </w:r>
      <w:r>
        <w:rPr>
          <w:rFonts w:hint="eastAsia"/>
        </w:rPr>
        <w:t>广州农村商业银行股份有限公司</w:t>
      </w:r>
      <w:r>
        <w:br w:type="textWrapping"/>
      </w:r>
      <w:r>
        <w:t xml:space="preserve">       客服热线：</w:t>
      </w:r>
      <w:r>
        <w:rPr>
          <w:rFonts w:hint="eastAsia"/>
        </w:rPr>
        <w:t>95313</w:t>
      </w:r>
      <w:r>
        <w:br w:type="textWrapping"/>
      </w:r>
      <w:r>
        <w:t xml:space="preserve">       官方网站：</w:t>
      </w:r>
      <w:r>
        <w:rPr>
          <w:rFonts w:hint="eastAsia"/>
        </w:rPr>
        <w:t>www.grcbank.com</w:t>
      </w:r>
    </w:p>
    <w:p w14:paraId="1CFDC1CF">
      <w:pPr>
        <w:autoSpaceDE w:val="0"/>
        <w:autoSpaceDN w:val="0"/>
        <w:adjustRightInd w:val="0"/>
        <w:ind w:left="420" w:leftChars="200"/>
        <w:jc w:val="left"/>
        <w:rPr>
          <w:rFonts w:ascii="Calibri" w:hAnsi="Calibri" w:eastAsia="黑体" w:cs="Calibri"/>
          <w:bCs/>
          <w:kern w:val="0"/>
          <w:szCs w:val="21"/>
        </w:rPr>
      </w:pPr>
      <w:r>
        <w:rPr>
          <w:rFonts w:hint="eastAsia" w:ascii="黑体" w:hAnsi="黑体" w:eastAsia="黑体" w:cs="宋体"/>
          <w:kern w:val="0"/>
          <w:szCs w:val="21"/>
          <w:lang w:val="en-US" w:eastAsia="zh-CN"/>
        </w:rPr>
        <w:t>6</w:t>
      </w:r>
      <w:r>
        <w:rPr>
          <w:rFonts w:ascii="黑体" w:hAnsi="黑体" w:eastAsia="黑体" w:cs="宋体"/>
          <w:kern w:val="0"/>
          <w:szCs w:val="21"/>
        </w:rPr>
        <w:t>、</w:t>
      </w:r>
      <w:r>
        <w:rPr>
          <w:rFonts w:hint="eastAsia" w:ascii="黑体" w:hAnsi="黑体" w:eastAsia="黑体"/>
          <w:kern w:val="0"/>
        </w:rPr>
        <w:t>机构</w:t>
      </w:r>
      <w:r>
        <w:rPr>
          <w:rFonts w:hint="eastAsia" w:ascii="黑体" w:hAnsi="黑体" w:eastAsia="黑体" w:cs="宋体"/>
          <w:kern w:val="0"/>
          <w:szCs w:val="21"/>
        </w:rPr>
        <w:t>名称：广州银行股份有限公司</w:t>
      </w:r>
    </w:p>
    <w:p w14:paraId="0E5404B2">
      <w:pPr>
        <w:autoSpaceDE w:val="0"/>
        <w:autoSpaceDN w:val="0"/>
        <w:adjustRightInd w:val="0"/>
        <w:ind w:firstLine="735" w:firstLineChars="350"/>
        <w:jc w:val="left"/>
        <w:rPr>
          <w:rFonts w:ascii="黑体" w:hAnsi="黑体" w:eastAsia="黑体" w:cs="宋体"/>
          <w:kern w:val="0"/>
          <w:szCs w:val="21"/>
        </w:rPr>
      </w:pPr>
      <w:r>
        <w:rPr>
          <w:rFonts w:hint="eastAsia" w:ascii="黑体" w:hAnsi="黑体" w:eastAsia="黑体" w:cs="宋体"/>
          <w:kern w:val="0"/>
          <w:szCs w:val="21"/>
        </w:rPr>
        <w:t>客服热线：400-83-96699</w:t>
      </w:r>
    </w:p>
    <w:p w14:paraId="1813C129">
      <w:pPr>
        <w:autoSpaceDE w:val="0"/>
        <w:autoSpaceDN w:val="0"/>
        <w:adjustRightInd w:val="0"/>
        <w:ind w:firstLine="735" w:firstLineChars="350"/>
        <w:jc w:val="left"/>
        <w:rPr>
          <w:rFonts w:ascii="黑体" w:hAnsi="黑体" w:eastAsia="黑体" w:cs="宋体"/>
          <w:kern w:val="0"/>
          <w:szCs w:val="21"/>
        </w:rPr>
      </w:pPr>
      <w:r>
        <w:rPr>
          <w:rFonts w:hint="eastAsia" w:ascii="黑体" w:hAnsi="黑体" w:eastAsia="黑体" w:cs="宋体"/>
          <w:kern w:val="0"/>
          <w:szCs w:val="21"/>
        </w:rPr>
        <w:t>官方网站：www.gzcb.com.cn</w:t>
      </w:r>
    </w:p>
    <w:p w14:paraId="3B8D5CE7">
      <w:pPr>
        <w:autoSpaceDE w:val="0"/>
        <w:autoSpaceDN w:val="0"/>
        <w:adjustRightInd w:val="0"/>
        <w:jc w:val="left"/>
        <w:rPr>
          <w:rFonts w:hint="eastAsia" w:ascii="黑体" w:hAnsi="黑体" w:eastAsia="黑体" w:cs="宋体"/>
          <w:kern w:val="0"/>
          <w:szCs w:val="21"/>
          <w:lang w:val="en-US" w:eastAsia="zh-CN"/>
        </w:rPr>
      </w:pPr>
      <w:r>
        <w:rPr>
          <w:rFonts w:hint="eastAsia" w:ascii="黑体" w:hAnsi="黑体" w:eastAsia="黑体" w:cs="宋体"/>
          <w:kern w:val="0"/>
          <w:szCs w:val="21"/>
          <w:lang w:val="en-US" w:eastAsia="zh-CN"/>
        </w:rPr>
        <w:t xml:space="preserve">    7、机构名称：四川天府银行股份有限公司</w:t>
      </w:r>
    </w:p>
    <w:p w14:paraId="3E0B3961">
      <w:pPr>
        <w:autoSpaceDE w:val="0"/>
        <w:autoSpaceDN w:val="0"/>
        <w:adjustRightInd w:val="0"/>
        <w:ind w:firstLine="630" w:firstLineChars="300"/>
        <w:jc w:val="left"/>
        <w:rPr>
          <w:rFonts w:hint="eastAsia" w:ascii="黑体" w:hAnsi="黑体" w:eastAsia="黑体" w:cs="宋体"/>
          <w:kern w:val="0"/>
          <w:szCs w:val="21"/>
          <w:lang w:val="en-US" w:eastAsia="zh-CN"/>
        </w:rPr>
      </w:pPr>
      <w:r>
        <w:rPr>
          <w:rFonts w:hint="eastAsia" w:ascii="黑体" w:hAnsi="黑体" w:eastAsia="黑体" w:cs="宋体"/>
          <w:kern w:val="0"/>
          <w:szCs w:val="21"/>
          <w:lang w:val="en-US" w:eastAsia="zh-CN"/>
        </w:rPr>
        <w:t>客服热线：4001696869</w:t>
      </w:r>
    </w:p>
    <w:p w14:paraId="34C2690F">
      <w:pPr>
        <w:autoSpaceDE w:val="0"/>
        <w:autoSpaceDN w:val="0"/>
        <w:adjustRightInd w:val="0"/>
        <w:ind w:firstLine="630" w:firstLineChars="300"/>
        <w:jc w:val="left"/>
        <w:rPr>
          <w:rFonts w:hint="eastAsia" w:ascii="黑体" w:hAnsi="黑体" w:eastAsia="黑体" w:cs="宋体"/>
          <w:kern w:val="0"/>
          <w:szCs w:val="21"/>
          <w:lang w:val="en-US" w:eastAsia="zh-CN"/>
        </w:rPr>
      </w:pPr>
      <w:r>
        <w:rPr>
          <w:rFonts w:hint="eastAsia" w:ascii="黑体" w:hAnsi="黑体" w:eastAsia="黑体" w:cs="宋体"/>
          <w:kern w:val="0"/>
          <w:szCs w:val="21"/>
          <w:lang w:val="en-US" w:eastAsia="zh-CN"/>
        </w:rPr>
        <w:t>官方网站：www.tf.cn</w:t>
      </w:r>
    </w:p>
    <w:p w14:paraId="126F9582">
      <w:pPr>
        <w:pStyle w:val="26"/>
        <w:ind w:firstLine="420"/>
      </w:pPr>
      <w:r>
        <w:rPr>
          <w:rFonts w:hint="eastAsia"/>
          <w:lang w:val="en-US" w:eastAsia="zh-CN"/>
        </w:rPr>
        <w:t>8</w:t>
      </w:r>
      <w:r>
        <w:rPr>
          <w:rFonts w:hint="eastAsia"/>
        </w:rPr>
        <w:t>、</w:t>
      </w:r>
      <w:r>
        <w:t>机构名称：</w:t>
      </w:r>
      <w:r>
        <w:rPr>
          <w:rFonts w:hint="eastAsia"/>
        </w:rPr>
        <w:t>中山农村商业银行股份有限公司</w:t>
      </w:r>
      <w:r>
        <w:br w:type="textWrapping"/>
      </w:r>
      <w:r>
        <w:t xml:space="preserve">       客服热线：</w:t>
      </w:r>
      <w:r>
        <w:rPr>
          <w:rFonts w:hint="eastAsia"/>
        </w:rPr>
        <w:t>020-96138</w:t>
      </w:r>
      <w:r>
        <w:br w:type="textWrapping"/>
      </w:r>
      <w:r>
        <w:t xml:space="preserve">       官方网站：</w:t>
      </w:r>
      <w:r>
        <w:rPr>
          <w:rFonts w:hint="eastAsia"/>
        </w:rPr>
        <w:t>www.zsebank.com</w:t>
      </w:r>
    </w:p>
    <w:p w14:paraId="1C413AE1">
      <w:pPr>
        <w:autoSpaceDE w:val="0"/>
        <w:autoSpaceDN w:val="0"/>
        <w:adjustRightInd w:val="0"/>
        <w:ind w:left="420" w:leftChars="200"/>
        <w:jc w:val="left"/>
        <w:rPr>
          <w:rFonts w:ascii="Calibri" w:hAnsi="Calibri" w:eastAsia="黑体" w:cs="Calibri"/>
          <w:bCs/>
          <w:kern w:val="0"/>
          <w:szCs w:val="21"/>
        </w:rPr>
      </w:pPr>
      <w:r>
        <w:rPr>
          <w:rFonts w:hint="eastAsia" w:ascii="黑体" w:hAnsi="黑体" w:eastAsia="黑体" w:cs="宋体"/>
          <w:kern w:val="0"/>
          <w:szCs w:val="21"/>
          <w:lang w:val="en-US" w:eastAsia="zh-CN"/>
        </w:rPr>
        <w:t>9</w:t>
      </w:r>
      <w:r>
        <w:rPr>
          <w:rFonts w:ascii="黑体" w:hAnsi="黑体" w:eastAsia="黑体" w:cs="宋体"/>
          <w:kern w:val="0"/>
          <w:szCs w:val="21"/>
        </w:rPr>
        <w:t>、</w:t>
      </w:r>
      <w:r>
        <w:rPr>
          <w:rFonts w:hint="eastAsia" w:ascii="黑体" w:hAnsi="黑体" w:eastAsia="黑体"/>
          <w:kern w:val="0"/>
        </w:rPr>
        <w:t>机构</w:t>
      </w:r>
      <w:r>
        <w:rPr>
          <w:rFonts w:hint="eastAsia" w:ascii="黑体" w:hAnsi="黑体" w:eastAsia="黑体" w:cs="宋体"/>
          <w:kern w:val="0"/>
          <w:szCs w:val="21"/>
        </w:rPr>
        <w:t>名称：广东南粤银行股份有限公司</w:t>
      </w:r>
    </w:p>
    <w:p w14:paraId="43FD3ED2">
      <w:pPr>
        <w:autoSpaceDE w:val="0"/>
        <w:autoSpaceDN w:val="0"/>
        <w:adjustRightInd w:val="0"/>
        <w:ind w:firstLine="735" w:firstLineChars="350"/>
        <w:jc w:val="left"/>
        <w:rPr>
          <w:rFonts w:ascii="黑体" w:hAnsi="黑体" w:eastAsia="黑体" w:cs="宋体"/>
          <w:kern w:val="0"/>
          <w:szCs w:val="21"/>
        </w:rPr>
      </w:pPr>
      <w:r>
        <w:rPr>
          <w:rFonts w:hint="eastAsia" w:ascii="黑体" w:hAnsi="黑体" w:eastAsia="黑体" w:cs="宋体"/>
          <w:kern w:val="0"/>
          <w:szCs w:val="21"/>
        </w:rPr>
        <w:t>客服热线：4000961818</w:t>
      </w:r>
    </w:p>
    <w:p w14:paraId="36141FF2">
      <w:pPr>
        <w:autoSpaceDE w:val="0"/>
        <w:autoSpaceDN w:val="0"/>
        <w:adjustRightInd w:val="0"/>
        <w:ind w:firstLine="735" w:firstLineChars="350"/>
        <w:jc w:val="left"/>
        <w:rPr>
          <w:rFonts w:ascii="黑体" w:hAnsi="黑体" w:eastAsia="黑体" w:cs="宋体"/>
          <w:kern w:val="0"/>
          <w:szCs w:val="21"/>
        </w:rPr>
      </w:pPr>
      <w:r>
        <w:rPr>
          <w:rFonts w:hint="eastAsia" w:ascii="黑体" w:hAnsi="黑体" w:eastAsia="黑体" w:cs="宋体"/>
          <w:kern w:val="0"/>
          <w:szCs w:val="21"/>
        </w:rPr>
        <w:t>官方网站：www.gdnybank.com</w:t>
      </w:r>
    </w:p>
    <w:p w14:paraId="56BFDDFA">
      <w:pPr>
        <w:autoSpaceDE w:val="0"/>
        <w:autoSpaceDN w:val="0"/>
        <w:adjustRightInd w:val="0"/>
        <w:jc w:val="left"/>
        <w:rPr>
          <w:rFonts w:hint="eastAsia" w:ascii="黑体" w:hAnsi="黑体" w:eastAsia="黑体" w:cs="宋体"/>
          <w:kern w:val="0"/>
          <w:szCs w:val="21"/>
          <w:lang w:val="en-US" w:eastAsia="zh-CN"/>
        </w:rPr>
      </w:pPr>
      <w:r>
        <w:rPr>
          <w:rFonts w:hint="eastAsia" w:ascii="黑体" w:hAnsi="黑体" w:eastAsia="黑体" w:cs="宋体"/>
          <w:kern w:val="0"/>
          <w:szCs w:val="21"/>
          <w:lang w:val="en-US" w:eastAsia="zh-CN"/>
        </w:rPr>
        <w:t xml:space="preserve">    10、机构名称：吉林银行股份有限公司</w:t>
      </w:r>
    </w:p>
    <w:p w14:paraId="6EF3CC6B">
      <w:pPr>
        <w:autoSpaceDE w:val="0"/>
        <w:autoSpaceDN w:val="0"/>
        <w:adjustRightInd w:val="0"/>
        <w:ind w:firstLine="630" w:firstLineChars="300"/>
        <w:jc w:val="left"/>
        <w:rPr>
          <w:rFonts w:hint="eastAsia" w:ascii="黑体" w:hAnsi="黑体" w:eastAsia="黑体" w:cs="宋体"/>
          <w:kern w:val="0"/>
          <w:szCs w:val="21"/>
          <w:lang w:val="en-US" w:eastAsia="zh-CN"/>
        </w:rPr>
      </w:pPr>
      <w:r>
        <w:rPr>
          <w:rFonts w:hint="eastAsia" w:ascii="黑体" w:hAnsi="黑体" w:eastAsia="黑体" w:cs="宋体"/>
          <w:kern w:val="0"/>
          <w:szCs w:val="21"/>
          <w:lang w:val="en-US" w:eastAsia="zh-CN"/>
        </w:rPr>
        <w:t>客服热线：400-88-96666</w:t>
      </w:r>
    </w:p>
    <w:p w14:paraId="01E0D369">
      <w:pPr>
        <w:autoSpaceDE w:val="0"/>
        <w:autoSpaceDN w:val="0"/>
        <w:adjustRightInd w:val="0"/>
        <w:ind w:firstLine="630" w:firstLineChars="300"/>
        <w:jc w:val="left"/>
        <w:rPr>
          <w:rFonts w:hint="eastAsia" w:ascii="黑体" w:hAnsi="黑体" w:eastAsia="黑体" w:cs="宋体"/>
          <w:kern w:val="0"/>
          <w:szCs w:val="21"/>
          <w:lang w:val="en-US" w:eastAsia="zh-CN"/>
        </w:rPr>
      </w:pPr>
      <w:r>
        <w:rPr>
          <w:rFonts w:hint="eastAsia" w:ascii="黑体" w:hAnsi="黑体" w:eastAsia="黑体" w:cs="宋体"/>
          <w:kern w:val="0"/>
          <w:szCs w:val="21"/>
          <w:lang w:val="en-US" w:eastAsia="zh-CN"/>
        </w:rPr>
        <w:t>官方网站：www.jlbank.com.cn</w:t>
      </w:r>
    </w:p>
    <w:p w14:paraId="4ED7984F">
      <w:pPr>
        <w:autoSpaceDE w:val="0"/>
        <w:autoSpaceDN w:val="0"/>
        <w:adjustRightInd w:val="0"/>
        <w:ind w:left="420" w:leftChars="200"/>
        <w:jc w:val="left"/>
        <w:rPr>
          <w:rFonts w:ascii="Calibri" w:hAnsi="Calibri" w:eastAsia="黑体" w:cs="Calibri"/>
          <w:bCs/>
          <w:kern w:val="0"/>
          <w:szCs w:val="21"/>
        </w:rPr>
      </w:pPr>
      <w:r>
        <w:rPr>
          <w:rFonts w:hint="eastAsia" w:ascii="黑体" w:hAnsi="黑体" w:eastAsia="黑体" w:cs="宋体"/>
          <w:kern w:val="0"/>
          <w:szCs w:val="21"/>
          <w:lang w:val="en-US" w:eastAsia="zh-CN"/>
        </w:rPr>
        <w:t>11</w:t>
      </w:r>
      <w:r>
        <w:rPr>
          <w:rFonts w:ascii="黑体" w:hAnsi="黑体" w:eastAsia="黑体" w:cs="宋体"/>
          <w:kern w:val="0"/>
          <w:szCs w:val="21"/>
        </w:rPr>
        <w:t>、</w:t>
      </w:r>
      <w:r>
        <w:rPr>
          <w:rFonts w:hint="eastAsia" w:ascii="黑体" w:hAnsi="黑体" w:eastAsia="黑体"/>
          <w:kern w:val="0"/>
        </w:rPr>
        <w:t>机构</w:t>
      </w:r>
      <w:r>
        <w:rPr>
          <w:rFonts w:hint="eastAsia" w:ascii="黑体" w:hAnsi="黑体" w:eastAsia="黑体" w:cs="宋体"/>
          <w:kern w:val="0"/>
          <w:szCs w:val="21"/>
        </w:rPr>
        <w:t>名称：哈尔滨银行股份有限公司</w:t>
      </w:r>
    </w:p>
    <w:p w14:paraId="3A072058">
      <w:pPr>
        <w:autoSpaceDE w:val="0"/>
        <w:autoSpaceDN w:val="0"/>
        <w:adjustRightInd w:val="0"/>
        <w:ind w:firstLine="735" w:firstLineChars="350"/>
        <w:jc w:val="left"/>
        <w:rPr>
          <w:rFonts w:ascii="黑体" w:hAnsi="黑体" w:eastAsia="黑体" w:cs="宋体"/>
          <w:kern w:val="0"/>
          <w:szCs w:val="21"/>
        </w:rPr>
      </w:pPr>
      <w:r>
        <w:rPr>
          <w:rFonts w:hint="eastAsia" w:ascii="黑体" w:hAnsi="黑体" w:eastAsia="黑体" w:cs="宋体"/>
          <w:kern w:val="0"/>
          <w:szCs w:val="21"/>
        </w:rPr>
        <w:t>客服热线：95537/4006095537</w:t>
      </w:r>
    </w:p>
    <w:p w14:paraId="53535103">
      <w:pPr>
        <w:autoSpaceDE w:val="0"/>
        <w:autoSpaceDN w:val="0"/>
        <w:adjustRightInd w:val="0"/>
        <w:ind w:firstLine="735" w:firstLineChars="350"/>
        <w:jc w:val="left"/>
        <w:rPr>
          <w:rFonts w:ascii="黑体" w:hAnsi="黑体" w:eastAsia="黑体" w:cs="宋体"/>
          <w:kern w:val="0"/>
          <w:szCs w:val="21"/>
        </w:rPr>
      </w:pPr>
      <w:r>
        <w:rPr>
          <w:rFonts w:hint="eastAsia" w:ascii="黑体" w:hAnsi="黑体" w:eastAsia="黑体" w:cs="宋体"/>
          <w:kern w:val="0"/>
          <w:szCs w:val="21"/>
        </w:rPr>
        <w:t>官方网站：</w:t>
      </w:r>
      <w:r>
        <w:rPr>
          <w:rFonts w:hint="eastAsia" w:ascii="黑体" w:hAnsi="黑体" w:eastAsia="黑体" w:cs="宋体"/>
          <w:kern w:val="0"/>
          <w:szCs w:val="21"/>
        </w:rPr>
        <w:tab/>
      </w:r>
      <w:r>
        <w:rPr>
          <w:rFonts w:hint="eastAsia" w:ascii="黑体" w:hAnsi="黑体" w:eastAsia="黑体" w:cs="宋体"/>
          <w:kern w:val="0"/>
          <w:szCs w:val="21"/>
        </w:rPr>
        <w:t>www.hrbb.com.cn</w:t>
      </w:r>
    </w:p>
    <w:p w14:paraId="0841329B">
      <w:pPr>
        <w:autoSpaceDE w:val="0"/>
        <w:autoSpaceDN w:val="0"/>
        <w:adjustRightInd w:val="0"/>
        <w:jc w:val="left"/>
        <w:rPr>
          <w:rFonts w:hint="eastAsia" w:ascii="黑体" w:hAnsi="黑体" w:eastAsia="黑体" w:cs="宋体"/>
          <w:kern w:val="0"/>
          <w:szCs w:val="21"/>
          <w:lang w:val="en-US" w:eastAsia="zh-CN"/>
        </w:rPr>
      </w:pPr>
      <w:r>
        <w:rPr>
          <w:rFonts w:hint="eastAsia" w:ascii="黑体" w:hAnsi="黑体" w:eastAsia="黑体" w:cs="宋体"/>
          <w:kern w:val="0"/>
          <w:szCs w:val="21"/>
          <w:lang w:val="en-US" w:eastAsia="zh-CN"/>
        </w:rPr>
        <w:t xml:space="preserve">    12、机构名称：广发银行股份有限公司</w:t>
      </w:r>
    </w:p>
    <w:p w14:paraId="38254E4C">
      <w:pPr>
        <w:autoSpaceDE w:val="0"/>
        <w:autoSpaceDN w:val="0"/>
        <w:adjustRightInd w:val="0"/>
        <w:ind w:firstLine="630" w:firstLineChars="300"/>
        <w:jc w:val="left"/>
        <w:rPr>
          <w:rFonts w:hint="eastAsia" w:ascii="黑体" w:hAnsi="黑体" w:eastAsia="黑体" w:cs="宋体"/>
          <w:kern w:val="0"/>
          <w:szCs w:val="21"/>
          <w:lang w:val="en-US" w:eastAsia="zh-CN"/>
        </w:rPr>
      </w:pPr>
      <w:r>
        <w:rPr>
          <w:rFonts w:hint="eastAsia" w:ascii="黑体" w:hAnsi="黑体" w:eastAsia="黑体" w:cs="宋体"/>
          <w:kern w:val="0"/>
          <w:szCs w:val="21"/>
          <w:lang w:val="en-US" w:eastAsia="zh-CN"/>
        </w:rPr>
        <w:t>客服热线：400-830-8003</w:t>
      </w:r>
    </w:p>
    <w:p w14:paraId="22442AAD">
      <w:pPr>
        <w:autoSpaceDE w:val="0"/>
        <w:autoSpaceDN w:val="0"/>
        <w:adjustRightInd w:val="0"/>
        <w:ind w:firstLine="630" w:firstLineChars="300"/>
        <w:jc w:val="left"/>
        <w:rPr>
          <w:rFonts w:hint="eastAsia" w:ascii="黑体" w:hAnsi="黑体" w:eastAsia="黑体" w:cs="宋体"/>
          <w:kern w:val="0"/>
          <w:szCs w:val="21"/>
          <w:lang w:val="en-US" w:eastAsia="zh-CN"/>
        </w:rPr>
      </w:pPr>
      <w:r>
        <w:rPr>
          <w:rFonts w:hint="eastAsia" w:ascii="黑体" w:hAnsi="黑体" w:eastAsia="黑体" w:cs="宋体"/>
          <w:kern w:val="0"/>
          <w:szCs w:val="21"/>
          <w:lang w:val="en-US" w:eastAsia="zh-CN"/>
        </w:rPr>
        <w:t>官方网站：www.cgbchina.com.cn</w:t>
      </w:r>
    </w:p>
    <w:p w14:paraId="30BA8DF5">
      <w:pPr>
        <w:autoSpaceDE w:val="0"/>
        <w:autoSpaceDN w:val="0"/>
        <w:adjustRightInd w:val="0"/>
        <w:ind w:left="420" w:leftChars="200"/>
        <w:jc w:val="left"/>
        <w:rPr>
          <w:rFonts w:ascii="Calibri" w:hAnsi="Calibri" w:eastAsia="黑体" w:cs="Calibri"/>
          <w:bCs/>
          <w:kern w:val="0"/>
          <w:szCs w:val="21"/>
        </w:rPr>
      </w:pPr>
      <w:r>
        <w:rPr>
          <w:rFonts w:hint="eastAsia" w:ascii="黑体" w:hAnsi="黑体" w:eastAsia="黑体" w:cs="宋体"/>
          <w:kern w:val="0"/>
          <w:szCs w:val="21"/>
          <w:lang w:val="en-US" w:eastAsia="zh-CN"/>
        </w:rPr>
        <w:t>13</w:t>
      </w:r>
      <w:r>
        <w:rPr>
          <w:rFonts w:ascii="黑体" w:hAnsi="黑体" w:eastAsia="黑体" w:cs="宋体"/>
          <w:kern w:val="0"/>
          <w:szCs w:val="21"/>
        </w:rPr>
        <w:t>、</w:t>
      </w:r>
      <w:r>
        <w:rPr>
          <w:rFonts w:hint="eastAsia" w:ascii="黑体" w:hAnsi="黑体" w:eastAsia="黑体"/>
          <w:kern w:val="0"/>
        </w:rPr>
        <w:t>机构</w:t>
      </w:r>
      <w:r>
        <w:rPr>
          <w:rFonts w:hint="eastAsia" w:ascii="黑体" w:hAnsi="黑体" w:eastAsia="黑体" w:cs="宋体"/>
          <w:kern w:val="0"/>
          <w:szCs w:val="21"/>
        </w:rPr>
        <w:t>名称：青岛农村商业银行股份有限公司</w:t>
      </w:r>
    </w:p>
    <w:p w14:paraId="34091407">
      <w:pPr>
        <w:autoSpaceDE w:val="0"/>
        <w:autoSpaceDN w:val="0"/>
        <w:adjustRightInd w:val="0"/>
        <w:ind w:firstLine="735" w:firstLineChars="350"/>
        <w:jc w:val="left"/>
        <w:rPr>
          <w:rFonts w:ascii="黑体" w:hAnsi="黑体" w:eastAsia="黑体" w:cs="宋体"/>
          <w:kern w:val="0"/>
          <w:szCs w:val="21"/>
        </w:rPr>
      </w:pPr>
      <w:r>
        <w:rPr>
          <w:rFonts w:hint="eastAsia" w:ascii="黑体" w:hAnsi="黑体" w:eastAsia="黑体" w:cs="宋体"/>
          <w:kern w:val="0"/>
          <w:szCs w:val="21"/>
        </w:rPr>
        <w:t>客服热线：96668</w:t>
      </w:r>
    </w:p>
    <w:p w14:paraId="1CDF2220">
      <w:pPr>
        <w:autoSpaceDE w:val="0"/>
        <w:autoSpaceDN w:val="0"/>
        <w:adjustRightInd w:val="0"/>
        <w:ind w:firstLine="735" w:firstLineChars="350"/>
        <w:jc w:val="left"/>
        <w:rPr>
          <w:rFonts w:ascii="黑体" w:hAnsi="黑体" w:eastAsia="黑体" w:cs="宋体"/>
          <w:kern w:val="0"/>
          <w:szCs w:val="21"/>
        </w:rPr>
      </w:pPr>
      <w:r>
        <w:rPr>
          <w:rFonts w:hint="eastAsia" w:ascii="黑体" w:hAnsi="黑体" w:eastAsia="黑体" w:cs="宋体"/>
          <w:kern w:val="0"/>
          <w:szCs w:val="21"/>
        </w:rPr>
        <w:t>官方网站：www.qrcb.com.cn</w:t>
      </w:r>
    </w:p>
    <w:p w14:paraId="21834D66">
      <w:pPr>
        <w:autoSpaceDE w:val="0"/>
        <w:autoSpaceDN w:val="0"/>
        <w:adjustRightInd w:val="0"/>
        <w:jc w:val="left"/>
        <w:rPr>
          <w:rFonts w:hint="eastAsia" w:ascii="黑体" w:hAnsi="黑体" w:eastAsia="黑体" w:cs="宋体"/>
          <w:kern w:val="0"/>
          <w:szCs w:val="21"/>
          <w:lang w:val="en-US" w:eastAsia="zh-CN"/>
        </w:rPr>
      </w:pPr>
      <w:r>
        <w:rPr>
          <w:rFonts w:hint="eastAsia" w:ascii="黑体" w:hAnsi="黑体" w:eastAsia="黑体" w:cs="宋体"/>
          <w:kern w:val="0"/>
          <w:szCs w:val="21"/>
          <w:lang w:val="en-US" w:eastAsia="zh-CN"/>
        </w:rPr>
        <w:t xml:space="preserve">    14、机构名称：湖南银行股份有限公司</w:t>
      </w:r>
    </w:p>
    <w:p w14:paraId="47AB21B8">
      <w:pPr>
        <w:autoSpaceDE w:val="0"/>
        <w:autoSpaceDN w:val="0"/>
        <w:adjustRightInd w:val="0"/>
        <w:ind w:firstLine="630" w:firstLineChars="300"/>
        <w:jc w:val="left"/>
        <w:rPr>
          <w:rFonts w:hint="eastAsia" w:ascii="黑体" w:hAnsi="黑体" w:eastAsia="黑体" w:cs="宋体"/>
          <w:kern w:val="0"/>
          <w:szCs w:val="21"/>
          <w:lang w:val="en-US" w:eastAsia="zh-CN"/>
        </w:rPr>
      </w:pPr>
      <w:r>
        <w:rPr>
          <w:rFonts w:hint="eastAsia" w:ascii="黑体" w:hAnsi="黑体" w:eastAsia="黑体" w:cs="宋体"/>
          <w:kern w:val="0"/>
          <w:szCs w:val="21"/>
          <w:lang w:val="en-US" w:eastAsia="zh-CN"/>
        </w:rPr>
        <w:t>客服热线：0731-96599</w:t>
      </w:r>
    </w:p>
    <w:p w14:paraId="053D8DBB">
      <w:pPr>
        <w:autoSpaceDE w:val="0"/>
        <w:autoSpaceDN w:val="0"/>
        <w:adjustRightInd w:val="0"/>
        <w:ind w:firstLine="630" w:firstLineChars="300"/>
        <w:jc w:val="left"/>
        <w:rPr>
          <w:rFonts w:hint="eastAsia" w:ascii="黑体" w:hAnsi="黑体" w:eastAsia="黑体" w:cs="宋体"/>
          <w:kern w:val="0"/>
          <w:szCs w:val="21"/>
          <w:lang w:val="en-US" w:eastAsia="zh-CN"/>
        </w:rPr>
      </w:pPr>
      <w:r>
        <w:rPr>
          <w:rFonts w:hint="eastAsia" w:ascii="黑体" w:hAnsi="黑体" w:eastAsia="黑体" w:cs="宋体"/>
          <w:kern w:val="0"/>
          <w:szCs w:val="21"/>
          <w:lang w:val="en-US" w:eastAsia="zh-CN"/>
        </w:rPr>
        <w:t>官方网站：www.hunan-bank.com</w:t>
      </w:r>
      <w:bookmarkStart w:id="10" w:name="_GoBack"/>
      <w:bookmarkEnd w:id="10"/>
    </w:p>
    <w:p w14:paraId="59C937B3">
      <w:pPr>
        <w:autoSpaceDE w:val="0"/>
        <w:autoSpaceDN w:val="0"/>
        <w:adjustRightInd w:val="0"/>
        <w:ind w:firstLine="630" w:firstLineChars="300"/>
        <w:jc w:val="left"/>
        <w:rPr>
          <w:rFonts w:hint="eastAsia" w:ascii="黑体" w:hAnsi="黑体" w:eastAsia="黑体" w:cs="宋体"/>
          <w:kern w:val="0"/>
          <w:szCs w:val="21"/>
          <w:lang w:val="en-US" w:eastAsia="zh-CN"/>
        </w:rPr>
      </w:pPr>
    </w:p>
    <w:p w14:paraId="53ACDA97">
      <w:pPr>
        <w:autoSpaceDE w:val="0"/>
        <w:autoSpaceDN w:val="0"/>
        <w:adjustRightInd w:val="0"/>
        <w:ind w:firstLine="630" w:firstLineChars="300"/>
        <w:jc w:val="left"/>
        <w:rPr>
          <w:rFonts w:hint="default" w:ascii="黑体" w:hAnsi="黑体" w:eastAsia="黑体" w:cs="宋体"/>
          <w:kern w:val="0"/>
          <w:szCs w:val="21"/>
          <w:lang w:val="en-US" w:eastAsia="zh-CN"/>
        </w:rPr>
      </w:pPr>
    </w:p>
    <w:p w14:paraId="6B3E3F8A">
      <w:pPr>
        <w:autoSpaceDE w:val="0"/>
        <w:autoSpaceDN w:val="0"/>
        <w:adjustRightInd w:val="0"/>
        <w:ind w:firstLine="420" w:firstLineChars="200"/>
        <w:jc w:val="left"/>
        <w:rPr>
          <w:rFonts w:ascii="黑体" w:hAnsi="黑体" w:eastAsia="黑体" w:cs="宋体"/>
          <w:kern w:val="0"/>
          <w:szCs w:val="21"/>
        </w:rPr>
      </w:pPr>
      <w:r>
        <w:rPr>
          <w:rFonts w:hint="eastAsia" w:ascii="黑体" w:hAnsi="黑体" w:eastAsia="黑体" w:cs="宋体"/>
          <w:kern w:val="0"/>
          <w:szCs w:val="21"/>
        </w:rPr>
        <w:t>销售机构主要职责：</w:t>
      </w:r>
    </w:p>
    <w:p w14:paraId="4E188DAA">
      <w:pPr>
        <w:autoSpaceDE w:val="0"/>
        <w:autoSpaceDN w:val="0"/>
        <w:adjustRightInd w:val="0"/>
        <w:ind w:firstLine="420" w:firstLineChars="200"/>
        <w:jc w:val="left"/>
        <w:rPr>
          <w:rFonts w:ascii="黑体" w:hAnsi="黑体" w:eastAsia="黑体" w:cs="宋体"/>
          <w:kern w:val="0"/>
          <w:szCs w:val="21"/>
        </w:rPr>
      </w:pPr>
      <w:r>
        <w:rPr>
          <w:rFonts w:ascii="黑体" w:hAnsi="黑体" w:eastAsia="黑体" w:cs="宋体"/>
          <w:kern w:val="0"/>
          <w:szCs w:val="21"/>
        </w:rPr>
        <w:t>1、严格遵循国家法律、法规及其他有关规定和理财产品销售文件的规定，办理本产品销售业务，勤勉、尽责地履行销售机构的职责；</w:t>
      </w:r>
    </w:p>
    <w:p w14:paraId="1EFF8867">
      <w:pPr>
        <w:autoSpaceDE w:val="0"/>
        <w:autoSpaceDN w:val="0"/>
        <w:adjustRightInd w:val="0"/>
        <w:ind w:firstLine="420" w:firstLineChars="200"/>
        <w:jc w:val="left"/>
        <w:rPr>
          <w:rFonts w:ascii="黑体" w:hAnsi="黑体" w:eastAsia="黑体" w:cs="宋体"/>
          <w:kern w:val="0"/>
          <w:szCs w:val="21"/>
        </w:rPr>
      </w:pPr>
      <w:r>
        <w:rPr>
          <w:rFonts w:ascii="黑体" w:hAnsi="黑体" w:eastAsia="黑体" w:cs="宋体"/>
          <w:kern w:val="0"/>
          <w:szCs w:val="21"/>
        </w:rPr>
        <w:t>2、应保证在履行理财产品销售文件过程中占有、控制的理财产品资产或理财产品份额持有人的资产与销售机构自身资产相互独立，分别建账，分别管理；</w:t>
      </w:r>
    </w:p>
    <w:p w14:paraId="4C20A27F">
      <w:pPr>
        <w:autoSpaceDE w:val="0"/>
        <w:autoSpaceDN w:val="0"/>
        <w:adjustRightInd w:val="0"/>
        <w:ind w:firstLine="420" w:firstLineChars="200"/>
        <w:jc w:val="left"/>
        <w:rPr>
          <w:rFonts w:ascii="黑体" w:hAnsi="黑体" w:eastAsia="黑体" w:cs="宋体"/>
          <w:kern w:val="0"/>
          <w:szCs w:val="21"/>
        </w:rPr>
      </w:pPr>
      <w:r>
        <w:rPr>
          <w:rFonts w:ascii="黑体" w:hAnsi="黑体" w:eastAsia="黑体" w:cs="宋体"/>
          <w:kern w:val="0"/>
          <w:szCs w:val="21"/>
        </w:rPr>
        <w:t>3、对投资者身份信息的真实性进行验证；</w:t>
      </w:r>
    </w:p>
    <w:p w14:paraId="1B06BC21">
      <w:pPr>
        <w:autoSpaceDE w:val="0"/>
        <w:autoSpaceDN w:val="0"/>
        <w:adjustRightInd w:val="0"/>
        <w:ind w:firstLine="420" w:firstLineChars="200"/>
        <w:jc w:val="left"/>
        <w:rPr>
          <w:rFonts w:ascii="黑体" w:hAnsi="黑体" w:eastAsia="黑体" w:cs="宋体"/>
          <w:kern w:val="0"/>
          <w:szCs w:val="21"/>
        </w:rPr>
      </w:pPr>
      <w:r>
        <w:rPr>
          <w:rFonts w:ascii="黑体" w:hAnsi="黑体" w:eastAsia="黑体" w:cs="宋体"/>
          <w:kern w:val="0"/>
          <w:szCs w:val="21"/>
        </w:rPr>
        <w:t>4、对</w:t>
      </w:r>
      <w:r>
        <w:rPr>
          <w:rFonts w:hint="eastAsia" w:ascii="黑体" w:hAnsi="黑体" w:eastAsia="黑体" w:cs="宋体"/>
          <w:kern w:val="0"/>
          <w:szCs w:val="21"/>
          <w:lang w:val="en-US" w:eastAsia="zh-CN"/>
        </w:rPr>
        <w:t>普通</w:t>
      </w:r>
      <w:r>
        <w:rPr>
          <w:rFonts w:ascii="黑体" w:hAnsi="黑体" w:eastAsia="黑体" w:cs="宋体"/>
          <w:kern w:val="0"/>
          <w:szCs w:val="21"/>
        </w:rPr>
        <w:t>投资者严谨客观实施风险承受能力评估并持续跟进，根据投资者的风险承受能力销售不同风险等级的产品，把合适的理财产品销售给合适的投资者；</w:t>
      </w:r>
    </w:p>
    <w:p w14:paraId="6C6BF73B">
      <w:pPr>
        <w:autoSpaceDE w:val="0"/>
        <w:autoSpaceDN w:val="0"/>
        <w:adjustRightInd w:val="0"/>
        <w:ind w:firstLine="420" w:firstLineChars="200"/>
        <w:jc w:val="left"/>
        <w:rPr>
          <w:rFonts w:ascii="黑体" w:hAnsi="黑体" w:eastAsia="黑体" w:cs="宋体"/>
          <w:kern w:val="0"/>
          <w:szCs w:val="21"/>
        </w:rPr>
      </w:pPr>
      <w:r>
        <w:rPr>
          <w:rFonts w:ascii="黑体" w:hAnsi="黑体" w:eastAsia="黑体" w:cs="宋体"/>
          <w:kern w:val="0"/>
          <w:szCs w:val="21"/>
        </w:rPr>
        <w:t>5、向投资者提供持续信息服务，包括但不限于以下方面:及时向投资者告知申赎理财产品的确认日期、确认份额和金额等信息；定期向投资者提供其所持有的理财产品基本信息；及时向投资者告知对其决策有重大影响的信息；</w:t>
      </w:r>
    </w:p>
    <w:p w14:paraId="04F889F3">
      <w:pPr>
        <w:autoSpaceDE w:val="0"/>
        <w:autoSpaceDN w:val="0"/>
        <w:adjustRightInd w:val="0"/>
        <w:ind w:firstLine="420" w:firstLineChars="200"/>
        <w:jc w:val="left"/>
        <w:rPr>
          <w:rFonts w:ascii="黑体" w:hAnsi="黑体" w:eastAsia="黑体" w:cs="宋体"/>
          <w:kern w:val="0"/>
          <w:szCs w:val="21"/>
        </w:rPr>
      </w:pPr>
      <w:r>
        <w:rPr>
          <w:rFonts w:ascii="黑体" w:hAnsi="黑体" w:eastAsia="黑体" w:cs="宋体"/>
          <w:kern w:val="0"/>
          <w:szCs w:val="21"/>
        </w:rPr>
        <w:t>6、充分了解面向特定对象销售的理财产品的投资者信息，收集、核验投资者金融资产证明、收入证明或纳税凭证等材料；</w:t>
      </w:r>
    </w:p>
    <w:p w14:paraId="4DD0D7F7">
      <w:pPr>
        <w:autoSpaceDE w:val="0"/>
        <w:autoSpaceDN w:val="0"/>
        <w:adjustRightInd w:val="0"/>
        <w:ind w:firstLine="420" w:firstLineChars="200"/>
        <w:jc w:val="left"/>
        <w:rPr>
          <w:rFonts w:ascii="黑体" w:hAnsi="黑体" w:eastAsia="黑体" w:cs="宋体"/>
          <w:kern w:val="0"/>
          <w:szCs w:val="21"/>
        </w:rPr>
      </w:pPr>
      <w:r>
        <w:rPr>
          <w:rFonts w:ascii="黑体" w:hAnsi="黑体" w:eastAsia="黑体" w:cs="宋体"/>
          <w:kern w:val="0"/>
          <w:szCs w:val="21"/>
        </w:rPr>
        <w:t>7、根据反洗钱、反恐怖融资及非居民金融账户涉税信息尽职调查等相关法律法规要求识别客户身份；</w:t>
      </w:r>
    </w:p>
    <w:p w14:paraId="5FF9EA68">
      <w:pPr>
        <w:autoSpaceDE w:val="0"/>
        <w:autoSpaceDN w:val="0"/>
        <w:adjustRightInd w:val="0"/>
        <w:ind w:firstLine="420" w:firstLineChars="200"/>
        <w:jc w:val="left"/>
        <w:rPr>
          <w:rFonts w:ascii="黑体" w:hAnsi="黑体" w:eastAsia="黑体" w:cs="宋体"/>
          <w:kern w:val="0"/>
          <w:szCs w:val="21"/>
        </w:rPr>
      </w:pPr>
      <w:r>
        <w:rPr>
          <w:rFonts w:ascii="黑体" w:hAnsi="黑体" w:eastAsia="黑体" w:cs="宋体"/>
          <w:kern w:val="0"/>
          <w:szCs w:val="21"/>
        </w:rPr>
        <w:t>8、按照法律法规规定、理财产品销售文件约定办理理财产品的认（申）购、赎回，归集、划转理财产品销售结算资金，确保理财产品销售结算资金安全、及时划付。通过投资者指定账户办理理财产品认（申）购和赎回的款项收付，并将赎回、分红及认（申）购不成功的相应款项划入投资者指定账户，制作、留存款项收付的有效凭证；</w:t>
      </w:r>
    </w:p>
    <w:p w14:paraId="11A28328">
      <w:pPr>
        <w:autoSpaceDE w:val="0"/>
        <w:autoSpaceDN w:val="0"/>
        <w:adjustRightInd w:val="0"/>
        <w:ind w:firstLine="420" w:firstLineChars="200"/>
        <w:jc w:val="left"/>
        <w:rPr>
          <w:rFonts w:ascii="黑体" w:hAnsi="黑体" w:eastAsia="黑体" w:cs="宋体"/>
          <w:kern w:val="0"/>
          <w:szCs w:val="21"/>
        </w:rPr>
      </w:pPr>
      <w:r>
        <w:rPr>
          <w:rFonts w:ascii="黑体" w:hAnsi="黑体" w:eastAsia="黑体" w:cs="宋体"/>
          <w:kern w:val="0"/>
          <w:szCs w:val="21"/>
        </w:rPr>
        <w:t>9、完整记录和保存销售业务活动信息，确保记录信息全面、准确和不可篡改；</w:t>
      </w:r>
    </w:p>
    <w:p w14:paraId="228E542C">
      <w:pPr>
        <w:autoSpaceDE w:val="0"/>
        <w:autoSpaceDN w:val="0"/>
        <w:adjustRightInd w:val="0"/>
        <w:ind w:firstLine="420" w:firstLineChars="200"/>
        <w:jc w:val="left"/>
        <w:rPr>
          <w:rFonts w:ascii="黑体" w:hAnsi="黑体" w:eastAsia="黑体" w:cs="宋体"/>
          <w:kern w:val="0"/>
          <w:szCs w:val="21"/>
        </w:rPr>
      </w:pPr>
      <w:r>
        <w:rPr>
          <w:rFonts w:ascii="黑体" w:hAnsi="黑体" w:eastAsia="黑体" w:cs="宋体"/>
          <w:kern w:val="0"/>
          <w:szCs w:val="21"/>
        </w:rPr>
        <w:t>10、根据有关法律法规、监管规定和理财产品销售文件的要求，及时、充分披露本产品的相关信息；</w:t>
      </w:r>
    </w:p>
    <w:p w14:paraId="493FF021">
      <w:pPr>
        <w:autoSpaceDE w:val="0"/>
        <w:autoSpaceDN w:val="0"/>
        <w:adjustRightInd w:val="0"/>
        <w:ind w:firstLine="420" w:firstLineChars="200"/>
        <w:jc w:val="left"/>
        <w:rPr>
          <w:rFonts w:ascii="黑体" w:hAnsi="黑体" w:eastAsia="黑体" w:cs="宋体"/>
          <w:kern w:val="0"/>
          <w:szCs w:val="21"/>
        </w:rPr>
      </w:pPr>
      <w:r>
        <w:rPr>
          <w:rFonts w:ascii="黑体" w:hAnsi="黑体" w:eastAsia="黑体" w:cs="宋体"/>
          <w:kern w:val="0"/>
          <w:szCs w:val="21"/>
        </w:rPr>
        <w:t>11、建立健全档案管理制度，妥善保管投资者理财产品销售相关资料，保管年限不得低于法规规定的年限；</w:t>
      </w:r>
    </w:p>
    <w:p w14:paraId="28C02390">
      <w:pPr>
        <w:autoSpaceDE w:val="0"/>
        <w:autoSpaceDN w:val="0"/>
        <w:adjustRightInd w:val="0"/>
        <w:ind w:firstLine="420" w:firstLineChars="200"/>
        <w:jc w:val="left"/>
        <w:rPr>
          <w:rFonts w:ascii="黑体" w:hAnsi="黑体" w:eastAsia="黑体" w:cs="宋体"/>
          <w:kern w:val="0"/>
          <w:szCs w:val="21"/>
        </w:rPr>
      </w:pPr>
      <w:r>
        <w:rPr>
          <w:rFonts w:ascii="黑体" w:hAnsi="黑体" w:eastAsia="黑体" w:cs="宋体"/>
          <w:kern w:val="0"/>
          <w:szCs w:val="21"/>
        </w:rPr>
        <w:t>12、法律、法规、国务院银行业监督管理机构规定、理财产品销售文件约定的其他职责。</w:t>
      </w:r>
    </w:p>
    <w:p w14:paraId="453FFAEA">
      <w:pPr>
        <w:autoSpaceDE w:val="0"/>
        <w:autoSpaceDN w:val="0"/>
        <w:adjustRightInd w:val="0"/>
        <w:jc w:val="left"/>
        <w:rPr>
          <w:rFonts w:ascii="黑体" w:hAnsi="黑体" w:eastAsia="黑体" w:cs="宋体"/>
          <w:kern w:val="0"/>
          <w:szCs w:val="21"/>
        </w:rPr>
      </w:pPr>
    </w:p>
    <w:p w14:paraId="42BB1150">
      <w:pPr>
        <w:autoSpaceDE w:val="0"/>
        <w:autoSpaceDN w:val="0"/>
        <w:adjustRightInd w:val="0"/>
        <w:jc w:val="left"/>
        <w:rPr>
          <w:rFonts w:ascii="黑体" w:hAnsi="黑体" w:eastAsia="黑体" w:cs="宋体"/>
          <w:b/>
          <w:kern w:val="0"/>
          <w:szCs w:val="21"/>
        </w:rPr>
      </w:pPr>
      <w:r>
        <w:rPr>
          <w:rFonts w:hint="eastAsia" w:ascii="黑体" w:hAnsi="黑体" w:eastAsia="黑体" w:cs="宋体"/>
          <w:b/>
          <w:kern w:val="0"/>
          <w:szCs w:val="21"/>
        </w:rPr>
        <w:t>九、投资合作机构</w:t>
      </w:r>
    </w:p>
    <w:p w14:paraId="4E7FABDE">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投资合作机构的主要职责为进行受托资金的投资管理，根据合同约定从事受托投资或提供投资顾问等服务，具体职责以产品管理人与投资合作机构签署的合同为准</w:t>
      </w:r>
      <w:bookmarkEnd w:id="7"/>
      <w:r>
        <w:rPr>
          <w:rFonts w:hint="eastAsia" w:ascii="黑体" w:hAnsi="黑体" w:eastAsia="黑体" w:cs="黑体"/>
          <w:kern w:val="0"/>
          <w:szCs w:val="21"/>
        </w:rPr>
        <w:t>。</w:t>
      </w:r>
    </w:p>
    <w:p w14:paraId="04B78B5B">
      <w:pPr>
        <w:autoSpaceDE w:val="0"/>
        <w:autoSpaceDN w:val="0"/>
        <w:adjustRightInd w:val="0"/>
        <w:ind w:firstLine="329" w:firstLineChars="157"/>
        <w:jc w:val="left"/>
        <w:rPr>
          <w:rFonts w:ascii="黑体" w:hAnsi="黑体" w:eastAsia="黑体" w:cs="宋体"/>
          <w:kern w:val="0"/>
          <w:szCs w:val="21"/>
        </w:rPr>
      </w:pPr>
    </w:p>
    <w:p w14:paraId="7E7C962D">
      <w:pPr>
        <w:autoSpaceDE w:val="0"/>
        <w:autoSpaceDN w:val="0"/>
        <w:adjustRightInd w:val="0"/>
        <w:jc w:val="left"/>
        <w:rPr>
          <w:rFonts w:ascii="黑体" w:hAnsi="黑体" w:eastAsia="黑体" w:cs="宋体"/>
          <w:b/>
          <w:kern w:val="0"/>
          <w:szCs w:val="21"/>
        </w:rPr>
      </w:pPr>
      <w:r>
        <w:rPr>
          <w:rFonts w:hint="eastAsia" w:ascii="黑体" w:hAnsi="黑体" w:eastAsia="黑体" w:cs="宋体"/>
          <w:b/>
          <w:kern w:val="0"/>
          <w:szCs w:val="21"/>
        </w:rPr>
        <w:t>十、信息披露</w:t>
      </w:r>
    </w:p>
    <w:p w14:paraId="330EFF24">
      <w:pPr>
        <w:autoSpaceDE w:val="0"/>
        <w:autoSpaceDN w:val="0"/>
        <w:adjustRightInd w:val="0"/>
        <w:jc w:val="left"/>
        <w:rPr>
          <w:rFonts w:ascii="黑体" w:hAnsi="黑体" w:eastAsia="黑体" w:cs="宋体"/>
          <w:kern w:val="0"/>
          <w:szCs w:val="21"/>
        </w:rPr>
      </w:pPr>
      <w:r>
        <w:rPr>
          <w:rFonts w:hint="eastAsia" w:ascii="黑体" w:hAnsi="黑体" w:eastAsia="黑体" w:cs="宋体"/>
          <w:kern w:val="0"/>
          <w:szCs w:val="21"/>
        </w:rPr>
        <w:t>（一</w:t>
      </w:r>
      <w:r>
        <w:rPr>
          <w:rFonts w:ascii="黑体" w:hAnsi="黑体" w:eastAsia="黑体" w:cs="宋体"/>
          <w:kern w:val="0"/>
          <w:szCs w:val="21"/>
        </w:rPr>
        <w:t>）信息披露内容</w:t>
      </w:r>
    </w:p>
    <w:p w14:paraId="0401C16E">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产品管理人将于产品募集期间、存续期间和终止时，通过宁银理财官网（</w:t>
      </w:r>
      <w:r>
        <w:rPr>
          <w:rFonts w:ascii="黑体" w:hAnsi="黑体" w:eastAsia="黑体" w:cs="黑体"/>
          <w:kern w:val="0"/>
          <w:szCs w:val="21"/>
        </w:rPr>
        <w:t>www.wmbnb.com)、</w:t>
      </w:r>
      <w:r>
        <w:rPr>
          <w:rFonts w:hint="eastAsia" w:ascii="黑体" w:hAnsi="黑体" w:eastAsia="黑体" w:cs="黑体"/>
          <w:kern w:val="0"/>
          <w:szCs w:val="21"/>
        </w:rPr>
        <w:t>宁银理财直销</w:t>
      </w:r>
      <w:r>
        <w:rPr>
          <w:rFonts w:ascii="黑体" w:hAnsi="黑体" w:eastAsia="黑体" w:cs="黑体"/>
          <w:kern w:val="0"/>
          <w:szCs w:val="21"/>
        </w:rPr>
        <w:t>app、</w:t>
      </w:r>
      <w:r>
        <w:rPr>
          <w:rFonts w:hint="eastAsia" w:ascii="黑体" w:hAnsi="黑体" w:eastAsia="黑体" w:cs="黑体"/>
          <w:kern w:val="0"/>
          <w:szCs w:val="21"/>
        </w:rPr>
        <w:t>宁银理财相关产品代理销售机构官方渠道或其他适当的方式披露以下产品信息：</w:t>
      </w:r>
    </w:p>
    <w:p w14:paraId="52665C05">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1、</w:t>
      </w:r>
      <w:r>
        <w:rPr>
          <w:rFonts w:hint="eastAsia" w:ascii="黑体" w:hAnsi="黑体" w:eastAsia="黑体" w:cs="黑体"/>
          <w:kern w:val="0"/>
          <w:szCs w:val="21"/>
        </w:rPr>
        <w:t>理财产品销售文件，包括</w:t>
      </w:r>
      <w:r>
        <w:rPr>
          <w:rFonts w:hint="eastAsia" w:ascii="黑体" w:hAnsi="黑体" w:eastAsia="黑体" w:cs="宋体"/>
          <w:kern w:val="0"/>
          <w:szCs w:val="21"/>
        </w:rPr>
        <w:t>《理财产品说明书》、《风险揭示书》、</w:t>
      </w:r>
      <w:r>
        <w:rPr>
          <w:rFonts w:hint="eastAsia" w:ascii="黑体" w:hAnsi="黑体" w:eastAsia="黑体" w:cs="黑体"/>
          <w:kern w:val="0"/>
          <w:szCs w:val="21"/>
        </w:rPr>
        <w:t>《销售（代理销售）协议书》</w:t>
      </w:r>
      <w:r>
        <w:rPr>
          <w:rFonts w:hint="eastAsia" w:ascii="黑体" w:hAnsi="黑体" w:eastAsia="黑体" w:cs="宋体"/>
          <w:kern w:val="0"/>
          <w:szCs w:val="21"/>
        </w:rPr>
        <w:t>、《投资协议书》</w:t>
      </w:r>
      <w:r>
        <w:rPr>
          <w:rFonts w:hint="eastAsia" w:ascii="黑体" w:hAnsi="黑体" w:eastAsia="黑体" w:cs="黑体"/>
          <w:kern w:val="0"/>
          <w:szCs w:val="21"/>
        </w:rPr>
        <w:t>和《投资者权益须知》等有关文件，以及对以上文件的有效修改或补充；</w:t>
      </w:r>
    </w:p>
    <w:p w14:paraId="3BE51B76">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2、发行公告，包括</w:t>
      </w:r>
      <w:r>
        <w:rPr>
          <w:rFonts w:hint="eastAsia" w:ascii="黑体" w:hAnsi="黑体" w:eastAsia="黑体" w:cs="黑体"/>
          <w:kern w:val="0"/>
          <w:szCs w:val="21"/>
        </w:rPr>
        <w:t>本产品成立日期和募集规模等信息，产品管理人将在本理财产品成立后</w:t>
      </w:r>
      <w:r>
        <w:rPr>
          <w:rFonts w:ascii="黑体" w:hAnsi="黑体" w:eastAsia="黑体" w:cs="黑体"/>
          <w:kern w:val="0"/>
          <w:szCs w:val="21"/>
        </w:rPr>
        <w:t>5个工作日内披露产品发行公告</w:t>
      </w:r>
      <w:r>
        <w:rPr>
          <w:rFonts w:hint="eastAsia" w:ascii="黑体" w:hAnsi="黑体" w:eastAsia="黑体" w:cs="黑体"/>
          <w:kern w:val="0"/>
          <w:szCs w:val="21"/>
        </w:rPr>
        <w:t>；</w:t>
      </w:r>
    </w:p>
    <w:p w14:paraId="3080D67B">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3、定期报告，包括</w:t>
      </w:r>
      <w:r>
        <w:rPr>
          <w:rFonts w:hint="eastAsia" w:ascii="黑体" w:hAnsi="黑体" w:eastAsia="黑体" w:cs="黑体"/>
          <w:kern w:val="0"/>
          <w:szCs w:val="21"/>
        </w:rPr>
        <w:t>本产品的存续规模、收益表现，并分别列示直接和间接投资的资产种类、投资比例、投资组合的流动性风险分析，以及前十项资产具体名称、规模和比例等信息。</w:t>
      </w:r>
    </w:p>
    <w:p w14:paraId="13144D78">
      <w:pPr>
        <w:autoSpaceDE w:val="0"/>
        <w:autoSpaceDN w:val="0"/>
        <w:adjustRightInd w:val="0"/>
        <w:ind w:firstLine="420" w:firstLineChars="200"/>
        <w:jc w:val="left"/>
        <w:rPr>
          <w:rFonts w:ascii="黑体" w:hAnsi="黑体" w:eastAsia="黑体" w:cs="黑体"/>
          <w:kern w:val="0"/>
          <w:szCs w:val="21"/>
        </w:rPr>
      </w:pPr>
      <w:r>
        <w:rPr>
          <w:rFonts w:hint="eastAsia" w:ascii="黑体" w:hAnsi="黑体" w:eastAsia="黑体" w:cs="黑体"/>
          <w:kern w:val="0"/>
          <w:szCs w:val="21"/>
        </w:rPr>
        <w:t>产品管理人将在每个季度结束之日起</w:t>
      </w:r>
      <w:r>
        <w:rPr>
          <w:rFonts w:ascii="黑体" w:hAnsi="黑体" w:eastAsia="黑体" w:cs="黑体"/>
          <w:kern w:val="0"/>
          <w:szCs w:val="21"/>
        </w:rPr>
        <w:t>15个工作日内、上半年结束之日起60个工作日内、每年结束之日起90个工作日内披露本理财产品的季度、半年</w:t>
      </w:r>
      <w:r>
        <w:rPr>
          <w:rFonts w:hint="eastAsia" w:ascii="黑体" w:hAnsi="黑体" w:eastAsia="黑体" w:cs="黑体"/>
          <w:kern w:val="0"/>
          <w:szCs w:val="21"/>
        </w:rPr>
        <w:t>度和年度报告，如果本理财产品成立不足</w:t>
      </w:r>
      <w:r>
        <w:rPr>
          <w:rFonts w:ascii="黑体" w:hAnsi="黑体" w:eastAsia="黑体" w:cs="黑体"/>
          <w:kern w:val="0"/>
          <w:szCs w:val="21"/>
        </w:rPr>
        <w:t>90个工作日或者剩余存续期不超过90个工作日的，产品管理人可以不编制产品当期的季度、半年</w:t>
      </w:r>
      <w:r>
        <w:rPr>
          <w:rFonts w:hint="eastAsia" w:ascii="黑体" w:hAnsi="黑体" w:eastAsia="黑体" w:cs="黑体"/>
          <w:kern w:val="0"/>
          <w:szCs w:val="21"/>
        </w:rPr>
        <w:t>度和年度报告。</w:t>
      </w:r>
    </w:p>
    <w:p w14:paraId="4C3563F6">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4、到期公告，包括</w:t>
      </w:r>
      <w:r>
        <w:rPr>
          <w:rFonts w:hint="eastAsia" w:ascii="黑体" w:hAnsi="黑体" w:eastAsia="黑体" w:cs="黑体"/>
          <w:kern w:val="0"/>
          <w:szCs w:val="21"/>
        </w:rPr>
        <w:t>本产品的存续期限、终止日期、收费情况和收益分配情况等信息，产品管理人将在本理财产品终止后</w:t>
      </w:r>
      <w:r>
        <w:rPr>
          <w:rFonts w:ascii="黑体" w:hAnsi="黑体" w:eastAsia="黑体" w:cs="黑体"/>
          <w:kern w:val="0"/>
          <w:szCs w:val="21"/>
        </w:rPr>
        <w:t>5个工作日内披露产品到期公告</w:t>
      </w:r>
      <w:r>
        <w:rPr>
          <w:rFonts w:hint="eastAsia" w:ascii="黑体" w:hAnsi="黑体" w:eastAsia="黑体" w:cs="黑体"/>
          <w:kern w:val="0"/>
          <w:szCs w:val="21"/>
        </w:rPr>
        <w:t>；</w:t>
      </w:r>
    </w:p>
    <w:p w14:paraId="3748C2E3">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5、重大事项公告；</w:t>
      </w:r>
    </w:p>
    <w:p w14:paraId="7D69553A">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6、临时性信息披露；</w:t>
      </w:r>
    </w:p>
    <w:p w14:paraId="4CF79F4F">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7、国务院银行业监督管理机构规定的其他信息；</w:t>
      </w:r>
    </w:p>
    <w:p w14:paraId="52A782AC">
      <w:pPr>
        <w:autoSpaceDE w:val="0"/>
        <w:autoSpaceDN w:val="0"/>
        <w:adjustRightInd w:val="0"/>
        <w:ind w:firstLine="420" w:firstLineChars="200"/>
        <w:jc w:val="left"/>
        <w:rPr>
          <w:rFonts w:ascii="黑体" w:hAnsi="黑体" w:eastAsia="黑体" w:cs="黑体"/>
          <w:kern w:val="0"/>
          <w:szCs w:val="21"/>
        </w:rPr>
      </w:pPr>
      <w:r>
        <w:rPr>
          <w:rFonts w:ascii="黑体" w:hAnsi="黑体" w:eastAsia="黑体" w:cs="黑体"/>
          <w:kern w:val="0"/>
          <w:szCs w:val="21"/>
        </w:rPr>
        <w:t>8、</w:t>
      </w:r>
      <w:r>
        <w:rPr>
          <w:rFonts w:hint="eastAsia" w:ascii="黑体" w:hAnsi="黑体" w:eastAsia="黑体" w:cs="黑体"/>
          <w:kern w:val="0"/>
          <w:szCs w:val="21"/>
        </w:rPr>
        <w:t>产品管理人认为需要披露的其他信息。</w:t>
      </w:r>
    </w:p>
    <w:p w14:paraId="1B669163">
      <w:pPr>
        <w:autoSpaceDE w:val="0"/>
        <w:autoSpaceDN w:val="0"/>
        <w:adjustRightInd w:val="0"/>
        <w:jc w:val="left"/>
        <w:rPr>
          <w:rFonts w:ascii="黑体" w:hAnsi="黑体" w:eastAsia="黑体" w:cs="宋体"/>
          <w:b/>
          <w:kern w:val="0"/>
          <w:szCs w:val="21"/>
        </w:rPr>
      </w:pPr>
      <w:r>
        <w:rPr>
          <w:rFonts w:hint="eastAsia" w:ascii="黑体" w:hAnsi="黑体" w:eastAsia="黑体" w:cs="宋体"/>
          <w:b/>
          <w:kern w:val="0"/>
          <w:szCs w:val="21"/>
        </w:rPr>
        <w:t>（二</w:t>
      </w:r>
      <w:r>
        <w:rPr>
          <w:rFonts w:ascii="黑体" w:hAnsi="黑体" w:eastAsia="黑体" w:cs="宋体"/>
          <w:b/>
          <w:kern w:val="0"/>
          <w:szCs w:val="21"/>
        </w:rPr>
        <w:t>）</w:t>
      </w:r>
      <w:r>
        <w:rPr>
          <w:rFonts w:hint="eastAsia" w:ascii="黑体" w:hAnsi="黑体" w:eastAsia="黑体" w:cs="宋体"/>
          <w:b/>
          <w:kern w:val="0"/>
          <w:szCs w:val="21"/>
        </w:rPr>
        <w:t>投资者同意，产品管理人或销售机构通过</w:t>
      </w:r>
      <w:r>
        <w:rPr>
          <w:rFonts w:ascii="黑体" w:hAnsi="黑体" w:eastAsia="黑体" w:cs="宋体"/>
          <w:b/>
          <w:kern w:val="0"/>
          <w:szCs w:val="21"/>
        </w:rPr>
        <w:t>上述</w:t>
      </w:r>
      <w:r>
        <w:rPr>
          <w:rFonts w:hint="eastAsia" w:ascii="黑体" w:hAnsi="黑体" w:eastAsia="黑体" w:cs="宋体"/>
          <w:b/>
          <w:kern w:val="0"/>
          <w:szCs w:val="21"/>
        </w:rPr>
        <w:t>方式及</w:t>
      </w:r>
      <w:r>
        <w:rPr>
          <w:rFonts w:ascii="黑体" w:hAnsi="黑体" w:eastAsia="黑体" w:cs="宋体"/>
          <w:b/>
          <w:kern w:val="0"/>
          <w:szCs w:val="21"/>
        </w:rPr>
        <w:t>频率</w:t>
      </w:r>
      <w:r>
        <w:rPr>
          <w:rFonts w:hint="eastAsia" w:ascii="黑体" w:hAnsi="黑体" w:eastAsia="黑体" w:cs="宋体"/>
          <w:b/>
          <w:kern w:val="0"/>
          <w:szCs w:val="21"/>
        </w:rPr>
        <w:t>进行信息披露，</w:t>
      </w:r>
      <w:r>
        <w:rPr>
          <w:rFonts w:ascii="黑体" w:hAnsi="黑体" w:eastAsia="黑体" w:cs="宋体"/>
          <w:b/>
          <w:kern w:val="0"/>
          <w:szCs w:val="21"/>
        </w:rPr>
        <w:t>视为完全履行信息</w:t>
      </w:r>
      <w:r>
        <w:rPr>
          <w:rFonts w:hint="eastAsia" w:ascii="黑体" w:hAnsi="黑体" w:eastAsia="黑体" w:cs="宋体"/>
          <w:b/>
          <w:kern w:val="0"/>
          <w:szCs w:val="21"/>
        </w:rPr>
        <w:t>披露</w:t>
      </w:r>
      <w:r>
        <w:rPr>
          <w:rFonts w:ascii="黑体" w:hAnsi="黑体" w:eastAsia="黑体" w:cs="宋体"/>
          <w:b/>
          <w:kern w:val="0"/>
          <w:szCs w:val="21"/>
        </w:rPr>
        <w:t>义务</w:t>
      </w:r>
      <w:r>
        <w:rPr>
          <w:rFonts w:hint="eastAsia" w:ascii="黑体" w:hAnsi="黑体" w:eastAsia="黑体" w:cs="宋体"/>
          <w:b/>
          <w:kern w:val="0"/>
          <w:szCs w:val="21"/>
        </w:rPr>
        <w:t>，如果投资者未及时查询，或由于通讯故障、非产品管理人原因的系统故障以及其他不可抗力等因素的影响</w:t>
      </w:r>
      <w:r>
        <w:rPr>
          <w:rFonts w:ascii="黑体" w:hAnsi="黑体" w:eastAsia="黑体" w:cs="宋体"/>
          <w:b/>
          <w:kern w:val="0"/>
          <w:szCs w:val="21"/>
        </w:rPr>
        <w:t>,致使</w:t>
      </w:r>
      <w:r>
        <w:rPr>
          <w:rFonts w:hint="eastAsia" w:ascii="黑体" w:hAnsi="黑体" w:eastAsia="黑体" w:cs="宋体"/>
          <w:b/>
          <w:kern w:val="0"/>
          <w:szCs w:val="21"/>
        </w:rPr>
        <w:t>投资者无法及时了解产品信息，因此而产生的（包括但不限于因未及时获知信息而错过资金使用和再投资的机会等）全部责任和风险，由投资者自行承担。</w:t>
      </w:r>
    </w:p>
    <w:p w14:paraId="3AD470D3">
      <w:pPr>
        <w:autoSpaceDE w:val="0"/>
        <w:autoSpaceDN w:val="0"/>
        <w:adjustRightInd w:val="0"/>
        <w:ind w:firstLine="329" w:firstLineChars="157"/>
        <w:jc w:val="left"/>
        <w:rPr>
          <w:rFonts w:ascii="黑体" w:hAnsi="黑体" w:eastAsia="黑体" w:cs="宋体"/>
          <w:kern w:val="0"/>
          <w:szCs w:val="21"/>
        </w:rPr>
      </w:pPr>
    </w:p>
    <w:p w14:paraId="69583989">
      <w:pPr>
        <w:autoSpaceDE w:val="0"/>
        <w:autoSpaceDN w:val="0"/>
        <w:adjustRightInd w:val="0"/>
        <w:jc w:val="left"/>
        <w:rPr>
          <w:rFonts w:ascii="黑体" w:hAnsi="黑体" w:eastAsia="黑体" w:cs="黑体"/>
          <w:b/>
          <w:kern w:val="0"/>
          <w:szCs w:val="21"/>
        </w:rPr>
      </w:pPr>
      <w:r>
        <w:rPr>
          <w:rFonts w:hint="eastAsia" w:ascii="黑体" w:hAnsi="黑体" w:eastAsia="黑体" w:cs="黑体"/>
          <w:b/>
          <w:kern w:val="0"/>
          <w:szCs w:val="21"/>
        </w:rPr>
        <w:t>十一、特别提示</w:t>
      </w:r>
    </w:p>
    <w:p w14:paraId="0651578C">
      <w:pPr>
        <w:autoSpaceDE w:val="0"/>
        <w:autoSpaceDN w:val="0"/>
        <w:adjustRightInd w:val="0"/>
        <w:ind w:firstLine="422" w:firstLineChars="200"/>
        <w:jc w:val="left"/>
        <w:rPr>
          <w:rFonts w:ascii="黑体" w:hAnsi="黑体" w:eastAsia="黑体" w:cs="宋体"/>
          <w:b/>
          <w:kern w:val="0"/>
          <w:szCs w:val="21"/>
        </w:rPr>
      </w:pPr>
      <w:r>
        <w:rPr>
          <w:rFonts w:ascii="黑体" w:hAnsi="黑体" w:eastAsia="黑体" w:cs="宋体"/>
          <w:b/>
          <w:kern w:val="0"/>
          <w:szCs w:val="21"/>
        </w:rPr>
        <w:t>1、</w:t>
      </w:r>
      <w:r>
        <w:rPr>
          <w:rFonts w:hint="eastAsia" w:ascii="黑体" w:hAnsi="黑体" w:eastAsia="黑体" w:cs="宋体"/>
          <w:b/>
          <w:kern w:val="0"/>
          <w:szCs w:val="21"/>
        </w:rPr>
        <w:t>本产品业绩比较基准、产品的过往业绩仅供投资者参考，并不作为产品管理人向投资者支付本产品本金</w:t>
      </w:r>
      <w:r>
        <w:rPr>
          <w:rFonts w:ascii="黑体" w:hAnsi="黑体" w:eastAsia="黑体" w:cs="宋体"/>
          <w:b/>
          <w:kern w:val="0"/>
          <w:szCs w:val="21"/>
        </w:rPr>
        <w:t>或</w:t>
      </w:r>
      <w:r>
        <w:rPr>
          <w:rFonts w:hint="eastAsia" w:ascii="黑体" w:hAnsi="黑体" w:eastAsia="黑体" w:cs="宋体"/>
          <w:b/>
          <w:kern w:val="0"/>
          <w:szCs w:val="21"/>
        </w:rPr>
        <w:t>收益的承诺；投资者所能获得的最终收益以产品实际</w:t>
      </w:r>
      <w:r>
        <w:rPr>
          <w:rFonts w:ascii="黑体" w:hAnsi="黑体" w:eastAsia="黑体" w:cs="宋体"/>
          <w:b/>
          <w:kern w:val="0"/>
          <w:szCs w:val="21"/>
        </w:rPr>
        <w:t>情况</w:t>
      </w:r>
      <w:r>
        <w:rPr>
          <w:rFonts w:hint="eastAsia" w:ascii="黑体" w:hAnsi="黑体" w:eastAsia="黑体" w:cs="宋体"/>
          <w:b/>
          <w:kern w:val="0"/>
          <w:szCs w:val="21"/>
        </w:rPr>
        <w:t>为准。</w:t>
      </w:r>
    </w:p>
    <w:p w14:paraId="4CAA91D3">
      <w:pPr>
        <w:autoSpaceDE w:val="0"/>
        <w:autoSpaceDN w:val="0"/>
        <w:adjustRightInd w:val="0"/>
        <w:ind w:firstLine="422" w:firstLineChars="200"/>
        <w:jc w:val="left"/>
        <w:rPr>
          <w:rFonts w:ascii="黑体" w:hAnsi="黑体" w:eastAsia="黑体" w:cs="宋体"/>
          <w:b/>
          <w:kern w:val="0"/>
          <w:szCs w:val="21"/>
        </w:rPr>
      </w:pPr>
      <w:r>
        <w:rPr>
          <w:rFonts w:ascii="黑体" w:hAnsi="黑体" w:eastAsia="黑体" w:cs="宋体"/>
          <w:b/>
          <w:kern w:val="0"/>
          <w:szCs w:val="21"/>
        </w:rPr>
        <w:t>2</w:t>
      </w:r>
      <w:r>
        <w:rPr>
          <w:rFonts w:hint="eastAsia" w:ascii="黑体" w:hAnsi="黑体" w:eastAsia="黑体" w:cs="宋体"/>
          <w:b/>
          <w:kern w:val="0"/>
          <w:szCs w:val="21"/>
        </w:rPr>
        <w:t>、投资者在投资前，请仔细阅读本说明书，并作出独立的投资决策。</w:t>
      </w:r>
    </w:p>
    <w:p w14:paraId="46A917B4">
      <w:pPr>
        <w:autoSpaceDE w:val="0"/>
        <w:autoSpaceDN w:val="0"/>
        <w:adjustRightInd w:val="0"/>
        <w:ind w:firstLine="422" w:firstLineChars="200"/>
        <w:jc w:val="left"/>
        <w:rPr>
          <w:rFonts w:ascii="黑体" w:hAnsi="黑体" w:eastAsia="黑体" w:cs="宋体"/>
          <w:b/>
          <w:kern w:val="0"/>
          <w:szCs w:val="21"/>
        </w:rPr>
      </w:pPr>
      <w:r>
        <w:rPr>
          <w:rFonts w:ascii="黑体" w:hAnsi="黑体" w:eastAsia="黑体" w:cs="宋体"/>
          <w:b/>
          <w:kern w:val="0"/>
          <w:szCs w:val="21"/>
        </w:rPr>
        <w:t>3、产品管理人</w:t>
      </w:r>
      <w:r>
        <w:rPr>
          <w:rFonts w:hint="eastAsia" w:ascii="黑体" w:hAnsi="黑体" w:eastAsia="黑体" w:cs="宋体"/>
          <w:b/>
          <w:kern w:val="0"/>
          <w:szCs w:val="21"/>
        </w:rPr>
        <w:t>将恪守勤勉尽责的原则，合理配置资产组合，为投资者提供专业化的理财服务。</w:t>
      </w:r>
    </w:p>
    <w:p w14:paraId="5FFF3C3D">
      <w:pPr>
        <w:autoSpaceDE w:val="0"/>
        <w:autoSpaceDN w:val="0"/>
        <w:adjustRightInd w:val="0"/>
        <w:ind w:firstLine="422" w:firstLineChars="200"/>
        <w:jc w:val="left"/>
        <w:rPr>
          <w:rFonts w:ascii="黑体" w:hAnsi="黑体" w:eastAsia="黑体" w:cs="宋体"/>
          <w:b/>
          <w:kern w:val="0"/>
          <w:szCs w:val="21"/>
        </w:rPr>
      </w:pPr>
      <w:r>
        <w:rPr>
          <w:rFonts w:ascii="黑体" w:hAnsi="黑体" w:eastAsia="黑体" w:cs="宋体"/>
          <w:b/>
          <w:kern w:val="0"/>
          <w:szCs w:val="21"/>
        </w:rPr>
        <w:t>4</w:t>
      </w:r>
      <w:r>
        <w:rPr>
          <w:rFonts w:hint="eastAsia" w:ascii="黑体" w:hAnsi="黑体" w:eastAsia="黑体" w:cs="宋体"/>
          <w:b/>
          <w:kern w:val="0"/>
          <w:szCs w:val="21"/>
        </w:rPr>
        <w:t>、投资者应密切关注产品管理人或</w:t>
      </w:r>
      <w:r>
        <w:rPr>
          <w:rFonts w:ascii="黑体" w:hAnsi="黑体" w:eastAsia="黑体" w:cs="宋体"/>
          <w:b/>
          <w:kern w:val="0"/>
          <w:szCs w:val="21"/>
        </w:rPr>
        <w:t>销售机构发布的</w:t>
      </w:r>
      <w:r>
        <w:rPr>
          <w:rFonts w:hint="eastAsia" w:ascii="黑体" w:hAnsi="黑体" w:eastAsia="黑体" w:cs="宋体"/>
          <w:b/>
          <w:kern w:val="0"/>
          <w:szCs w:val="21"/>
        </w:rPr>
        <w:t>与本产品有关的信息披露公告，以免造成不必要的损失。</w:t>
      </w:r>
    </w:p>
    <w:p w14:paraId="6F09A6BC">
      <w:pPr>
        <w:autoSpaceDE w:val="0"/>
        <w:autoSpaceDN w:val="0"/>
        <w:adjustRightInd w:val="0"/>
        <w:ind w:firstLine="422" w:firstLineChars="200"/>
        <w:jc w:val="left"/>
        <w:rPr>
          <w:rFonts w:ascii="黑体" w:hAnsi="黑体" w:eastAsia="黑体" w:cs="宋体"/>
          <w:b/>
          <w:kern w:val="0"/>
          <w:szCs w:val="21"/>
        </w:rPr>
      </w:pPr>
      <w:r>
        <w:rPr>
          <w:rFonts w:ascii="黑体" w:hAnsi="黑体" w:eastAsia="黑体" w:cs="宋体"/>
          <w:b/>
          <w:kern w:val="0"/>
          <w:szCs w:val="21"/>
        </w:rPr>
        <w:t>5、其他</w:t>
      </w:r>
      <w:r>
        <w:rPr>
          <w:rFonts w:hint="eastAsia" w:ascii="黑体" w:hAnsi="黑体" w:eastAsia="黑体" w:cs="宋体"/>
          <w:b/>
          <w:kern w:val="0"/>
          <w:szCs w:val="21"/>
        </w:rPr>
        <w:t>：无</w:t>
      </w:r>
    </w:p>
    <w:p w14:paraId="3CFCB2D2">
      <w:pPr>
        <w:autoSpaceDE w:val="0"/>
        <w:autoSpaceDN w:val="0"/>
        <w:adjustRightInd w:val="0"/>
        <w:ind w:firstLine="420" w:firstLineChars="200"/>
        <w:jc w:val="left"/>
        <w:rPr>
          <w:rFonts w:ascii="黑体" w:hAnsi="黑体" w:eastAsia="黑体" w:cs="宋体"/>
          <w:kern w:val="0"/>
          <w:szCs w:val="21"/>
        </w:rPr>
      </w:pPr>
    </w:p>
    <w:p w14:paraId="54E777B1">
      <w:pPr>
        <w:rPr>
          <w:rFonts w:ascii="黑体" w:hAnsi="黑体" w:eastAsia="黑体"/>
          <w:b/>
          <w:szCs w:val="21"/>
        </w:rPr>
      </w:pPr>
      <w:r>
        <w:rPr>
          <w:rFonts w:hint="eastAsia" w:ascii="黑体" w:hAnsi="黑体" w:eastAsia="黑体"/>
          <w:b/>
          <w:szCs w:val="21"/>
        </w:rPr>
        <w:t>十二、其他</w:t>
      </w:r>
    </w:p>
    <w:p w14:paraId="588CB220">
      <w:pPr>
        <w:autoSpaceDE w:val="0"/>
        <w:autoSpaceDN w:val="0"/>
        <w:adjustRightInd w:val="0"/>
        <w:ind w:firstLine="422" w:firstLineChars="200"/>
        <w:jc w:val="left"/>
        <w:rPr>
          <w:rFonts w:ascii="黑体" w:hAnsi="黑体" w:eastAsia="黑体"/>
          <w:b/>
          <w:szCs w:val="21"/>
        </w:rPr>
      </w:pPr>
      <w:r>
        <w:rPr>
          <w:rFonts w:ascii="黑体" w:hAnsi="黑体" w:eastAsia="黑体"/>
          <w:b/>
          <w:szCs w:val="21"/>
        </w:rPr>
        <w:t>1、</w:t>
      </w:r>
      <w:r>
        <w:rPr>
          <w:rFonts w:hint="eastAsia" w:ascii="黑体" w:hAnsi="黑体" w:eastAsia="黑体"/>
          <w:b/>
          <w:szCs w:val="21"/>
        </w:rPr>
        <w:t>除</w:t>
      </w:r>
      <w:r>
        <w:rPr>
          <w:rFonts w:ascii="黑体" w:hAnsi="黑体" w:eastAsia="黑体"/>
          <w:b/>
          <w:szCs w:val="21"/>
        </w:rPr>
        <w:t>产品管理人</w:t>
      </w:r>
      <w:r>
        <w:rPr>
          <w:rFonts w:hint="eastAsia" w:ascii="黑体" w:hAnsi="黑体" w:eastAsia="黑体"/>
          <w:b/>
          <w:szCs w:val="21"/>
        </w:rPr>
        <w:t>同意外</w:t>
      </w:r>
      <w:r>
        <w:rPr>
          <w:rFonts w:ascii="黑体" w:hAnsi="黑体" w:eastAsia="黑体"/>
          <w:b/>
          <w:szCs w:val="21"/>
        </w:rPr>
        <w:t>，本产品</w:t>
      </w:r>
      <w:r>
        <w:rPr>
          <w:rFonts w:hint="eastAsia" w:ascii="黑体" w:hAnsi="黑体" w:eastAsia="黑体"/>
          <w:b/>
          <w:szCs w:val="21"/>
        </w:rPr>
        <w:t>不</w:t>
      </w:r>
      <w:r>
        <w:rPr>
          <w:rFonts w:ascii="黑体" w:hAnsi="黑体" w:eastAsia="黑体"/>
          <w:b/>
          <w:szCs w:val="21"/>
        </w:rPr>
        <w:t>允许投资者</w:t>
      </w:r>
      <w:r>
        <w:rPr>
          <w:rFonts w:hint="eastAsia" w:ascii="黑体" w:hAnsi="黑体" w:eastAsia="黑体"/>
          <w:b/>
          <w:szCs w:val="21"/>
        </w:rPr>
        <w:t>办理</w:t>
      </w:r>
      <w:r>
        <w:rPr>
          <w:rFonts w:ascii="黑体" w:hAnsi="黑体" w:eastAsia="黑体"/>
          <w:b/>
          <w:szCs w:val="21"/>
        </w:rPr>
        <w:t>提前赎回</w:t>
      </w:r>
      <w:r>
        <w:rPr>
          <w:rFonts w:hint="eastAsia" w:ascii="黑体" w:hAnsi="黑体" w:eastAsia="黑体"/>
          <w:b/>
          <w:szCs w:val="21"/>
        </w:rPr>
        <w:t>。</w:t>
      </w:r>
    </w:p>
    <w:p w14:paraId="28B92AB3">
      <w:pPr>
        <w:autoSpaceDE w:val="0"/>
        <w:autoSpaceDN w:val="0"/>
        <w:adjustRightInd w:val="0"/>
        <w:ind w:firstLine="422" w:firstLineChars="200"/>
        <w:jc w:val="left"/>
        <w:rPr>
          <w:rFonts w:ascii="黑体" w:hAnsi="黑体" w:eastAsia="黑体"/>
          <w:b/>
          <w:szCs w:val="21"/>
        </w:rPr>
      </w:pPr>
      <w:r>
        <w:rPr>
          <w:rFonts w:ascii="黑体" w:hAnsi="黑体" w:eastAsia="黑体"/>
          <w:b/>
          <w:szCs w:val="21"/>
        </w:rPr>
        <w:t>2</w:t>
      </w:r>
      <w:r>
        <w:rPr>
          <w:rFonts w:hint="eastAsia" w:ascii="黑体" w:hAnsi="黑体" w:eastAsia="黑体"/>
          <w:b/>
          <w:szCs w:val="21"/>
        </w:rPr>
        <w:t>、</w:t>
      </w:r>
      <w:r>
        <w:rPr>
          <w:rFonts w:ascii="黑体" w:hAnsi="黑体" w:eastAsia="黑体"/>
          <w:b/>
          <w:szCs w:val="21"/>
        </w:rPr>
        <w:t>其他</w:t>
      </w:r>
      <w:r>
        <w:rPr>
          <w:rFonts w:hint="eastAsia" w:ascii="黑体" w:hAnsi="黑体" w:eastAsia="黑体"/>
          <w:b/>
          <w:szCs w:val="21"/>
        </w:rPr>
        <w:t>：无</w:t>
      </w:r>
    </w:p>
    <w:p w14:paraId="330178DE">
      <w:pPr>
        <w:autoSpaceDE w:val="0"/>
        <w:autoSpaceDN w:val="0"/>
        <w:adjustRightInd w:val="0"/>
        <w:ind w:firstLine="420" w:firstLineChars="200"/>
        <w:jc w:val="left"/>
        <w:rPr>
          <w:rFonts w:ascii="黑体" w:hAnsi="黑体" w:eastAsia="黑体"/>
          <w:szCs w:val="21"/>
        </w:rPr>
      </w:pPr>
    </w:p>
    <w:p w14:paraId="4654ACBF">
      <w:pPr>
        <w:autoSpaceDE w:val="0"/>
        <w:autoSpaceDN w:val="0"/>
        <w:adjustRightInd w:val="0"/>
        <w:ind w:firstLine="422" w:firstLineChars="200"/>
        <w:jc w:val="left"/>
        <w:rPr>
          <w:rFonts w:ascii="黑体" w:hAnsi="黑体" w:eastAsia="黑体"/>
          <w:b/>
          <w:szCs w:val="21"/>
        </w:rPr>
      </w:pPr>
      <w:r>
        <w:rPr>
          <w:rFonts w:hint="eastAsia" w:ascii="黑体" w:hAnsi="黑体" w:eastAsia="黑体"/>
          <w:b/>
          <w:szCs w:val="21"/>
        </w:rPr>
        <w:t>以下内容由投资者确认并</w:t>
      </w:r>
      <w:r>
        <w:rPr>
          <w:rFonts w:ascii="黑体" w:hAnsi="黑体" w:eastAsia="黑体"/>
          <w:b/>
          <w:szCs w:val="21"/>
        </w:rPr>
        <w:t>签字</w:t>
      </w:r>
      <w:r>
        <w:rPr>
          <w:rFonts w:hint="eastAsia" w:ascii="黑体" w:hAnsi="黑体" w:eastAsia="黑体"/>
          <w:b/>
          <w:szCs w:val="21"/>
        </w:rPr>
        <w:t>（机构投资者需盖章），如通过线上渠道购买，认（申）购确认即视为投资者同意并确认下述内容：</w:t>
      </w:r>
    </w:p>
    <w:p w14:paraId="289A4C78">
      <w:pPr>
        <w:autoSpaceDE w:val="0"/>
        <w:autoSpaceDN w:val="0"/>
        <w:adjustRightInd w:val="0"/>
        <w:ind w:firstLine="420" w:firstLineChars="200"/>
        <w:jc w:val="left"/>
        <w:rPr>
          <w:rFonts w:ascii="黑体" w:hAnsi="黑体" w:eastAsia="黑体"/>
          <w:szCs w:val="21"/>
        </w:rPr>
      </w:pPr>
      <w:r>
        <w:rPr>
          <w:rFonts w:hint="eastAsia" w:ascii="黑体" w:hAnsi="黑体" w:eastAsia="黑体"/>
          <w:szCs w:val="21"/>
        </w:rPr>
        <w:t>声明：本人</w:t>
      </w:r>
      <w:r>
        <w:rPr>
          <w:rFonts w:ascii="黑体" w:hAnsi="黑体" w:eastAsia="黑体"/>
          <w:szCs w:val="21"/>
        </w:rPr>
        <w:t>/本机构充分</w:t>
      </w:r>
      <w:r>
        <w:rPr>
          <w:rFonts w:hint="eastAsia" w:ascii="黑体" w:hAnsi="黑体" w:eastAsia="黑体"/>
          <w:szCs w:val="21"/>
        </w:rPr>
        <w:t>阅读本</w:t>
      </w:r>
      <w:r>
        <w:rPr>
          <w:rFonts w:ascii="黑体" w:hAnsi="黑体" w:eastAsia="黑体"/>
          <w:szCs w:val="21"/>
        </w:rPr>
        <w:t>说明书及</w:t>
      </w:r>
      <w:r>
        <w:rPr>
          <w:rFonts w:hint="eastAsia" w:ascii="黑体" w:hAnsi="黑体" w:eastAsia="黑体"/>
          <w:szCs w:val="21"/>
        </w:rPr>
        <w:t>本理财产品的《风险揭示书》、《销售（代理销售）协议书》、《投资协议书》、《投资者权益须知》等理财产品销售文件，已全面、准确地理解本产品，充分认识到投资本产品需要承担的风险，并自愿承担此风险。</w:t>
      </w:r>
    </w:p>
    <w:p w14:paraId="42745F13">
      <w:pPr>
        <w:autoSpaceDE w:val="0"/>
        <w:autoSpaceDN w:val="0"/>
        <w:adjustRightInd w:val="0"/>
        <w:ind w:firstLine="420" w:firstLineChars="200"/>
        <w:jc w:val="left"/>
        <w:rPr>
          <w:rFonts w:ascii="黑体" w:hAnsi="黑体" w:eastAsia="黑体"/>
          <w:szCs w:val="21"/>
        </w:rPr>
      </w:pPr>
    </w:p>
    <w:p w14:paraId="535B2A25">
      <w:pPr>
        <w:autoSpaceDE w:val="0"/>
        <w:autoSpaceDN w:val="0"/>
        <w:adjustRightInd w:val="0"/>
        <w:ind w:firstLine="422" w:firstLineChars="200"/>
        <w:jc w:val="left"/>
        <w:rPr>
          <w:rFonts w:ascii="黑体" w:hAnsi="黑体" w:eastAsia="黑体"/>
          <w:b/>
          <w:szCs w:val="21"/>
        </w:rPr>
      </w:pPr>
      <w:bookmarkStart w:id="8" w:name="OLE_LINK7"/>
      <w:bookmarkStart w:id="9" w:name="OLE_LINK6"/>
      <w:r>
        <w:rPr>
          <w:rFonts w:hint="eastAsia" w:ascii="黑体" w:hAnsi="黑体" w:eastAsia="黑体"/>
          <w:b/>
          <w:szCs w:val="21"/>
        </w:rPr>
        <w:t>(自然人签署适用)</w:t>
      </w:r>
    </w:p>
    <w:p w14:paraId="6B6CAAE0">
      <w:pPr>
        <w:autoSpaceDE w:val="0"/>
        <w:autoSpaceDN w:val="0"/>
        <w:adjustRightInd w:val="0"/>
        <w:ind w:firstLine="422" w:firstLineChars="200"/>
        <w:jc w:val="left"/>
        <w:rPr>
          <w:rFonts w:ascii="黑体" w:hAnsi="黑体" w:eastAsia="黑体"/>
          <w:b/>
          <w:szCs w:val="21"/>
        </w:rPr>
      </w:pPr>
      <w:r>
        <w:rPr>
          <w:rFonts w:hint="eastAsia" w:ascii="黑体" w:hAnsi="黑体" w:eastAsia="黑体"/>
          <w:b/>
          <w:szCs w:val="21"/>
        </w:rPr>
        <w:t>投资者签字</w:t>
      </w:r>
      <w:r>
        <w:rPr>
          <w:rFonts w:ascii="黑体" w:hAnsi="黑体" w:eastAsia="黑体"/>
          <w:b/>
          <w:szCs w:val="21"/>
        </w:rPr>
        <w:t>____________</w:t>
      </w:r>
    </w:p>
    <w:p w14:paraId="42E4409F">
      <w:pPr>
        <w:autoSpaceDE w:val="0"/>
        <w:autoSpaceDN w:val="0"/>
        <w:adjustRightInd w:val="0"/>
        <w:ind w:firstLine="422" w:firstLineChars="200"/>
        <w:jc w:val="left"/>
        <w:rPr>
          <w:rFonts w:ascii="黑体" w:hAnsi="黑体" w:eastAsia="黑体"/>
          <w:b/>
          <w:szCs w:val="21"/>
        </w:rPr>
      </w:pPr>
    </w:p>
    <w:p w14:paraId="498FE74E">
      <w:pPr>
        <w:autoSpaceDE w:val="0"/>
        <w:autoSpaceDN w:val="0"/>
        <w:adjustRightInd w:val="0"/>
        <w:ind w:firstLine="422" w:firstLineChars="200"/>
        <w:jc w:val="left"/>
        <w:rPr>
          <w:rFonts w:ascii="黑体" w:hAnsi="黑体" w:eastAsia="黑体"/>
          <w:b/>
          <w:szCs w:val="21"/>
        </w:rPr>
      </w:pPr>
      <w:r>
        <w:rPr>
          <w:rFonts w:hint="eastAsia" w:ascii="黑体" w:hAnsi="黑体" w:eastAsia="黑体"/>
          <w:b/>
          <w:szCs w:val="21"/>
        </w:rPr>
        <w:t>（机构投资者签署适用）</w:t>
      </w:r>
    </w:p>
    <w:p w14:paraId="30A9897B">
      <w:pPr>
        <w:autoSpaceDE w:val="0"/>
        <w:autoSpaceDN w:val="0"/>
        <w:adjustRightInd w:val="0"/>
        <w:ind w:firstLine="422" w:firstLineChars="200"/>
        <w:jc w:val="left"/>
        <w:rPr>
          <w:rFonts w:ascii="黑体" w:hAnsi="黑体" w:eastAsia="黑体"/>
          <w:b/>
          <w:szCs w:val="21"/>
        </w:rPr>
      </w:pPr>
      <w:r>
        <w:rPr>
          <w:rFonts w:ascii="黑体" w:hAnsi="黑体" w:eastAsia="黑体"/>
          <w:b/>
          <w:szCs w:val="21"/>
        </w:rPr>
        <w:t>公章（或经公章授权的其他有效印鉴）：</w:t>
      </w:r>
    </w:p>
    <w:p w14:paraId="730C0DF8">
      <w:pPr>
        <w:autoSpaceDE w:val="0"/>
        <w:autoSpaceDN w:val="0"/>
        <w:adjustRightInd w:val="0"/>
        <w:ind w:firstLine="422" w:firstLineChars="200"/>
        <w:jc w:val="left"/>
        <w:rPr>
          <w:rFonts w:ascii="黑体" w:hAnsi="黑体" w:eastAsia="黑体"/>
          <w:b/>
          <w:szCs w:val="21"/>
        </w:rPr>
      </w:pPr>
      <w:r>
        <w:rPr>
          <w:rFonts w:ascii="黑体" w:hAnsi="黑体" w:eastAsia="黑体"/>
          <w:b/>
          <w:szCs w:val="21"/>
        </w:rPr>
        <w:t>法定代表人（负责人）或授权代理人签字/签章：</w:t>
      </w:r>
    </w:p>
    <w:p w14:paraId="3080DE94">
      <w:pPr>
        <w:autoSpaceDE w:val="0"/>
        <w:autoSpaceDN w:val="0"/>
        <w:adjustRightInd w:val="0"/>
        <w:ind w:firstLine="422" w:firstLineChars="200"/>
        <w:jc w:val="left"/>
        <w:rPr>
          <w:rFonts w:ascii="黑体" w:hAnsi="黑体" w:eastAsia="黑体"/>
          <w:b/>
          <w:szCs w:val="21"/>
        </w:rPr>
      </w:pPr>
    </w:p>
    <w:p w14:paraId="5AE7946D">
      <w:pPr>
        <w:autoSpaceDE w:val="0"/>
        <w:autoSpaceDN w:val="0"/>
        <w:adjustRightInd w:val="0"/>
        <w:ind w:firstLine="422" w:firstLineChars="200"/>
        <w:jc w:val="left"/>
        <w:rPr>
          <w:rFonts w:ascii="黑体" w:hAnsi="黑体" w:eastAsia="黑体"/>
          <w:b/>
          <w:szCs w:val="21"/>
        </w:rPr>
      </w:pPr>
    </w:p>
    <w:p w14:paraId="01361070">
      <w:pPr>
        <w:autoSpaceDE w:val="0"/>
        <w:autoSpaceDN w:val="0"/>
        <w:adjustRightInd w:val="0"/>
        <w:ind w:firstLine="422" w:firstLineChars="200"/>
        <w:jc w:val="left"/>
        <w:rPr>
          <w:rFonts w:ascii="黑体" w:hAnsi="黑体" w:eastAsia="黑体"/>
          <w:b/>
          <w:szCs w:val="21"/>
        </w:rPr>
      </w:pPr>
      <w:r>
        <w:rPr>
          <w:rFonts w:hint="eastAsia" w:ascii="黑体" w:hAnsi="黑体" w:eastAsia="黑体"/>
          <w:b/>
          <w:szCs w:val="21"/>
        </w:rPr>
        <w:t>日期</w:t>
      </w:r>
      <w:r>
        <w:rPr>
          <w:rFonts w:ascii="黑体" w:hAnsi="黑体" w:eastAsia="黑体"/>
          <w:b/>
          <w:szCs w:val="21"/>
        </w:rPr>
        <w:t>_______________</w:t>
      </w:r>
    </w:p>
    <w:p w14:paraId="12214F50">
      <w:pPr>
        <w:autoSpaceDE w:val="0"/>
        <w:autoSpaceDN w:val="0"/>
        <w:adjustRightInd w:val="0"/>
        <w:ind w:firstLine="422" w:firstLineChars="200"/>
        <w:jc w:val="left"/>
        <w:rPr>
          <w:rFonts w:ascii="黑体" w:hAnsi="黑体" w:eastAsia="黑体"/>
          <w:b/>
          <w:szCs w:val="21"/>
        </w:rPr>
      </w:pPr>
    </w:p>
    <w:bookmarkEnd w:id="8"/>
    <w:bookmarkEnd w:id="9"/>
    <w:p w14:paraId="326ACC81">
      <w:pPr>
        <w:autoSpaceDE w:val="0"/>
        <w:autoSpaceDN w:val="0"/>
        <w:adjustRightInd w:val="0"/>
        <w:ind w:firstLine="422" w:firstLineChars="200"/>
        <w:jc w:val="left"/>
        <w:rPr>
          <w:rFonts w:ascii="黑体" w:hAnsi="黑体" w:eastAsia="黑体"/>
          <w:b/>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ËÎÌå">
    <w:altName w:val="Arial"/>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AC6"/>
    <w:rsid w:val="0000176B"/>
    <w:rsid w:val="000025FA"/>
    <w:rsid w:val="00003AA1"/>
    <w:rsid w:val="00003EBD"/>
    <w:rsid w:val="00003FA6"/>
    <w:rsid w:val="0000451F"/>
    <w:rsid w:val="000174F6"/>
    <w:rsid w:val="00017722"/>
    <w:rsid w:val="000215EB"/>
    <w:rsid w:val="00026DD6"/>
    <w:rsid w:val="00031538"/>
    <w:rsid w:val="00033480"/>
    <w:rsid w:val="00034C41"/>
    <w:rsid w:val="000378C2"/>
    <w:rsid w:val="000409FC"/>
    <w:rsid w:val="0004156C"/>
    <w:rsid w:val="000416B9"/>
    <w:rsid w:val="00044F8E"/>
    <w:rsid w:val="00050371"/>
    <w:rsid w:val="000507E2"/>
    <w:rsid w:val="00050ECB"/>
    <w:rsid w:val="00051840"/>
    <w:rsid w:val="0005319F"/>
    <w:rsid w:val="00056684"/>
    <w:rsid w:val="00057968"/>
    <w:rsid w:val="000601D9"/>
    <w:rsid w:val="00061BEB"/>
    <w:rsid w:val="0006305B"/>
    <w:rsid w:val="000636B1"/>
    <w:rsid w:val="00067779"/>
    <w:rsid w:val="0007085B"/>
    <w:rsid w:val="00070B54"/>
    <w:rsid w:val="00070DF8"/>
    <w:rsid w:val="00071EDC"/>
    <w:rsid w:val="00072129"/>
    <w:rsid w:val="0007385D"/>
    <w:rsid w:val="00075B5B"/>
    <w:rsid w:val="00080D59"/>
    <w:rsid w:val="0008234F"/>
    <w:rsid w:val="000853EA"/>
    <w:rsid w:val="00086A32"/>
    <w:rsid w:val="00087409"/>
    <w:rsid w:val="00087BAB"/>
    <w:rsid w:val="000901A3"/>
    <w:rsid w:val="00092090"/>
    <w:rsid w:val="00093CC7"/>
    <w:rsid w:val="0009473D"/>
    <w:rsid w:val="000948EC"/>
    <w:rsid w:val="00094FE4"/>
    <w:rsid w:val="000961B5"/>
    <w:rsid w:val="000A1317"/>
    <w:rsid w:val="000A18C0"/>
    <w:rsid w:val="000A2DFC"/>
    <w:rsid w:val="000A5F27"/>
    <w:rsid w:val="000B02CD"/>
    <w:rsid w:val="000B1B55"/>
    <w:rsid w:val="000B5CDF"/>
    <w:rsid w:val="000B7DAC"/>
    <w:rsid w:val="000C1848"/>
    <w:rsid w:val="000C24BC"/>
    <w:rsid w:val="000C42C5"/>
    <w:rsid w:val="000C4701"/>
    <w:rsid w:val="000C4EC5"/>
    <w:rsid w:val="000C69AD"/>
    <w:rsid w:val="000D0D6D"/>
    <w:rsid w:val="000D157F"/>
    <w:rsid w:val="000D3B50"/>
    <w:rsid w:val="000D45A4"/>
    <w:rsid w:val="000E1F92"/>
    <w:rsid w:val="000E7012"/>
    <w:rsid w:val="000E7390"/>
    <w:rsid w:val="000F00C2"/>
    <w:rsid w:val="000F0F60"/>
    <w:rsid w:val="000F6DB1"/>
    <w:rsid w:val="000F6E82"/>
    <w:rsid w:val="000F7233"/>
    <w:rsid w:val="0010028F"/>
    <w:rsid w:val="0010039D"/>
    <w:rsid w:val="00102FC0"/>
    <w:rsid w:val="0010696D"/>
    <w:rsid w:val="001124E6"/>
    <w:rsid w:val="00113FE0"/>
    <w:rsid w:val="00115F68"/>
    <w:rsid w:val="00116E6A"/>
    <w:rsid w:val="00116FC4"/>
    <w:rsid w:val="001170D3"/>
    <w:rsid w:val="00117548"/>
    <w:rsid w:val="00117F12"/>
    <w:rsid w:val="001237FC"/>
    <w:rsid w:val="0012480E"/>
    <w:rsid w:val="00126B55"/>
    <w:rsid w:val="00130E4C"/>
    <w:rsid w:val="00131131"/>
    <w:rsid w:val="00131A48"/>
    <w:rsid w:val="00134602"/>
    <w:rsid w:val="001346E5"/>
    <w:rsid w:val="001369B6"/>
    <w:rsid w:val="0014048F"/>
    <w:rsid w:val="00141F64"/>
    <w:rsid w:val="00144026"/>
    <w:rsid w:val="00144EC5"/>
    <w:rsid w:val="00147CE2"/>
    <w:rsid w:val="00152567"/>
    <w:rsid w:val="00152867"/>
    <w:rsid w:val="00152F10"/>
    <w:rsid w:val="00155222"/>
    <w:rsid w:val="00155AA2"/>
    <w:rsid w:val="00161939"/>
    <w:rsid w:val="00171724"/>
    <w:rsid w:val="001754AB"/>
    <w:rsid w:val="0017557E"/>
    <w:rsid w:val="00175DE9"/>
    <w:rsid w:val="00182666"/>
    <w:rsid w:val="00183646"/>
    <w:rsid w:val="00184ACA"/>
    <w:rsid w:val="001873CF"/>
    <w:rsid w:val="00190D09"/>
    <w:rsid w:val="00191007"/>
    <w:rsid w:val="00192BC1"/>
    <w:rsid w:val="00195E32"/>
    <w:rsid w:val="001A122F"/>
    <w:rsid w:val="001A33B3"/>
    <w:rsid w:val="001A3784"/>
    <w:rsid w:val="001A4B84"/>
    <w:rsid w:val="001A7628"/>
    <w:rsid w:val="001B0BB4"/>
    <w:rsid w:val="001B2EFE"/>
    <w:rsid w:val="001B57A6"/>
    <w:rsid w:val="001B6116"/>
    <w:rsid w:val="001B6132"/>
    <w:rsid w:val="001B666C"/>
    <w:rsid w:val="001B684C"/>
    <w:rsid w:val="001C3804"/>
    <w:rsid w:val="001C4E46"/>
    <w:rsid w:val="001C5892"/>
    <w:rsid w:val="001C6AE3"/>
    <w:rsid w:val="001D195C"/>
    <w:rsid w:val="001D1C54"/>
    <w:rsid w:val="001D30BF"/>
    <w:rsid w:val="001D7BF1"/>
    <w:rsid w:val="001E057A"/>
    <w:rsid w:val="001E09D3"/>
    <w:rsid w:val="001E1673"/>
    <w:rsid w:val="001E3229"/>
    <w:rsid w:val="001E362F"/>
    <w:rsid w:val="001E7584"/>
    <w:rsid w:val="001F0B1B"/>
    <w:rsid w:val="001F101E"/>
    <w:rsid w:val="001F1357"/>
    <w:rsid w:val="001F221B"/>
    <w:rsid w:val="001F3A8D"/>
    <w:rsid w:val="001F42EA"/>
    <w:rsid w:val="001F64AF"/>
    <w:rsid w:val="002004AC"/>
    <w:rsid w:val="002007C4"/>
    <w:rsid w:val="00203B98"/>
    <w:rsid w:val="00203E75"/>
    <w:rsid w:val="00205407"/>
    <w:rsid w:val="00205A63"/>
    <w:rsid w:val="00207B15"/>
    <w:rsid w:val="002126EC"/>
    <w:rsid w:val="0021403B"/>
    <w:rsid w:val="0021442E"/>
    <w:rsid w:val="00216135"/>
    <w:rsid w:val="002169BC"/>
    <w:rsid w:val="00217D7A"/>
    <w:rsid w:val="00221E77"/>
    <w:rsid w:val="00222528"/>
    <w:rsid w:val="002228A0"/>
    <w:rsid w:val="00223113"/>
    <w:rsid w:val="002240D2"/>
    <w:rsid w:val="0022538B"/>
    <w:rsid w:val="002262A4"/>
    <w:rsid w:val="00227432"/>
    <w:rsid w:val="00232B05"/>
    <w:rsid w:val="00235CCA"/>
    <w:rsid w:val="002369D6"/>
    <w:rsid w:val="00241C2D"/>
    <w:rsid w:val="00241E4E"/>
    <w:rsid w:val="00250338"/>
    <w:rsid w:val="00250802"/>
    <w:rsid w:val="00250E9B"/>
    <w:rsid w:val="00251DC6"/>
    <w:rsid w:val="002607BD"/>
    <w:rsid w:val="002619BF"/>
    <w:rsid w:val="00262989"/>
    <w:rsid w:val="002643FE"/>
    <w:rsid w:val="00264630"/>
    <w:rsid w:val="00267000"/>
    <w:rsid w:val="002719F3"/>
    <w:rsid w:val="00271E95"/>
    <w:rsid w:val="00273D95"/>
    <w:rsid w:val="002744D3"/>
    <w:rsid w:val="002764EE"/>
    <w:rsid w:val="00276930"/>
    <w:rsid w:val="00281DEF"/>
    <w:rsid w:val="00284493"/>
    <w:rsid w:val="002852E1"/>
    <w:rsid w:val="00285590"/>
    <w:rsid w:val="002864DE"/>
    <w:rsid w:val="002902D7"/>
    <w:rsid w:val="002904A5"/>
    <w:rsid w:val="002905AF"/>
    <w:rsid w:val="00290B53"/>
    <w:rsid w:val="002926F4"/>
    <w:rsid w:val="00294E79"/>
    <w:rsid w:val="00297B86"/>
    <w:rsid w:val="002A1E8F"/>
    <w:rsid w:val="002A2BE3"/>
    <w:rsid w:val="002A2CDB"/>
    <w:rsid w:val="002A30FE"/>
    <w:rsid w:val="002A39E8"/>
    <w:rsid w:val="002A47B2"/>
    <w:rsid w:val="002A514E"/>
    <w:rsid w:val="002A7438"/>
    <w:rsid w:val="002B1EDC"/>
    <w:rsid w:val="002B3764"/>
    <w:rsid w:val="002B38B2"/>
    <w:rsid w:val="002B400B"/>
    <w:rsid w:val="002B5186"/>
    <w:rsid w:val="002B7D91"/>
    <w:rsid w:val="002C3825"/>
    <w:rsid w:val="002C3837"/>
    <w:rsid w:val="002C4BD1"/>
    <w:rsid w:val="002C4EAE"/>
    <w:rsid w:val="002C55F0"/>
    <w:rsid w:val="002C6D29"/>
    <w:rsid w:val="002C7670"/>
    <w:rsid w:val="002C7DCC"/>
    <w:rsid w:val="002D31EE"/>
    <w:rsid w:val="002D31F7"/>
    <w:rsid w:val="002D3554"/>
    <w:rsid w:val="002D4315"/>
    <w:rsid w:val="002D61AC"/>
    <w:rsid w:val="002E0105"/>
    <w:rsid w:val="002E2EBF"/>
    <w:rsid w:val="002E3530"/>
    <w:rsid w:val="002E3C2E"/>
    <w:rsid w:val="002E3D53"/>
    <w:rsid w:val="002E49C3"/>
    <w:rsid w:val="002E5377"/>
    <w:rsid w:val="002E54FB"/>
    <w:rsid w:val="002E5C09"/>
    <w:rsid w:val="002E5FD5"/>
    <w:rsid w:val="002E7711"/>
    <w:rsid w:val="002F299C"/>
    <w:rsid w:val="002F4B7F"/>
    <w:rsid w:val="002F7917"/>
    <w:rsid w:val="002F7F3D"/>
    <w:rsid w:val="00301699"/>
    <w:rsid w:val="003031F2"/>
    <w:rsid w:val="0030538E"/>
    <w:rsid w:val="003072A9"/>
    <w:rsid w:val="00310FD3"/>
    <w:rsid w:val="003127F8"/>
    <w:rsid w:val="00314CC3"/>
    <w:rsid w:val="0032321C"/>
    <w:rsid w:val="00325E46"/>
    <w:rsid w:val="00327BFF"/>
    <w:rsid w:val="00332AF0"/>
    <w:rsid w:val="00333043"/>
    <w:rsid w:val="0034768A"/>
    <w:rsid w:val="0034794B"/>
    <w:rsid w:val="00350774"/>
    <w:rsid w:val="00351D8F"/>
    <w:rsid w:val="003560BA"/>
    <w:rsid w:val="00357B47"/>
    <w:rsid w:val="003605C1"/>
    <w:rsid w:val="003617E3"/>
    <w:rsid w:val="003630F9"/>
    <w:rsid w:val="00363B17"/>
    <w:rsid w:val="00363C68"/>
    <w:rsid w:val="00366DBC"/>
    <w:rsid w:val="003674F9"/>
    <w:rsid w:val="00367C9A"/>
    <w:rsid w:val="00367D6C"/>
    <w:rsid w:val="00367EC6"/>
    <w:rsid w:val="00367EF9"/>
    <w:rsid w:val="00370F33"/>
    <w:rsid w:val="0037113C"/>
    <w:rsid w:val="003731A6"/>
    <w:rsid w:val="00376166"/>
    <w:rsid w:val="003776C6"/>
    <w:rsid w:val="0037778A"/>
    <w:rsid w:val="003778EB"/>
    <w:rsid w:val="00377DAA"/>
    <w:rsid w:val="003806D0"/>
    <w:rsid w:val="003833E2"/>
    <w:rsid w:val="003851BD"/>
    <w:rsid w:val="00391030"/>
    <w:rsid w:val="003914A2"/>
    <w:rsid w:val="00393852"/>
    <w:rsid w:val="003973ED"/>
    <w:rsid w:val="003A517F"/>
    <w:rsid w:val="003A6557"/>
    <w:rsid w:val="003A68FF"/>
    <w:rsid w:val="003A7436"/>
    <w:rsid w:val="003A752B"/>
    <w:rsid w:val="003A79F4"/>
    <w:rsid w:val="003B5D51"/>
    <w:rsid w:val="003B66E8"/>
    <w:rsid w:val="003C45E6"/>
    <w:rsid w:val="003C5AFE"/>
    <w:rsid w:val="003C73C4"/>
    <w:rsid w:val="003C7F21"/>
    <w:rsid w:val="003C7F31"/>
    <w:rsid w:val="003D111E"/>
    <w:rsid w:val="003D13B9"/>
    <w:rsid w:val="003D393A"/>
    <w:rsid w:val="003D48EF"/>
    <w:rsid w:val="003D4EF2"/>
    <w:rsid w:val="003D56ED"/>
    <w:rsid w:val="003D5F07"/>
    <w:rsid w:val="003D7153"/>
    <w:rsid w:val="003E10D6"/>
    <w:rsid w:val="003E3B34"/>
    <w:rsid w:val="003E40EC"/>
    <w:rsid w:val="003E43BB"/>
    <w:rsid w:val="003E4C64"/>
    <w:rsid w:val="003E5914"/>
    <w:rsid w:val="003F068A"/>
    <w:rsid w:val="003F0A6B"/>
    <w:rsid w:val="003F2DC2"/>
    <w:rsid w:val="003F4BC2"/>
    <w:rsid w:val="003F4C1A"/>
    <w:rsid w:val="003F5263"/>
    <w:rsid w:val="003F63B1"/>
    <w:rsid w:val="003F6C1B"/>
    <w:rsid w:val="003F7A4D"/>
    <w:rsid w:val="00400436"/>
    <w:rsid w:val="004025AA"/>
    <w:rsid w:val="0040304D"/>
    <w:rsid w:val="00405894"/>
    <w:rsid w:val="00406348"/>
    <w:rsid w:val="004068F7"/>
    <w:rsid w:val="00412E71"/>
    <w:rsid w:val="00417569"/>
    <w:rsid w:val="00430D95"/>
    <w:rsid w:val="00430E48"/>
    <w:rsid w:val="0043119F"/>
    <w:rsid w:val="00432809"/>
    <w:rsid w:val="0043426C"/>
    <w:rsid w:val="004348D5"/>
    <w:rsid w:val="00437DEE"/>
    <w:rsid w:val="004403BB"/>
    <w:rsid w:val="00441A24"/>
    <w:rsid w:val="00442195"/>
    <w:rsid w:val="00442413"/>
    <w:rsid w:val="00442752"/>
    <w:rsid w:val="0044281A"/>
    <w:rsid w:val="00445B6F"/>
    <w:rsid w:val="0045179E"/>
    <w:rsid w:val="00451F82"/>
    <w:rsid w:val="004521F9"/>
    <w:rsid w:val="00454FCF"/>
    <w:rsid w:val="0045683D"/>
    <w:rsid w:val="0046246A"/>
    <w:rsid w:val="00462F3C"/>
    <w:rsid w:val="00465A2E"/>
    <w:rsid w:val="00467689"/>
    <w:rsid w:val="00467A29"/>
    <w:rsid w:val="00467C8F"/>
    <w:rsid w:val="00470D34"/>
    <w:rsid w:val="00470E38"/>
    <w:rsid w:val="00473D12"/>
    <w:rsid w:val="00474424"/>
    <w:rsid w:val="004776BA"/>
    <w:rsid w:val="00480066"/>
    <w:rsid w:val="004802C3"/>
    <w:rsid w:val="0048181C"/>
    <w:rsid w:val="0048676B"/>
    <w:rsid w:val="00487141"/>
    <w:rsid w:val="004908EA"/>
    <w:rsid w:val="00490AFE"/>
    <w:rsid w:val="004953C6"/>
    <w:rsid w:val="0049672E"/>
    <w:rsid w:val="00496909"/>
    <w:rsid w:val="004A1F60"/>
    <w:rsid w:val="004A30A4"/>
    <w:rsid w:val="004A3460"/>
    <w:rsid w:val="004A65C8"/>
    <w:rsid w:val="004A6F12"/>
    <w:rsid w:val="004A7DD2"/>
    <w:rsid w:val="004B036A"/>
    <w:rsid w:val="004B04B2"/>
    <w:rsid w:val="004B078F"/>
    <w:rsid w:val="004B2684"/>
    <w:rsid w:val="004B7E6F"/>
    <w:rsid w:val="004C07F4"/>
    <w:rsid w:val="004C097A"/>
    <w:rsid w:val="004C2FAD"/>
    <w:rsid w:val="004C6FAF"/>
    <w:rsid w:val="004C7BE9"/>
    <w:rsid w:val="004D2E0E"/>
    <w:rsid w:val="004D3AEC"/>
    <w:rsid w:val="004D3E60"/>
    <w:rsid w:val="004D4011"/>
    <w:rsid w:val="004D4A6E"/>
    <w:rsid w:val="004D4D4F"/>
    <w:rsid w:val="004E2578"/>
    <w:rsid w:val="004E393F"/>
    <w:rsid w:val="004E569E"/>
    <w:rsid w:val="004E64DB"/>
    <w:rsid w:val="004E6E44"/>
    <w:rsid w:val="004E7102"/>
    <w:rsid w:val="004E7E00"/>
    <w:rsid w:val="004F0329"/>
    <w:rsid w:val="004F2420"/>
    <w:rsid w:val="004F27D7"/>
    <w:rsid w:val="004F3469"/>
    <w:rsid w:val="004F6458"/>
    <w:rsid w:val="004F77F6"/>
    <w:rsid w:val="004F7C8C"/>
    <w:rsid w:val="005007EA"/>
    <w:rsid w:val="00501021"/>
    <w:rsid w:val="0050286A"/>
    <w:rsid w:val="00506097"/>
    <w:rsid w:val="00506601"/>
    <w:rsid w:val="00507B3B"/>
    <w:rsid w:val="005116B8"/>
    <w:rsid w:val="00511CE6"/>
    <w:rsid w:val="00511E31"/>
    <w:rsid w:val="00513F65"/>
    <w:rsid w:val="00514275"/>
    <w:rsid w:val="00514434"/>
    <w:rsid w:val="00514A92"/>
    <w:rsid w:val="00515ADE"/>
    <w:rsid w:val="00517850"/>
    <w:rsid w:val="0052226A"/>
    <w:rsid w:val="005242C0"/>
    <w:rsid w:val="00524657"/>
    <w:rsid w:val="00527CA9"/>
    <w:rsid w:val="00532B2A"/>
    <w:rsid w:val="005338D9"/>
    <w:rsid w:val="00535FDE"/>
    <w:rsid w:val="00536787"/>
    <w:rsid w:val="005374AF"/>
    <w:rsid w:val="00542B83"/>
    <w:rsid w:val="00543D78"/>
    <w:rsid w:val="00544897"/>
    <w:rsid w:val="00544B94"/>
    <w:rsid w:val="00551654"/>
    <w:rsid w:val="00551AF4"/>
    <w:rsid w:val="00551B1D"/>
    <w:rsid w:val="0055376C"/>
    <w:rsid w:val="005539B3"/>
    <w:rsid w:val="0055714F"/>
    <w:rsid w:val="005573CC"/>
    <w:rsid w:val="00557E54"/>
    <w:rsid w:val="005601A7"/>
    <w:rsid w:val="00563E9B"/>
    <w:rsid w:val="005649E1"/>
    <w:rsid w:val="005657AD"/>
    <w:rsid w:val="00566C72"/>
    <w:rsid w:val="00572383"/>
    <w:rsid w:val="00572E74"/>
    <w:rsid w:val="0057351E"/>
    <w:rsid w:val="005744B9"/>
    <w:rsid w:val="00576362"/>
    <w:rsid w:val="00576573"/>
    <w:rsid w:val="00580069"/>
    <w:rsid w:val="00580711"/>
    <w:rsid w:val="00580CBF"/>
    <w:rsid w:val="005810BE"/>
    <w:rsid w:val="00582B53"/>
    <w:rsid w:val="0058605A"/>
    <w:rsid w:val="00586BE6"/>
    <w:rsid w:val="00591FA7"/>
    <w:rsid w:val="0059574C"/>
    <w:rsid w:val="00596423"/>
    <w:rsid w:val="00597B25"/>
    <w:rsid w:val="005A0521"/>
    <w:rsid w:val="005A05B1"/>
    <w:rsid w:val="005A2313"/>
    <w:rsid w:val="005A49BD"/>
    <w:rsid w:val="005A4B6A"/>
    <w:rsid w:val="005A5294"/>
    <w:rsid w:val="005A5595"/>
    <w:rsid w:val="005A70E5"/>
    <w:rsid w:val="005B0431"/>
    <w:rsid w:val="005B13AC"/>
    <w:rsid w:val="005B21B2"/>
    <w:rsid w:val="005B58CA"/>
    <w:rsid w:val="005B6EC7"/>
    <w:rsid w:val="005B729D"/>
    <w:rsid w:val="005C1B6D"/>
    <w:rsid w:val="005C2282"/>
    <w:rsid w:val="005C2924"/>
    <w:rsid w:val="005C2C85"/>
    <w:rsid w:val="005C5F5F"/>
    <w:rsid w:val="005C6AF8"/>
    <w:rsid w:val="005C6C46"/>
    <w:rsid w:val="005C7063"/>
    <w:rsid w:val="005C73CC"/>
    <w:rsid w:val="005C75D7"/>
    <w:rsid w:val="005D2180"/>
    <w:rsid w:val="005D6616"/>
    <w:rsid w:val="005E1052"/>
    <w:rsid w:val="005E1757"/>
    <w:rsid w:val="005E3073"/>
    <w:rsid w:val="005E380D"/>
    <w:rsid w:val="005E3E65"/>
    <w:rsid w:val="005E6293"/>
    <w:rsid w:val="005E64D0"/>
    <w:rsid w:val="005E64F5"/>
    <w:rsid w:val="005E6B5B"/>
    <w:rsid w:val="005E6FB1"/>
    <w:rsid w:val="005E78CA"/>
    <w:rsid w:val="005F03A9"/>
    <w:rsid w:val="005F08B9"/>
    <w:rsid w:val="005F3B26"/>
    <w:rsid w:val="005F4888"/>
    <w:rsid w:val="005F4CFC"/>
    <w:rsid w:val="005F513E"/>
    <w:rsid w:val="005F7688"/>
    <w:rsid w:val="005F7F66"/>
    <w:rsid w:val="00600134"/>
    <w:rsid w:val="0060086C"/>
    <w:rsid w:val="00601F1B"/>
    <w:rsid w:val="006038D4"/>
    <w:rsid w:val="00604159"/>
    <w:rsid w:val="00605CEB"/>
    <w:rsid w:val="00607B20"/>
    <w:rsid w:val="00613DCB"/>
    <w:rsid w:val="00614F66"/>
    <w:rsid w:val="00616B32"/>
    <w:rsid w:val="00616F1D"/>
    <w:rsid w:val="006202A2"/>
    <w:rsid w:val="00622C9F"/>
    <w:rsid w:val="00623C73"/>
    <w:rsid w:val="00626A3F"/>
    <w:rsid w:val="00630DC3"/>
    <w:rsid w:val="00631FCF"/>
    <w:rsid w:val="00632C12"/>
    <w:rsid w:val="00633A8B"/>
    <w:rsid w:val="00634885"/>
    <w:rsid w:val="006362EC"/>
    <w:rsid w:val="00640E97"/>
    <w:rsid w:val="00641EBA"/>
    <w:rsid w:val="00641FFD"/>
    <w:rsid w:val="00642BF6"/>
    <w:rsid w:val="00643FED"/>
    <w:rsid w:val="006450A7"/>
    <w:rsid w:val="006525E7"/>
    <w:rsid w:val="0065663D"/>
    <w:rsid w:val="00661096"/>
    <w:rsid w:val="00662662"/>
    <w:rsid w:val="00662A14"/>
    <w:rsid w:val="00663B22"/>
    <w:rsid w:val="00664AD8"/>
    <w:rsid w:val="0066564A"/>
    <w:rsid w:val="006666CB"/>
    <w:rsid w:val="00666C39"/>
    <w:rsid w:val="00667A98"/>
    <w:rsid w:val="006776C3"/>
    <w:rsid w:val="006818A3"/>
    <w:rsid w:val="006831E3"/>
    <w:rsid w:val="00683E70"/>
    <w:rsid w:val="00684022"/>
    <w:rsid w:val="00690119"/>
    <w:rsid w:val="00691172"/>
    <w:rsid w:val="0069122C"/>
    <w:rsid w:val="006915E9"/>
    <w:rsid w:val="00691920"/>
    <w:rsid w:val="006929ED"/>
    <w:rsid w:val="00692B79"/>
    <w:rsid w:val="00692D20"/>
    <w:rsid w:val="00692DB3"/>
    <w:rsid w:val="00696B4B"/>
    <w:rsid w:val="00697140"/>
    <w:rsid w:val="006A185E"/>
    <w:rsid w:val="006A3381"/>
    <w:rsid w:val="006A571E"/>
    <w:rsid w:val="006A5DB5"/>
    <w:rsid w:val="006A6664"/>
    <w:rsid w:val="006A672F"/>
    <w:rsid w:val="006A7707"/>
    <w:rsid w:val="006B3C54"/>
    <w:rsid w:val="006C02BC"/>
    <w:rsid w:val="006C0E0B"/>
    <w:rsid w:val="006C1F64"/>
    <w:rsid w:val="006C3A7A"/>
    <w:rsid w:val="006C460A"/>
    <w:rsid w:val="006C7826"/>
    <w:rsid w:val="006D062B"/>
    <w:rsid w:val="006E1F91"/>
    <w:rsid w:val="006E3111"/>
    <w:rsid w:val="006E613A"/>
    <w:rsid w:val="006E7547"/>
    <w:rsid w:val="006F07ED"/>
    <w:rsid w:val="006F1810"/>
    <w:rsid w:val="006F589F"/>
    <w:rsid w:val="006F7499"/>
    <w:rsid w:val="007004AD"/>
    <w:rsid w:val="00701D71"/>
    <w:rsid w:val="00703700"/>
    <w:rsid w:val="00706DFF"/>
    <w:rsid w:val="007078EB"/>
    <w:rsid w:val="007108EA"/>
    <w:rsid w:val="00712681"/>
    <w:rsid w:val="00713811"/>
    <w:rsid w:val="00714058"/>
    <w:rsid w:val="00715950"/>
    <w:rsid w:val="00715FDD"/>
    <w:rsid w:val="00716006"/>
    <w:rsid w:val="00716323"/>
    <w:rsid w:val="00716AC6"/>
    <w:rsid w:val="007174DB"/>
    <w:rsid w:val="0072122E"/>
    <w:rsid w:val="00721CAC"/>
    <w:rsid w:val="00723063"/>
    <w:rsid w:val="007231B5"/>
    <w:rsid w:val="0072347F"/>
    <w:rsid w:val="00730B77"/>
    <w:rsid w:val="00731559"/>
    <w:rsid w:val="0073175F"/>
    <w:rsid w:val="00732DA3"/>
    <w:rsid w:val="00734E18"/>
    <w:rsid w:val="00737E68"/>
    <w:rsid w:val="00740874"/>
    <w:rsid w:val="007408F5"/>
    <w:rsid w:val="007421D5"/>
    <w:rsid w:val="00742E81"/>
    <w:rsid w:val="0074362E"/>
    <w:rsid w:val="00750C11"/>
    <w:rsid w:val="00751F3F"/>
    <w:rsid w:val="00751F4F"/>
    <w:rsid w:val="00753723"/>
    <w:rsid w:val="007540DB"/>
    <w:rsid w:val="00756987"/>
    <w:rsid w:val="00757D25"/>
    <w:rsid w:val="00757D54"/>
    <w:rsid w:val="007605A3"/>
    <w:rsid w:val="00761F4D"/>
    <w:rsid w:val="00764524"/>
    <w:rsid w:val="007645C4"/>
    <w:rsid w:val="00764723"/>
    <w:rsid w:val="007661D0"/>
    <w:rsid w:val="00766C65"/>
    <w:rsid w:val="007734BE"/>
    <w:rsid w:val="007746CD"/>
    <w:rsid w:val="00775665"/>
    <w:rsid w:val="00777537"/>
    <w:rsid w:val="00781626"/>
    <w:rsid w:val="0078165B"/>
    <w:rsid w:val="00784218"/>
    <w:rsid w:val="00785997"/>
    <w:rsid w:val="007873C1"/>
    <w:rsid w:val="007907B7"/>
    <w:rsid w:val="007939FD"/>
    <w:rsid w:val="007965AC"/>
    <w:rsid w:val="007A0E1C"/>
    <w:rsid w:val="007A1709"/>
    <w:rsid w:val="007A1A77"/>
    <w:rsid w:val="007A1D0E"/>
    <w:rsid w:val="007A2041"/>
    <w:rsid w:val="007A40C9"/>
    <w:rsid w:val="007A472D"/>
    <w:rsid w:val="007A4C81"/>
    <w:rsid w:val="007A5987"/>
    <w:rsid w:val="007A60D4"/>
    <w:rsid w:val="007A65E6"/>
    <w:rsid w:val="007A729D"/>
    <w:rsid w:val="007B021F"/>
    <w:rsid w:val="007B0C97"/>
    <w:rsid w:val="007B0CF0"/>
    <w:rsid w:val="007B24E0"/>
    <w:rsid w:val="007B351C"/>
    <w:rsid w:val="007B4733"/>
    <w:rsid w:val="007B4886"/>
    <w:rsid w:val="007B6C06"/>
    <w:rsid w:val="007C1D4D"/>
    <w:rsid w:val="007C46B6"/>
    <w:rsid w:val="007C53A1"/>
    <w:rsid w:val="007C6A7E"/>
    <w:rsid w:val="007C7765"/>
    <w:rsid w:val="007C79D8"/>
    <w:rsid w:val="007C7B7A"/>
    <w:rsid w:val="007D1B61"/>
    <w:rsid w:val="007D2800"/>
    <w:rsid w:val="007D2B2B"/>
    <w:rsid w:val="007D51ED"/>
    <w:rsid w:val="007D536F"/>
    <w:rsid w:val="007D6D63"/>
    <w:rsid w:val="007E5F44"/>
    <w:rsid w:val="007F1283"/>
    <w:rsid w:val="007F1AFF"/>
    <w:rsid w:val="007F3C82"/>
    <w:rsid w:val="007F41C5"/>
    <w:rsid w:val="007F760C"/>
    <w:rsid w:val="00800490"/>
    <w:rsid w:val="008004BC"/>
    <w:rsid w:val="0080335F"/>
    <w:rsid w:val="008045AF"/>
    <w:rsid w:val="00810B49"/>
    <w:rsid w:val="008142FB"/>
    <w:rsid w:val="008163C2"/>
    <w:rsid w:val="008169A5"/>
    <w:rsid w:val="0082015D"/>
    <w:rsid w:val="00823FCE"/>
    <w:rsid w:val="00824741"/>
    <w:rsid w:val="008253BF"/>
    <w:rsid w:val="0082694A"/>
    <w:rsid w:val="00827CE1"/>
    <w:rsid w:val="00835692"/>
    <w:rsid w:val="00835775"/>
    <w:rsid w:val="00841362"/>
    <w:rsid w:val="00841BAD"/>
    <w:rsid w:val="0084205F"/>
    <w:rsid w:val="0084225C"/>
    <w:rsid w:val="00843232"/>
    <w:rsid w:val="00843899"/>
    <w:rsid w:val="00844CC8"/>
    <w:rsid w:val="00846169"/>
    <w:rsid w:val="00846771"/>
    <w:rsid w:val="00854B7A"/>
    <w:rsid w:val="00855B0A"/>
    <w:rsid w:val="008564CA"/>
    <w:rsid w:val="0085663E"/>
    <w:rsid w:val="00857448"/>
    <w:rsid w:val="00857D8D"/>
    <w:rsid w:val="00862FF7"/>
    <w:rsid w:val="008640F6"/>
    <w:rsid w:val="00873CE6"/>
    <w:rsid w:val="008745BC"/>
    <w:rsid w:val="00875A16"/>
    <w:rsid w:val="008762FD"/>
    <w:rsid w:val="00877F31"/>
    <w:rsid w:val="00880F50"/>
    <w:rsid w:val="00883E3B"/>
    <w:rsid w:val="0088479D"/>
    <w:rsid w:val="00884F7A"/>
    <w:rsid w:val="008958AE"/>
    <w:rsid w:val="008961EA"/>
    <w:rsid w:val="008A481A"/>
    <w:rsid w:val="008A61F3"/>
    <w:rsid w:val="008A716F"/>
    <w:rsid w:val="008B1AC7"/>
    <w:rsid w:val="008B4049"/>
    <w:rsid w:val="008B76FA"/>
    <w:rsid w:val="008C19F7"/>
    <w:rsid w:val="008C6A52"/>
    <w:rsid w:val="008D0FC5"/>
    <w:rsid w:val="008D1A4F"/>
    <w:rsid w:val="008D3A11"/>
    <w:rsid w:val="008D6C53"/>
    <w:rsid w:val="008E2C29"/>
    <w:rsid w:val="008E4904"/>
    <w:rsid w:val="008E4BD5"/>
    <w:rsid w:val="008E5973"/>
    <w:rsid w:val="008E691D"/>
    <w:rsid w:val="008F29DD"/>
    <w:rsid w:val="008F5580"/>
    <w:rsid w:val="008F5C60"/>
    <w:rsid w:val="008F6458"/>
    <w:rsid w:val="008F6C27"/>
    <w:rsid w:val="00900CFB"/>
    <w:rsid w:val="00900FF2"/>
    <w:rsid w:val="00902E70"/>
    <w:rsid w:val="0090388B"/>
    <w:rsid w:val="0090404C"/>
    <w:rsid w:val="0090613C"/>
    <w:rsid w:val="00911320"/>
    <w:rsid w:val="0091182A"/>
    <w:rsid w:val="00912514"/>
    <w:rsid w:val="00913BCC"/>
    <w:rsid w:val="00914C83"/>
    <w:rsid w:val="00920423"/>
    <w:rsid w:val="009219A3"/>
    <w:rsid w:val="00925721"/>
    <w:rsid w:val="00926599"/>
    <w:rsid w:val="00926934"/>
    <w:rsid w:val="009309DA"/>
    <w:rsid w:val="00930ED6"/>
    <w:rsid w:val="00931F06"/>
    <w:rsid w:val="00933EC2"/>
    <w:rsid w:val="0093479E"/>
    <w:rsid w:val="00937931"/>
    <w:rsid w:val="0094257F"/>
    <w:rsid w:val="00943A82"/>
    <w:rsid w:val="00946EDC"/>
    <w:rsid w:val="009522CD"/>
    <w:rsid w:val="00952C69"/>
    <w:rsid w:val="00954CC9"/>
    <w:rsid w:val="00955645"/>
    <w:rsid w:val="00956077"/>
    <w:rsid w:val="00963E21"/>
    <w:rsid w:val="00964D03"/>
    <w:rsid w:val="00966A1F"/>
    <w:rsid w:val="009670C6"/>
    <w:rsid w:val="009725D5"/>
    <w:rsid w:val="00976DFC"/>
    <w:rsid w:val="00977EF7"/>
    <w:rsid w:val="00981C55"/>
    <w:rsid w:val="00982031"/>
    <w:rsid w:val="0098436F"/>
    <w:rsid w:val="0099060E"/>
    <w:rsid w:val="009921A0"/>
    <w:rsid w:val="009953A4"/>
    <w:rsid w:val="009A2FD0"/>
    <w:rsid w:val="009A34F0"/>
    <w:rsid w:val="009A74DC"/>
    <w:rsid w:val="009A7B3C"/>
    <w:rsid w:val="009B0276"/>
    <w:rsid w:val="009B25E7"/>
    <w:rsid w:val="009B3DA4"/>
    <w:rsid w:val="009B43B3"/>
    <w:rsid w:val="009B5618"/>
    <w:rsid w:val="009B576C"/>
    <w:rsid w:val="009B577F"/>
    <w:rsid w:val="009B6014"/>
    <w:rsid w:val="009B792C"/>
    <w:rsid w:val="009C7B0B"/>
    <w:rsid w:val="009D120B"/>
    <w:rsid w:val="009D2667"/>
    <w:rsid w:val="009D29C9"/>
    <w:rsid w:val="009D390F"/>
    <w:rsid w:val="009D477B"/>
    <w:rsid w:val="009D7046"/>
    <w:rsid w:val="009D7552"/>
    <w:rsid w:val="009E0457"/>
    <w:rsid w:val="009E06E2"/>
    <w:rsid w:val="009E1E14"/>
    <w:rsid w:val="009E3922"/>
    <w:rsid w:val="009E4D88"/>
    <w:rsid w:val="009E5270"/>
    <w:rsid w:val="009E5C19"/>
    <w:rsid w:val="009F04C6"/>
    <w:rsid w:val="009F07A9"/>
    <w:rsid w:val="009F3A52"/>
    <w:rsid w:val="009F4B59"/>
    <w:rsid w:val="00A009EA"/>
    <w:rsid w:val="00A00E27"/>
    <w:rsid w:val="00A0130C"/>
    <w:rsid w:val="00A03CC8"/>
    <w:rsid w:val="00A0504B"/>
    <w:rsid w:val="00A07786"/>
    <w:rsid w:val="00A1002B"/>
    <w:rsid w:val="00A11E1B"/>
    <w:rsid w:val="00A12F7C"/>
    <w:rsid w:val="00A1346F"/>
    <w:rsid w:val="00A167A7"/>
    <w:rsid w:val="00A2155C"/>
    <w:rsid w:val="00A22198"/>
    <w:rsid w:val="00A23A29"/>
    <w:rsid w:val="00A23F6D"/>
    <w:rsid w:val="00A24FA1"/>
    <w:rsid w:val="00A25D83"/>
    <w:rsid w:val="00A30CA8"/>
    <w:rsid w:val="00A33886"/>
    <w:rsid w:val="00A340C8"/>
    <w:rsid w:val="00A3488C"/>
    <w:rsid w:val="00A35D0A"/>
    <w:rsid w:val="00A37194"/>
    <w:rsid w:val="00A375B2"/>
    <w:rsid w:val="00A4220D"/>
    <w:rsid w:val="00A427B5"/>
    <w:rsid w:val="00A43279"/>
    <w:rsid w:val="00A47316"/>
    <w:rsid w:val="00A479CF"/>
    <w:rsid w:val="00A50037"/>
    <w:rsid w:val="00A51221"/>
    <w:rsid w:val="00A552B8"/>
    <w:rsid w:val="00A56110"/>
    <w:rsid w:val="00A572DC"/>
    <w:rsid w:val="00A603D2"/>
    <w:rsid w:val="00A60678"/>
    <w:rsid w:val="00A60B60"/>
    <w:rsid w:val="00A61C78"/>
    <w:rsid w:val="00A636A0"/>
    <w:rsid w:val="00A66902"/>
    <w:rsid w:val="00A66F39"/>
    <w:rsid w:val="00A67373"/>
    <w:rsid w:val="00A76BBB"/>
    <w:rsid w:val="00A77291"/>
    <w:rsid w:val="00A81C48"/>
    <w:rsid w:val="00A8297F"/>
    <w:rsid w:val="00A85114"/>
    <w:rsid w:val="00A85823"/>
    <w:rsid w:val="00A85A5A"/>
    <w:rsid w:val="00A8689F"/>
    <w:rsid w:val="00A87B82"/>
    <w:rsid w:val="00A9055C"/>
    <w:rsid w:val="00A93C14"/>
    <w:rsid w:val="00A94109"/>
    <w:rsid w:val="00A94D8A"/>
    <w:rsid w:val="00A9684D"/>
    <w:rsid w:val="00A96F4B"/>
    <w:rsid w:val="00AA2C2A"/>
    <w:rsid w:val="00AA2EAD"/>
    <w:rsid w:val="00AA357A"/>
    <w:rsid w:val="00AA44AB"/>
    <w:rsid w:val="00AA5460"/>
    <w:rsid w:val="00AA61E3"/>
    <w:rsid w:val="00AA63A0"/>
    <w:rsid w:val="00AA67AA"/>
    <w:rsid w:val="00AB0115"/>
    <w:rsid w:val="00AB2920"/>
    <w:rsid w:val="00AB361B"/>
    <w:rsid w:val="00AB73D2"/>
    <w:rsid w:val="00AC2E6C"/>
    <w:rsid w:val="00AC359A"/>
    <w:rsid w:val="00AC3BF7"/>
    <w:rsid w:val="00AC3E72"/>
    <w:rsid w:val="00AD1362"/>
    <w:rsid w:val="00AD1A75"/>
    <w:rsid w:val="00AD317D"/>
    <w:rsid w:val="00AD3C1F"/>
    <w:rsid w:val="00AD4276"/>
    <w:rsid w:val="00AE1D30"/>
    <w:rsid w:val="00AE3030"/>
    <w:rsid w:val="00AE32EA"/>
    <w:rsid w:val="00AF013D"/>
    <w:rsid w:val="00AF110A"/>
    <w:rsid w:val="00AF1297"/>
    <w:rsid w:val="00AF18FC"/>
    <w:rsid w:val="00AF39EF"/>
    <w:rsid w:val="00AF4CF2"/>
    <w:rsid w:val="00AF7D8F"/>
    <w:rsid w:val="00B0077C"/>
    <w:rsid w:val="00B018FB"/>
    <w:rsid w:val="00B01C60"/>
    <w:rsid w:val="00B0275A"/>
    <w:rsid w:val="00B02E35"/>
    <w:rsid w:val="00B10C28"/>
    <w:rsid w:val="00B11B78"/>
    <w:rsid w:val="00B11CE3"/>
    <w:rsid w:val="00B14A50"/>
    <w:rsid w:val="00B16178"/>
    <w:rsid w:val="00B17272"/>
    <w:rsid w:val="00B20E51"/>
    <w:rsid w:val="00B22362"/>
    <w:rsid w:val="00B232C7"/>
    <w:rsid w:val="00B23618"/>
    <w:rsid w:val="00B23B4C"/>
    <w:rsid w:val="00B23C1D"/>
    <w:rsid w:val="00B31540"/>
    <w:rsid w:val="00B318DA"/>
    <w:rsid w:val="00B3197A"/>
    <w:rsid w:val="00B346EC"/>
    <w:rsid w:val="00B363D9"/>
    <w:rsid w:val="00B37833"/>
    <w:rsid w:val="00B4022B"/>
    <w:rsid w:val="00B428D8"/>
    <w:rsid w:val="00B439B7"/>
    <w:rsid w:val="00B43BB5"/>
    <w:rsid w:val="00B43C4F"/>
    <w:rsid w:val="00B44770"/>
    <w:rsid w:val="00B46B4E"/>
    <w:rsid w:val="00B519C7"/>
    <w:rsid w:val="00B51C81"/>
    <w:rsid w:val="00B53298"/>
    <w:rsid w:val="00B53636"/>
    <w:rsid w:val="00B56521"/>
    <w:rsid w:val="00B62393"/>
    <w:rsid w:val="00B62CE2"/>
    <w:rsid w:val="00B63241"/>
    <w:rsid w:val="00B6354D"/>
    <w:rsid w:val="00B650F1"/>
    <w:rsid w:val="00B67FDC"/>
    <w:rsid w:val="00B70918"/>
    <w:rsid w:val="00B71309"/>
    <w:rsid w:val="00B71A7D"/>
    <w:rsid w:val="00B7320B"/>
    <w:rsid w:val="00B74E05"/>
    <w:rsid w:val="00B75F49"/>
    <w:rsid w:val="00B761E3"/>
    <w:rsid w:val="00B774D9"/>
    <w:rsid w:val="00B803AC"/>
    <w:rsid w:val="00B829C2"/>
    <w:rsid w:val="00B82A2B"/>
    <w:rsid w:val="00B832DD"/>
    <w:rsid w:val="00B83308"/>
    <w:rsid w:val="00B84AA1"/>
    <w:rsid w:val="00B85EFA"/>
    <w:rsid w:val="00B86E2A"/>
    <w:rsid w:val="00B93877"/>
    <w:rsid w:val="00B964FF"/>
    <w:rsid w:val="00B96FEB"/>
    <w:rsid w:val="00BA134A"/>
    <w:rsid w:val="00BA24C7"/>
    <w:rsid w:val="00BA3C5F"/>
    <w:rsid w:val="00BA5CCC"/>
    <w:rsid w:val="00BA6929"/>
    <w:rsid w:val="00BA6D79"/>
    <w:rsid w:val="00BB0128"/>
    <w:rsid w:val="00BB0CFB"/>
    <w:rsid w:val="00BB183A"/>
    <w:rsid w:val="00BB2744"/>
    <w:rsid w:val="00BB3984"/>
    <w:rsid w:val="00BB3D66"/>
    <w:rsid w:val="00BB4EEC"/>
    <w:rsid w:val="00BB5FF0"/>
    <w:rsid w:val="00BB78DD"/>
    <w:rsid w:val="00BB7C35"/>
    <w:rsid w:val="00BC016C"/>
    <w:rsid w:val="00BC0D7F"/>
    <w:rsid w:val="00BC180F"/>
    <w:rsid w:val="00BC1D2C"/>
    <w:rsid w:val="00BC2231"/>
    <w:rsid w:val="00BC3115"/>
    <w:rsid w:val="00BC4A89"/>
    <w:rsid w:val="00BC4FD8"/>
    <w:rsid w:val="00BC643A"/>
    <w:rsid w:val="00BC64FF"/>
    <w:rsid w:val="00BC6580"/>
    <w:rsid w:val="00BC674E"/>
    <w:rsid w:val="00BC6AF3"/>
    <w:rsid w:val="00BC6F9B"/>
    <w:rsid w:val="00BD068B"/>
    <w:rsid w:val="00BD1337"/>
    <w:rsid w:val="00BD25F7"/>
    <w:rsid w:val="00BF18CF"/>
    <w:rsid w:val="00BF2563"/>
    <w:rsid w:val="00BF32D5"/>
    <w:rsid w:val="00BF38EE"/>
    <w:rsid w:val="00BF52B9"/>
    <w:rsid w:val="00BF7867"/>
    <w:rsid w:val="00BF7AD5"/>
    <w:rsid w:val="00C01DA6"/>
    <w:rsid w:val="00C05282"/>
    <w:rsid w:val="00C10291"/>
    <w:rsid w:val="00C13A6A"/>
    <w:rsid w:val="00C14279"/>
    <w:rsid w:val="00C15F52"/>
    <w:rsid w:val="00C168BD"/>
    <w:rsid w:val="00C17761"/>
    <w:rsid w:val="00C202D9"/>
    <w:rsid w:val="00C21B43"/>
    <w:rsid w:val="00C21E00"/>
    <w:rsid w:val="00C2227F"/>
    <w:rsid w:val="00C23233"/>
    <w:rsid w:val="00C23883"/>
    <w:rsid w:val="00C2481D"/>
    <w:rsid w:val="00C25EDE"/>
    <w:rsid w:val="00C26EBD"/>
    <w:rsid w:val="00C314EE"/>
    <w:rsid w:val="00C329E4"/>
    <w:rsid w:val="00C34C1C"/>
    <w:rsid w:val="00C4108D"/>
    <w:rsid w:val="00C41ED7"/>
    <w:rsid w:val="00C473FE"/>
    <w:rsid w:val="00C51239"/>
    <w:rsid w:val="00C51567"/>
    <w:rsid w:val="00C55528"/>
    <w:rsid w:val="00C55B65"/>
    <w:rsid w:val="00C57607"/>
    <w:rsid w:val="00C6052C"/>
    <w:rsid w:val="00C62059"/>
    <w:rsid w:val="00C622CF"/>
    <w:rsid w:val="00C62C8B"/>
    <w:rsid w:val="00C6549F"/>
    <w:rsid w:val="00C65EAD"/>
    <w:rsid w:val="00C66020"/>
    <w:rsid w:val="00C70909"/>
    <w:rsid w:val="00C72869"/>
    <w:rsid w:val="00C74836"/>
    <w:rsid w:val="00C74DEC"/>
    <w:rsid w:val="00C76CFD"/>
    <w:rsid w:val="00C81E52"/>
    <w:rsid w:val="00C8505A"/>
    <w:rsid w:val="00C8512D"/>
    <w:rsid w:val="00C87840"/>
    <w:rsid w:val="00C93ECD"/>
    <w:rsid w:val="00C95268"/>
    <w:rsid w:val="00C95C5C"/>
    <w:rsid w:val="00C95D11"/>
    <w:rsid w:val="00C95E4E"/>
    <w:rsid w:val="00C962EA"/>
    <w:rsid w:val="00C96E4C"/>
    <w:rsid w:val="00C97927"/>
    <w:rsid w:val="00CA25F4"/>
    <w:rsid w:val="00CA717E"/>
    <w:rsid w:val="00CA73D5"/>
    <w:rsid w:val="00CA7764"/>
    <w:rsid w:val="00CA7BD7"/>
    <w:rsid w:val="00CA7BDC"/>
    <w:rsid w:val="00CB013A"/>
    <w:rsid w:val="00CB13F7"/>
    <w:rsid w:val="00CB14C3"/>
    <w:rsid w:val="00CB1596"/>
    <w:rsid w:val="00CB15FE"/>
    <w:rsid w:val="00CB1D0A"/>
    <w:rsid w:val="00CB2180"/>
    <w:rsid w:val="00CB3BDD"/>
    <w:rsid w:val="00CB682D"/>
    <w:rsid w:val="00CB72AB"/>
    <w:rsid w:val="00CB7DE2"/>
    <w:rsid w:val="00CB7EAD"/>
    <w:rsid w:val="00CC0094"/>
    <w:rsid w:val="00CC22D8"/>
    <w:rsid w:val="00CC2811"/>
    <w:rsid w:val="00CC475B"/>
    <w:rsid w:val="00CC5FA1"/>
    <w:rsid w:val="00CC6C07"/>
    <w:rsid w:val="00CD1508"/>
    <w:rsid w:val="00CD1939"/>
    <w:rsid w:val="00CD406F"/>
    <w:rsid w:val="00CD4FFF"/>
    <w:rsid w:val="00CE0F24"/>
    <w:rsid w:val="00CE1AC5"/>
    <w:rsid w:val="00CE24C9"/>
    <w:rsid w:val="00CE3E03"/>
    <w:rsid w:val="00CE4236"/>
    <w:rsid w:val="00CE4532"/>
    <w:rsid w:val="00CF013F"/>
    <w:rsid w:val="00CF1C8A"/>
    <w:rsid w:val="00CF22C7"/>
    <w:rsid w:val="00CF3046"/>
    <w:rsid w:val="00CF30E7"/>
    <w:rsid w:val="00CF42ED"/>
    <w:rsid w:val="00CF5272"/>
    <w:rsid w:val="00D003BE"/>
    <w:rsid w:val="00D023F8"/>
    <w:rsid w:val="00D02E26"/>
    <w:rsid w:val="00D04D1C"/>
    <w:rsid w:val="00D050C5"/>
    <w:rsid w:val="00D068E9"/>
    <w:rsid w:val="00D072BC"/>
    <w:rsid w:val="00D107A8"/>
    <w:rsid w:val="00D118DB"/>
    <w:rsid w:val="00D15770"/>
    <w:rsid w:val="00D21933"/>
    <w:rsid w:val="00D22A46"/>
    <w:rsid w:val="00D22BD8"/>
    <w:rsid w:val="00D2302A"/>
    <w:rsid w:val="00D26CDC"/>
    <w:rsid w:val="00D31A43"/>
    <w:rsid w:val="00D36E85"/>
    <w:rsid w:val="00D409B7"/>
    <w:rsid w:val="00D41701"/>
    <w:rsid w:val="00D42294"/>
    <w:rsid w:val="00D4246C"/>
    <w:rsid w:val="00D4327E"/>
    <w:rsid w:val="00D44522"/>
    <w:rsid w:val="00D46173"/>
    <w:rsid w:val="00D51283"/>
    <w:rsid w:val="00D5161D"/>
    <w:rsid w:val="00D51F15"/>
    <w:rsid w:val="00D539D4"/>
    <w:rsid w:val="00D54D99"/>
    <w:rsid w:val="00D5506E"/>
    <w:rsid w:val="00D56FFC"/>
    <w:rsid w:val="00D605B5"/>
    <w:rsid w:val="00D624B0"/>
    <w:rsid w:val="00D637DB"/>
    <w:rsid w:val="00D637F4"/>
    <w:rsid w:val="00D67602"/>
    <w:rsid w:val="00D700B8"/>
    <w:rsid w:val="00D742E0"/>
    <w:rsid w:val="00D750D3"/>
    <w:rsid w:val="00D7682B"/>
    <w:rsid w:val="00D81947"/>
    <w:rsid w:val="00D8394B"/>
    <w:rsid w:val="00D83E57"/>
    <w:rsid w:val="00D8605D"/>
    <w:rsid w:val="00D87947"/>
    <w:rsid w:val="00D90FB8"/>
    <w:rsid w:val="00D93014"/>
    <w:rsid w:val="00D96A86"/>
    <w:rsid w:val="00D97ACB"/>
    <w:rsid w:val="00D97F2F"/>
    <w:rsid w:val="00DA05C8"/>
    <w:rsid w:val="00DA09AD"/>
    <w:rsid w:val="00DA22A4"/>
    <w:rsid w:val="00DA3177"/>
    <w:rsid w:val="00DA3AFB"/>
    <w:rsid w:val="00DA4AD0"/>
    <w:rsid w:val="00DB0112"/>
    <w:rsid w:val="00DB0DA1"/>
    <w:rsid w:val="00DB154C"/>
    <w:rsid w:val="00DB25E5"/>
    <w:rsid w:val="00DB283C"/>
    <w:rsid w:val="00DB4F45"/>
    <w:rsid w:val="00DB619A"/>
    <w:rsid w:val="00DC0630"/>
    <w:rsid w:val="00DC0A27"/>
    <w:rsid w:val="00DC1255"/>
    <w:rsid w:val="00DC30DA"/>
    <w:rsid w:val="00DC6043"/>
    <w:rsid w:val="00DC695D"/>
    <w:rsid w:val="00DD1294"/>
    <w:rsid w:val="00DD1AA9"/>
    <w:rsid w:val="00DD2406"/>
    <w:rsid w:val="00DD2F65"/>
    <w:rsid w:val="00DD3109"/>
    <w:rsid w:val="00DD431A"/>
    <w:rsid w:val="00DD4A8A"/>
    <w:rsid w:val="00DD585A"/>
    <w:rsid w:val="00DE0491"/>
    <w:rsid w:val="00DE10C4"/>
    <w:rsid w:val="00DE1831"/>
    <w:rsid w:val="00DE1AC0"/>
    <w:rsid w:val="00DE1F2E"/>
    <w:rsid w:val="00DE283F"/>
    <w:rsid w:val="00DE443E"/>
    <w:rsid w:val="00DE651F"/>
    <w:rsid w:val="00DE658D"/>
    <w:rsid w:val="00DE7A96"/>
    <w:rsid w:val="00DE7E69"/>
    <w:rsid w:val="00DF078C"/>
    <w:rsid w:val="00DF21E3"/>
    <w:rsid w:val="00DF2318"/>
    <w:rsid w:val="00DF2CE6"/>
    <w:rsid w:val="00DF3B20"/>
    <w:rsid w:val="00DF4AB4"/>
    <w:rsid w:val="00DF67D6"/>
    <w:rsid w:val="00DF746E"/>
    <w:rsid w:val="00E02C43"/>
    <w:rsid w:val="00E02CF4"/>
    <w:rsid w:val="00E0718C"/>
    <w:rsid w:val="00E10513"/>
    <w:rsid w:val="00E105A3"/>
    <w:rsid w:val="00E14B25"/>
    <w:rsid w:val="00E152D9"/>
    <w:rsid w:val="00E16316"/>
    <w:rsid w:val="00E20E28"/>
    <w:rsid w:val="00E219E7"/>
    <w:rsid w:val="00E22DF1"/>
    <w:rsid w:val="00E23E2B"/>
    <w:rsid w:val="00E24766"/>
    <w:rsid w:val="00E26520"/>
    <w:rsid w:val="00E26A6F"/>
    <w:rsid w:val="00E3010B"/>
    <w:rsid w:val="00E33E94"/>
    <w:rsid w:val="00E35E07"/>
    <w:rsid w:val="00E40998"/>
    <w:rsid w:val="00E40B8C"/>
    <w:rsid w:val="00E4366F"/>
    <w:rsid w:val="00E52A21"/>
    <w:rsid w:val="00E556F6"/>
    <w:rsid w:val="00E562C3"/>
    <w:rsid w:val="00E56760"/>
    <w:rsid w:val="00E642AA"/>
    <w:rsid w:val="00E64A17"/>
    <w:rsid w:val="00E6598E"/>
    <w:rsid w:val="00E65C0B"/>
    <w:rsid w:val="00E66DB5"/>
    <w:rsid w:val="00E67F41"/>
    <w:rsid w:val="00E7387A"/>
    <w:rsid w:val="00E738C0"/>
    <w:rsid w:val="00E73F82"/>
    <w:rsid w:val="00E745F4"/>
    <w:rsid w:val="00E74FB6"/>
    <w:rsid w:val="00E76D2D"/>
    <w:rsid w:val="00E77A99"/>
    <w:rsid w:val="00E77F48"/>
    <w:rsid w:val="00E80D61"/>
    <w:rsid w:val="00E829F5"/>
    <w:rsid w:val="00E84418"/>
    <w:rsid w:val="00E87D07"/>
    <w:rsid w:val="00E906E9"/>
    <w:rsid w:val="00E92BD1"/>
    <w:rsid w:val="00E96EA8"/>
    <w:rsid w:val="00E97119"/>
    <w:rsid w:val="00EA061F"/>
    <w:rsid w:val="00EA1BDC"/>
    <w:rsid w:val="00EA2798"/>
    <w:rsid w:val="00EA3FC9"/>
    <w:rsid w:val="00EA6366"/>
    <w:rsid w:val="00EB13C3"/>
    <w:rsid w:val="00EB33DB"/>
    <w:rsid w:val="00EB61F5"/>
    <w:rsid w:val="00EB6C9D"/>
    <w:rsid w:val="00EC0B36"/>
    <w:rsid w:val="00EC111B"/>
    <w:rsid w:val="00EC1611"/>
    <w:rsid w:val="00EC17B8"/>
    <w:rsid w:val="00EC35A7"/>
    <w:rsid w:val="00EC57A1"/>
    <w:rsid w:val="00ED0054"/>
    <w:rsid w:val="00ED44AC"/>
    <w:rsid w:val="00ED4F4A"/>
    <w:rsid w:val="00ED63B2"/>
    <w:rsid w:val="00ED68DB"/>
    <w:rsid w:val="00ED6A2B"/>
    <w:rsid w:val="00EE236D"/>
    <w:rsid w:val="00EE3992"/>
    <w:rsid w:val="00EF0CDC"/>
    <w:rsid w:val="00EF2184"/>
    <w:rsid w:val="00EF2ED3"/>
    <w:rsid w:val="00EF3DE0"/>
    <w:rsid w:val="00EF43D0"/>
    <w:rsid w:val="00EF5147"/>
    <w:rsid w:val="00EF5C73"/>
    <w:rsid w:val="00EF671D"/>
    <w:rsid w:val="00F0238F"/>
    <w:rsid w:val="00F030A6"/>
    <w:rsid w:val="00F0477B"/>
    <w:rsid w:val="00F06396"/>
    <w:rsid w:val="00F116A4"/>
    <w:rsid w:val="00F15FFD"/>
    <w:rsid w:val="00F1708F"/>
    <w:rsid w:val="00F2007E"/>
    <w:rsid w:val="00F219CF"/>
    <w:rsid w:val="00F25370"/>
    <w:rsid w:val="00F26B10"/>
    <w:rsid w:val="00F32A00"/>
    <w:rsid w:val="00F33A94"/>
    <w:rsid w:val="00F34F12"/>
    <w:rsid w:val="00F408CB"/>
    <w:rsid w:val="00F444C5"/>
    <w:rsid w:val="00F45D2E"/>
    <w:rsid w:val="00F4765B"/>
    <w:rsid w:val="00F546B0"/>
    <w:rsid w:val="00F56B4C"/>
    <w:rsid w:val="00F56BE5"/>
    <w:rsid w:val="00F573A3"/>
    <w:rsid w:val="00F60518"/>
    <w:rsid w:val="00F6279C"/>
    <w:rsid w:val="00F62AFA"/>
    <w:rsid w:val="00F62D92"/>
    <w:rsid w:val="00F65B53"/>
    <w:rsid w:val="00F66EB8"/>
    <w:rsid w:val="00F72FCA"/>
    <w:rsid w:val="00F77943"/>
    <w:rsid w:val="00F821E6"/>
    <w:rsid w:val="00F82A31"/>
    <w:rsid w:val="00F838CA"/>
    <w:rsid w:val="00F860F6"/>
    <w:rsid w:val="00F90326"/>
    <w:rsid w:val="00F90601"/>
    <w:rsid w:val="00F90A86"/>
    <w:rsid w:val="00F918CB"/>
    <w:rsid w:val="00F91C0C"/>
    <w:rsid w:val="00F936A0"/>
    <w:rsid w:val="00F93914"/>
    <w:rsid w:val="00F9741D"/>
    <w:rsid w:val="00FA17E6"/>
    <w:rsid w:val="00FA2215"/>
    <w:rsid w:val="00FA4052"/>
    <w:rsid w:val="00FA4EB9"/>
    <w:rsid w:val="00FB05E2"/>
    <w:rsid w:val="00FB06A1"/>
    <w:rsid w:val="00FB28FB"/>
    <w:rsid w:val="00FB4CE3"/>
    <w:rsid w:val="00FB4E79"/>
    <w:rsid w:val="00FB64EA"/>
    <w:rsid w:val="00FB7D21"/>
    <w:rsid w:val="00FC4B75"/>
    <w:rsid w:val="00FC681C"/>
    <w:rsid w:val="00FD0E24"/>
    <w:rsid w:val="00FD1303"/>
    <w:rsid w:val="00FD24E0"/>
    <w:rsid w:val="00FD2B69"/>
    <w:rsid w:val="00FD6A1F"/>
    <w:rsid w:val="00FE04B5"/>
    <w:rsid w:val="00FE193C"/>
    <w:rsid w:val="00FE1A63"/>
    <w:rsid w:val="00FE26D7"/>
    <w:rsid w:val="00FE29A1"/>
    <w:rsid w:val="00FF01F2"/>
    <w:rsid w:val="00FF3E32"/>
    <w:rsid w:val="00FF4F1A"/>
    <w:rsid w:val="00FF56EC"/>
    <w:rsid w:val="00FF7630"/>
    <w:rsid w:val="00FF79B8"/>
    <w:rsid w:val="0D8D22A2"/>
    <w:rsid w:val="0E6871C4"/>
    <w:rsid w:val="28AA6D84"/>
    <w:rsid w:val="3633412E"/>
    <w:rsid w:val="36D86B3A"/>
    <w:rsid w:val="384B2B64"/>
    <w:rsid w:val="480776E5"/>
    <w:rsid w:val="556850DA"/>
    <w:rsid w:val="606140D1"/>
    <w:rsid w:val="62733705"/>
    <w:rsid w:val="66D66786"/>
    <w:rsid w:val="69BD06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批注框文本 字符"/>
    <w:basedOn w:val="9"/>
    <w:link w:val="3"/>
    <w:semiHidden/>
    <w:qFormat/>
    <w:uiPriority w:val="99"/>
    <w:rPr>
      <w:sz w:val="18"/>
      <w:szCs w:val="18"/>
    </w:rPr>
  </w:style>
  <w:style w:type="character" w:customStyle="1" w:styleId="13">
    <w:name w:val="批注文字 字符"/>
    <w:basedOn w:val="9"/>
    <w:link w:val="2"/>
    <w:qFormat/>
    <w:uiPriority w:val="99"/>
  </w:style>
  <w:style w:type="character" w:customStyle="1" w:styleId="14">
    <w:name w:val="批注主题 字符"/>
    <w:basedOn w:val="13"/>
    <w:link w:val="6"/>
    <w:semiHidden/>
    <w:qFormat/>
    <w:uiPriority w:val="99"/>
    <w:rPr>
      <w:b/>
      <w:bCs/>
    </w:rPr>
  </w:style>
  <w:style w:type="character" w:customStyle="1" w:styleId="15">
    <w:name w:val="页眉 字符"/>
    <w:basedOn w:val="9"/>
    <w:link w:val="5"/>
    <w:qFormat/>
    <w:uiPriority w:val="99"/>
    <w:rPr>
      <w:sz w:val="18"/>
      <w:szCs w:val="18"/>
    </w:rPr>
  </w:style>
  <w:style w:type="character" w:customStyle="1" w:styleId="16">
    <w:name w:val="页脚 字符"/>
    <w:basedOn w:val="9"/>
    <w:link w:val="4"/>
    <w:qFormat/>
    <w:uiPriority w:val="99"/>
    <w:rPr>
      <w:sz w:val="18"/>
      <w:szCs w:val="18"/>
    </w:rPr>
  </w:style>
  <w:style w:type="paragraph" w:styleId="17">
    <w:name w:val="List Paragraph"/>
    <w:basedOn w:val="1"/>
    <w:qFormat/>
    <w:uiPriority w:val="34"/>
    <w:pPr>
      <w:ind w:firstLine="420" w:firstLineChars="200"/>
    </w:pPr>
  </w:style>
  <w:style w:type="paragraph" w:customStyle="1" w:styleId="18">
    <w:name w:val="YJH-nei"/>
    <w:basedOn w:val="1"/>
    <w:qFormat/>
    <w:uiPriority w:val="0"/>
    <w:pPr>
      <w:spacing w:line="600" w:lineRule="exact"/>
      <w:ind w:firstLine="200" w:firstLineChars="200"/>
    </w:pPr>
    <w:rPr>
      <w:rFonts w:hint="eastAsia" w:ascii="仿宋_GB2312" w:hAnsi="宋体" w:eastAsia="仿宋_GB2312" w:cs="宋体"/>
      <w:kern w:val="0"/>
      <w:sz w:val="30"/>
      <w:szCs w:val="30"/>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sect2title1"/>
    <w:qFormat/>
    <w:uiPriority w:val="0"/>
    <w:rPr>
      <w:rFonts w:hint="eastAsia" w:ascii="微软雅黑" w:hAnsi="微软雅黑" w:eastAsia="微软雅黑"/>
      <w:b/>
      <w:bCs/>
      <w:sz w:val="21"/>
      <w:szCs w:val="21"/>
    </w:rPr>
  </w:style>
  <w:style w:type="character" w:customStyle="1" w:styleId="21">
    <w:name w:val="title1"/>
    <w:qFormat/>
    <w:uiPriority w:val="0"/>
    <w:rPr>
      <w:rFonts w:hint="eastAsia" w:ascii="微软雅黑" w:hAnsi="微软雅黑" w:eastAsia="微软雅黑"/>
      <w:sz w:val="21"/>
      <w:szCs w:val="21"/>
    </w:rPr>
  </w:style>
  <w:style w:type="table" w:customStyle="1" w:styleId="22">
    <w:name w:val="网格型2"/>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网格型3"/>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p0"/>
    <w:basedOn w:val="1"/>
    <w:qFormat/>
    <w:uiPriority w:val="0"/>
    <w:pPr>
      <w:widowControl/>
    </w:pPr>
    <w:rPr>
      <w:rFonts w:ascii="Times New Roman" w:hAnsi="Times New Roman" w:eastAsia="宋体" w:cs="Times New Roman"/>
      <w:kern w:val="0"/>
      <w:szCs w:val="21"/>
    </w:rPr>
  </w:style>
  <w:style w:type="character" w:customStyle="1" w:styleId="25">
    <w:name w:val="未处理的提及1"/>
    <w:basedOn w:val="9"/>
    <w:semiHidden/>
    <w:unhideWhenUsed/>
    <w:qFormat/>
    <w:uiPriority w:val="99"/>
    <w:rPr>
      <w:color w:val="605E5C"/>
      <w:shd w:val="clear" w:color="auto" w:fill="E1DFDD"/>
    </w:rPr>
  </w:style>
  <w:style w:type="paragraph" w:customStyle="1" w:styleId="26">
    <w:name w:val="说明书正文细"/>
    <w:basedOn w:val="1"/>
    <w:link w:val="27"/>
    <w:qFormat/>
    <w:uiPriority w:val="0"/>
    <w:pPr>
      <w:autoSpaceDE w:val="0"/>
      <w:autoSpaceDN w:val="0"/>
      <w:adjustRightInd w:val="0"/>
      <w:ind w:firstLine="200" w:firstLineChars="200"/>
      <w:jc w:val="left"/>
    </w:pPr>
    <w:rPr>
      <w:rFonts w:ascii="黑体" w:hAnsi="黑体" w:eastAsia="黑体" w:cs="黑体"/>
      <w:kern w:val="0"/>
      <w:szCs w:val="21"/>
    </w:rPr>
  </w:style>
  <w:style w:type="character" w:customStyle="1" w:styleId="27">
    <w:name w:val="说明书正文细 字符"/>
    <w:basedOn w:val="9"/>
    <w:link w:val="26"/>
    <w:qFormat/>
    <w:uiPriority w:val="0"/>
    <w:rPr>
      <w:rFonts w:ascii="黑体" w:hAnsi="黑体" w:eastAsia="黑体" w:cs="黑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97388-DC04-4BDC-8037-840975D11706}">
  <ds:schemaRefs/>
</ds:datastoreItem>
</file>

<file path=docProps/app.xml><?xml version="1.0" encoding="utf-8"?>
<Properties xmlns="http://schemas.openxmlformats.org/officeDocument/2006/extended-properties" xmlns:vt="http://schemas.openxmlformats.org/officeDocument/2006/docPropsVTypes">
  <Template>Normal.dotm</Template>
  <Company>nbcb</Company>
  <Pages>18</Pages>
  <Words>5351</Words>
  <Characters>5862</Characters>
  <Lines>133</Lines>
  <Paragraphs>37</Paragraphs>
  <TotalTime>5</TotalTime>
  <ScaleCrop>false</ScaleCrop>
  <LinksUpToDate>false</LinksUpToDate>
  <CharactersWithSpaces>5863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2022-11-29T06:46:00Z</dcterms:created>
  <dc:creator>吴威</dc:creator>
  <cp:lastModifiedBy>星球的酒馆</cp:lastModifiedBy>
  <cp:lastPrinted>2020-06-01T05:48:00Z</cp:lastPrinted>
  <dcterms:modified xsi:type="dcterms:W3CDTF">2026-06-26T08:56:24Z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eyJoZGlkIjoiYzM1Mzk5ODEzYTZhMjI3YTY2MDcxNDUyNmIwYTU5MmMiLCJ1c2VySWQiOiIyNzcyMTg3NzkifQ==</vt:lpwstr>
  </property>
  <property fmtid="{D5CDD505-2E9C-101B-9397-08002B2CF9AE}" pid="3" name="KSOProductBuildVer">
    <vt:lpwstr>2052-12.1.0.26895</vt:lpwstr>
  </property>
  <property fmtid="{D5CDD505-2E9C-101B-9397-08002B2CF9AE}" pid="4" name="ICV">
    <vt:lpwstr>18D6749448FB40399DD6149608FAB2EF_12</vt:lpwstr>
  </property>
</Properties>
</file>