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jc w:val="center"/>
        <w:outlineLvl w:val="0"/>
        <w:rPr>
          <w:rStyle w:val="11"/>
          <w:rFonts w:ascii="黑体" w:hAnsi="黑体" w:eastAsia="黑体"/>
          <w:sz w:val="28"/>
          <w:szCs w:val="28"/>
        </w:rPr>
      </w:pPr>
      <w:r>
        <w:rPr>
          <w:rStyle w:val="11"/>
          <w:rFonts w:hint="eastAsia" w:ascii="黑体" w:hAnsi="黑体" w:eastAsia="黑体"/>
          <w:sz w:val="28"/>
          <w:szCs w:val="28"/>
        </w:rPr>
        <w:t>渤银理财【</w:t>
      </w:r>
      <w:r>
        <w:rPr>
          <w:rStyle w:val="11"/>
          <w:rFonts w:hint="eastAsia" w:ascii="黑体" w:hAnsi="黑体" w:eastAsia="黑体"/>
          <w:sz w:val="28"/>
          <w:szCs w:val="28"/>
          <w:lang w:val="en-US" w:eastAsia="zh-CN"/>
        </w:rPr>
        <w:t>财收有略</w:t>
      </w:r>
      <w:r>
        <w:rPr>
          <w:rStyle w:val="11"/>
          <w:rFonts w:hint="eastAsia" w:ascii="黑体" w:hAnsi="黑体" w:eastAsia="黑体"/>
          <w:sz w:val="28"/>
          <w:szCs w:val="28"/>
        </w:rPr>
        <w:t>】理财产品</w:t>
      </w:r>
    </w:p>
    <w:p>
      <w:pPr>
        <w:adjustRightInd w:val="0"/>
        <w:spacing w:line="276" w:lineRule="auto"/>
        <w:jc w:val="center"/>
        <w:outlineLvl w:val="0"/>
        <w:rPr>
          <w:rStyle w:val="11"/>
          <w:rFonts w:ascii="黑体" w:hAnsi="黑体" w:eastAsia="黑体"/>
          <w:sz w:val="28"/>
          <w:szCs w:val="28"/>
        </w:rPr>
      </w:pPr>
      <w:r>
        <w:rPr>
          <w:rStyle w:val="11"/>
          <w:rFonts w:hint="eastAsia" w:ascii="黑体" w:hAnsi="黑体" w:eastAsia="黑体"/>
          <w:sz w:val="28"/>
          <w:szCs w:val="28"/>
        </w:rPr>
        <w:t>投资者权益须知</w:t>
      </w:r>
    </w:p>
    <w:p>
      <w:pPr>
        <w:pStyle w:val="14"/>
        <w:spacing w:line="280" w:lineRule="atLeast"/>
        <w:jc w:val="center"/>
        <w:outlineLvl w:val="0"/>
        <w:rPr>
          <w:rStyle w:val="11"/>
          <w:rFonts w:ascii="黑体" w:hAnsi="黑体" w:eastAsia="黑体"/>
          <w:sz w:val="28"/>
          <w:szCs w:val="28"/>
        </w:rPr>
      </w:pPr>
      <w:r>
        <w:rPr>
          <w:rFonts w:hint="eastAsia" w:hAnsi="宋体"/>
          <w:b/>
          <w:color w:val="auto"/>
          <w:sz w:val="28"/>
          <w:szCs w:val="28"/>
        </w:rPr>
        <w:t>（适用于个人投资者）</w:t>
      </w:r>
    </w:p>
    <w:p>
      <w:pPr>
        <w:outlineLvl w:val="1"/>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w:t>
      </w:r>
      <w:r>
        <w:rPr>
          <w:rFonts w:hint="eastAsia" w:ascii="宋体" w:hAnsi="宋体"/>
          <w:sz w:val="18"/>
          <w:szCs w:val="18"/>
          <w:lang w:eastAsia="zh-CN"/>
        </w:rPr>
        <w:t>销售服务机构</w:t>
      </w:r>
      <w:r>
        <w:rPr>
          <w:rFonts w:hint="eastAsia" w:ascii="宋体" w:hAnsi="宋体"/>
          <w:sz w:val="18"/>
          <w:szCs w:val="18"/>
        </w:rPr>
        <w:t>【</w:t>
      </w:r>
      <w:r>
        <w:rPr>
          <w:rFonts w:hint="eastAsia" w:ascii="宋体" w:hAnsi="宋体"/>
          <w:bCs/>
          <w:sz w:val="18"/>
          <w:szCs w:val="18"/>
          <w:lang w:val="en-US" w:eastAsia="zh-CN"/>
        </w:rPr>
        <w:t>湖南银行股份有限公司</w:t>
      </w:r>
      <w:r>
        <w:rPr>
          <w:rFonts w:hint="eastAsia" w:ascii="宋体" w:hAnsi="宋体"/>
          <w:sz w:val="18"/>
          <w:szCs w:val="18"/>
        </w:rPr>
        <w:t>】以(□ 直销：产品管理人销售/</w:t>
      </w:r>
      <w:r>
        <w:rPr>
          <w:rFonts w:hint="eastAsia" w:ascii="宋体" w:hAnsi="宋体"/>
          <w:sz w:val="18"/>
          <w:szCs w:val="18"/>
        </w:rPr>
        <w:sym w:font="Wingdings 2" w:char="0052"/>
      </w:r>
      <w:r>
        <w:rPr>
          <w:rFonts w:hint="eastAsia" w:ascii="宋体" w:hAnsi="宋体"/>
          <w:sz w:val="18"/>
          <w:szCs w:val="18"/>
        </w:rPr>
        <w:t xml:space="preserve">  代销：代理</w:t>
      </w:r>
      <w:r>
        <w:rPr>
          <w:rFonts w:hint="eastAsia" w:ascii="宋体" w:hAnsi="宋体"/>
          <w:sz w:val="18"/>
          <w:szCs w:val="18"/>
          <w:lang w:eastAsia="zh-CN"/>
        </w:rPr>
        <w:t>销售服务机构</w:t>
      </w:r>
      <w:r>
        <w:rPr>
          <w:rFonts w:hint="eastAsia" w:ascii="宋体" w:hAnsi="宋体"/>
          <w:sz w:val="18"/>
          <w:szCs w:val="18"/>
        </w:rPr>
        <w:t>销售)的形式购买渤银理财有限责任公司（以下简称“渤银理财”）作为产品管理人管理的理财产品。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ind w:firstLine="360" w:firstLineChars="200"/>
        <w:rPr>
          <w:rFonts w:ascii="宋体" w:hAnsi="宋体"/>
          <w:sz w:val="18"/>
          <w:szCs w:val="18"/>
        </w:rPr>
      </w:pPr>
    </w:p>
    <w:p>
      <w:pPr>
        <w:ind w:firstLine="361" w:firstLineChars="200"/>
        <w:outlineLvl w:val="1"/>
        <w:rPr>
          <w:rFonts w:ascii="宋体" w:hAnsi="宋体"/>
          <w:b/>
          <w:sz w:val="18"/>
          <w:szCs w:val="18"/>
        </w:rPr>
      </w:pPr>
      <w:r>
        <w:rPr>
          <w:rFonts w:hint="eastAsia" w:ascii="宋体" w:hAnsi="宋体"/>
          <w:b/>
          <w:sz w:val="18"/>
          <w:szCs w:val="18"/>
        </w:rPr>
        <w:t>一、理财产品购买流程</w:t>
      </w:r>
    </w:p>
    <w:p>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lang w:eastAsia="zh-CN"/>
        </w:rPr>
        <w:t>销售服务机构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lang w:eastAsia="zh-CN"/>
        </w:rPr>
        <w:t>销售服务机构</w:t>
      </w:r>
      <w:r>
        <w:rPr>
          <w:rFonts w:ascii="宋体" w:hAnsi="宋体"/>
          <w:sz w:val="18"/>
          <w:szCs w:val="18"/>
        </w:rPr>
        <w:t>对您的风险承受能力评估，并根据风险评估结果选择适合的产品</w:t>
      </w:r>
      <w:r>
        <w:rPr>
          <w:rFonts w:hint="eastAsia" w:ascii="宋体" w:hAnsi="宋体"/>
          <w:sz w:val="18"/>
          <w:szCs w:val="18"/>
        </w:rPr>
        <w:t>，如为私募理财产品，还需进行合格投资者评估</w:t>
      </w:r>
      <w:r>
        <w:rPr>
          <w:rFonts w:ascii="宋体" w:hAnsi="宋体"/>
          <w:sz w:val="18"/>
          <w:szCs w:val="18"/>
        </w:rPr>
        <w:t>。</w:t>
      </w:r>
    </w:p>
    <w:p>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w:t>
      </w:r>
      <w:r>
        <w:rPr>
          <w:rFonts w:hint="eastAsia" w:ascii="宋体" w:hAnsi="宋体"/>
          <w:sz w:val="18"/>
          <w:szCs w:val="18"/>
        </w:rPr>
        <w:t>理财</w:t>
      </w:r>
      <w:r>
        <w:rPr>
          <w:rFonts w:ascii="宋体" w:hAnsi="宋体"/>
          <w:sz w:val="18"/>
          <w:szCs w:val="18"/>
        </w:rPr>
        <w:t>产品说明书》、</w:t>
      </w:r>
      <w:r>
        <w:rPr>
          <w:rFonts w:hint="eastAsia" w:ascii="宋体" w:hAnsi="宋体"/>
          <w:sz w:val="18"/>
          <w:szCs w:val="18"/>
        </w:rPr>
        <w:t>《理财产品（代理）销售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ind w:firstLine="360" w:firstLineChars="200"/>
        <w:rPr>
          <w:rFonts w:ascii="宋体" w:hAnsi="宋体"/>
          <w:sz w:val="18"/>
          <w:szCs w:val="18"/>
        </w:rPr>
      </w:pPr>
      <w:r>
        <w:rPr>
          <w:rFonts w:hint="eastAsia" w:ascii="宋体" w:hAnsi="宋体"/>
          <w:sz w:val="18"/>
          <w:szCs w:val="18"/>
        </w:rPr>
        <w:t>（四）</w:t>
      </w:r>
      <w:r>
        <w:rPr>
          <w:rFonts w:hint="eastAsia" w:ascii="宋体" w:hAnsi="宋体"/>
          <w:sz w:val="18"/>
          <w:szCs w:val="18"/>
          <w:lang w:eastAsia="zh-CN"/>
        </w:rPr>
        <w:t>销售服务机构</w:t>
      </w:r>
      <w:r>
        <w:rPr>
          <w:rFonts w:hint="eastAsia" w:ascii="宋体" w:hAnsi="宋体"/>
          <w:sz w:val="18"/>
          <w:szCs w:val="18"/>
        </w:rPr>
        <w:t>营业网点或电子银行</w:t>
      </w:r>
      <w:r>
        <w:rPr>
          <w:rFonts w:ascii="宋体" w:hAnsi="宋体"/>
          <w:sz w:val="18"/>
          <w:szCs w:val="18"/>
        </w:rPr>
        <w:t>（包括但不限于网上银行</w:t>
      </w:r>
      <w:r>
        <w:rPr>
          <w:rFonts w:hint="eastAsia" w:ascii="宋体" w:hAnsi="宋体"/>
          <w:sz w:val="18"/>
          <w:szCs w:val="18"/>
        </w:rPr>
        <w:t>或</w:t>
      </w:r>
      <w:r>
        <w:rPr>
          <w:rFonts w:ascii="宋体" w:hAnsi="宋体"/>
          <w:sz w:val="18"/>
          <w:szCs w:val="18"/>
        </w:rPr>
        <w:t>手机银行）均可办理理财产品的购买手续，但是对于具体理财产品，</w:t>
      </w:r>
      <w:r>
        <w:rPr>
          <w:rFonts w:hint="eastAsia" w:ascii="宋体" w:hAnsi="宋体"/>
          <w:sz w:val="18"/>
          <w:szCs w:val="18"/>
        </w:rPr>
        <w:t>产品管理人</w:t>
      </w:r>
      <w:r>
        <w:rPr>
          <w:rFonts w:ascii="宋体" w:hAnsi="宋体"/>
          <w:sz w:val="18"/>
          <w:szCs w:val="18"/>
        </w:rPr>
        <w:t>将根据产品风险等级和市场情况自行确定发售渠道。</w:t>
      </w:r>
    </w:p>
    <w:p>
      <w:pPr>
        <w:ind w:firstLine="361" w:firstLineChars="200"/>
        <w:outlineLvl w:val="1"/>
        <w:rPr>
          <w:rFonts w:ascii="宋体" w:hAnsi="宋体"/>
          <w:b/>
          <w:sz w:val="18"/>
          <w:szCs w:val="18"/>
        </w:rPr>
      </w:pPr>
      <w:r>
        <w:rPr>
          <w:rFonts w:hint="eastAsia" w:ascii="宋体" w:hAnsi="宋体"/>
          <w:b/>
          <w:sz w:val="18"/>
          <w:szCs w:val="18"/>
        </w:rPr>
        <w:t>二、投资者风险承受能力与产品风险评级</w:t>
      </w:r>
    </w:p>
    <w:p>
      <w:pPr>
        <w:ind w:firstLine="361" w:firstLineChars="200"/>
        <w:rPr>
          <w:rFonts w:ascii="宋体" w:hAnsi="宋体"/>
          <w:b/>
          <w:sz w:val="18"/>
          <w:szCs w:val="18"/>
        </w:rPr>
      </w:pPr>
      <w:r>
        <w:rPr>
          <w:rFonts w:hint="eastAsia" w:ascii="宋体" w:hAnsi="宋体"/>
          <w:b/>
          <w:sz w:val="18"/>
          <w:szCs w:val="18"/>
        </w:rPr>
        <w:t>（一）投资者风险承受能力评估说明</w:t>
      </w:r>
    </w:p>
    <w:p>
      <w:pPr>
        <w:ind w:firstLine="360" w:firstLineChars="200"/>
        <w:rPr>
          <w:rFonts w:ascii="宋体" w:hAnsi="宋体" w:eastAsia="黑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首次购买渤银理财的理财产品前，需要进行风险承受能力评估，填写个人投资者风险承受能力评估问卷，理财销售管理系统会记录投资者身份信息及风险评估结果信息。该评估结果有效期一年，并将作为评价您是否适合购买理财产品的重要因素。您可以通过</w:t>
      </w:r>
      <w:r>
        <w:rPr>
          <w:rFonts w:hint="eastAsia" w:ascii="宋体" w:hAnsi="宋体"/>
          <w:sz w:val="18"/>
          <w:szCs w:val="18"/>
          <w:lang w:eastAsia="zh-CN"/>
        </w:rPr>
        <w:t>销售服务机构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b/>
          <w:sz w:val="18"/>
          <w:szCs w:val="18"/>
        </w:rPr>
        <w:t>如影响您风险承受能力的因素发生变化，请您及时重新完成风险承受能力评估。（如为私募理财产品，还需进行合格投资者评估）</w:t>
      </w:r>
    </w:p>
    <w:p>
      <w:pPr>
        <w:ind w:firstLine="361" w:firstLineChars="200"/>
        <w:rPr>
          <w:rFonts w:ascii="宋体" w:hAnsi="宋体"/>
          <w:b/>
          <w:sz w:val="18"/>
          <w:szCs w:val="18"/>
        </w:rPr>
      </w:pPr>
      <w:r>
        <w:rPr>
          <w:rFonts w:ascii="宋体" w:hAnsi="宋体"/>
          <w:b/>
          <w:sz w:val="18"/>
          <w:szCs w:val="18"/>
        </w:rPr>
        <w:t xml:space="preserve">2. </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渤银理财产品风险评级共分为五级：R1低风险、R2较低/中低风险、R3中风险、R4较高</w:t>
      </w:r>
      <w:r>
        <w:rPr>
          <w:rFonts w:hint="eastAsia" w:ascii="宋体" w:hAnsi="宋体" w:cs="仿宋_GB2312"/>
          <w:kern w:val="0"/>
          <w:sz w:val="18"/>
          <w:szCs w:val="18"/>
        </w:rPr>
        <w:t>/中高</w:t>
      </w:r>
      <w:r>
        <w:rPr>
          <w:rFonts w:hint="eastAsia" w:ascii="宋体" w:hAnsi="宋体"/>
          <w:sz w:val="18"/>
          <w:szCs w:val="18"/>
        </w:rPr>
        <w:t>风险、R5高风险。不同风险的理财产品对应不同投资者的风险承受能力。</w:t>
      </w:r>
      <w:r>
        <w:rPr>
          <w:rFonts w:ascii="宋体" w:hAnsi="宋体"/>
          <w:sz w:val="18"/>
          <w:szCs w:val="18"/>
        </w:rPr>
        <w:t>风险承受能力评级越高适合购买的理财产品风险评级越高，适合购买的理财产品类型越丰富</w:t>
      </w:r>
      <w:r>
        <w:rPr>
          <w:rFonts w:hint="eastAsia" w:ascii="宋体" w:hAnsi="宋体"/>
          <w:sz w:val="18"/>
          <w:szCs w:val="18"/>
        </w:rPr>
        <w:t>。</w:t>
      </w:r>
      <w:r>
        <w:rPr>
          <w:rFonts w:ascii="宋体" w:hAnsi="宋体"/>
          <w:sz w:val="18"/>
          <w:szCs w:val="18"/>
        </w:rPr>
        <w:t>投资者风险承受能力评级类型与适合购买的理财产品的对应关系为：</w:t>
      </w:r>
    </w:p>
    <w:tbl>
      <w:tblPr>
        <w:tblStyle w:val="9"/>
        <w:tblW w:w="83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25"/>
        <w:gridCol w:w="5155"/>
        <w:gridCol w:w="20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1125" w:type="dxa"/>
            <w:vAlign w:val="center"/>
          </w:tcPr>
          <w:p>
            <w:pPr>
              <w:jc w:val="center"/>
              <w:rPr>
                <w:rFonts w:ascii="宋体" w:hAnsi="宋体"/>
                <w:color w:val="000000"/>
                <w:sz w:val="18"/>
                <w:szCs w:val="18"/>
              </w:rPr>
            </w:pPr>
            <w:r>
              <w:rPr>
                <w:rFonts w:hint="eastAsia" w:ascii="宋体" w:hAnsi="宋体"/>
                <w:sz w:val="18"/>
                <w:szCs w:val="18"/>
              </w:rPr>
              <w:t>风险评级</w:t>
            </w:r>
          </w:p>
        </w:tc>
        <w:tc>
          <w:tcPr>
            <w:tcW w:w="5155" w:type="dxa"/>
            <w:vAlign w:val="center"/>
          </w:tcPr>
          <w:p>
            <w:pPr>
              <w:jc w:val="center"/>
              <w:rPr>
                <w:rFonts w:ascii="宋体" w:hAnsi="宋体"/>
                <w:color w:val="000000"/>
                <w:sz w:val="18"/>
                <w:szCs w:val="18"/>
              </w:rPr>
            </w:pPr>
            <w:r>
              <w:rPr>
                <w:rFonts w:hint="eastAsia" w:ascii="宋体" w:hAnsi="宋体"/>
                <w:sz w:val="18"/>
                <w:szCs w:val="18"/>
              </w:rPr>
              <w:t>评级说明</w:t>
            </w:r>
          </w:p>
        </w:tc>
        <w:tc>
          <w:tcPr>
            <w:tcW w:w="2069" w:type="dxa"/>
            <w:vAlign w:val="center"/>
          </w:tcPr>
          <w:p>
            <w:pPr>
              <w:jc w:val="center"/>
              <w:rPr>
                <w:rFonts w:ascii="宋体" w:hAnsi="宋体"/>
                <w:color w:val="000000"/>
                <w:sz w:val="18"/>
                <w:szCs w:val="18"/>
              </w:rPr>
            </w:pPr>
            <w:r>
              <w:rPr>
                <w:rFonts w:hint="eastAsia" w:ascii="宋体" w:hAnsi="宋体"/>
                <w:sz w:val="18"/>
                <w:szCs w:val="18"/>
              </w:rPr>
              <w:t>投资者风险承受能力评级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ascii="宋体" w:hAnsi="宋体"/>
                <w:color w:val="000000"/>
                <w:sz w:val="18"/>
                <w:szCs w:val="18"/>
              </w:rPr>
            </w:pPr>
            <w:r>
              <w:rPr>
                <w:rFonts w:ascii="宋体" w:hAnsi="宋体"/>
                <w:sz w:val="18"/>
                <w:szCs w:val="18"/>
              </w:rPr>
              <w:t>R1</w:t>
            </w:r>
          </w:p>
        </w:tc>
        <w:tc>
          <w:tcPr>
            <w:tcW w:w="5155" w:type="dxa"/>
            <w:vAlign w:val="center"/>
          </w:tcPr>
          <w:p>
            <w:pPr>
              <w:rPr>
                <w:rFonts w:ascii="宋体" w:hAnsi="宋体"/>
                <w:color w:val="000000"/>
                <w:sz w:val="18"/>
                <w:szCs w:val="18"/>
              </w:rPr>
            </w:pPr>
            <w:r>
              <w:rPr>
                <w:rFonts w:hint="eastAsia" w:ascii="宋体" w:hAnsi="宋体"/>
                <w:color w:val="000000"/>
                <w:sz w:val="18"/>
                <w:szCs w:val="18"/>
              </w:rPr>
              <w:t>总体风险程度低，收益波动小，产品本金安全性高，收益不能实现的可能性很小；</w:t>
            </w:r>
          </w:p>
        </w:tc>
        <w:tc>
          <w:tcPr>
            <w:tcW w:w="2069" w:type="dxa"/>
            <w:vAlign w:val="center"/>
          </w:tcPr>
          <w:p>
            <w:pPr>
              <w:rPr>
                <w:rFonts w:ascii="宋体" w:hAnsi="宋体"/>
                <w:color w:val="000000"/>
                <w:sz w:val="18"/>
                <w:szCs w:val="18"/>
              </w:rPr>
            </w:pPr>
            <w:r>
              <w:rPr>
                <w:rFonts w:ascii="宋体" w:hAnsi="宋体"/>
                <w:sz w:val="18"/>
                <w:szCs w:val="18"/>
              </w:rPr>
              <w:t>C1</w:t>
            </w:r>
            <w:r>
              <w:rPr>
                <w:rFonts w:hint="eastAsia" w:ascii="宋体" w:hAnsi="宋体"/>
                <w:sz w:val="18"/>
                <w:szCs w:val="18"/>
                <w:lang w:eastAsia="zh-CN"/>
              </w:rPr>
              <w:t>（</w:t>
            </w:r>
            <w:r>
              <w:rPr>
                <w:rFonts w:hint="eastAsia" w:ascii="宋体" w:hAnsi="宋体"/>
                <w:sz w:val="18"/>
                <w:szCs w:val="18"/>
                <w:lang w:val="en-US" w:eastAsia="zh-CN"/>
              </w:rPr>
              <w:t>保守型</w:t>
            </w:r>
            <w:r>
              <w:rPr>
                <w:rFonts w:hint="eastAsia" w:ascii="宋体" w:hAnsi="宋体"/>
                <w:sz w:val="18"/>
                <w:szCs w:val="18"/>
                <w:lang w:eastAsia="zh-CN"/>
              </w:rPr>
              <w:t>）</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ascii="宋体" w:hAnsi="宋体"/>
                <w:color w:val="000000"/>
                <w:sz w:val="18"/>
                <w:szCs w:val="18"/>
              </w:rPr>
            </w:pPr>
            <w:r>
              <w:rPr>
                <w:rFonts w:ascii="宋体" w:hAnsi="宋体"/>
                <w:sz w:val="18"/>
                <w:szCs w:val="18"/>
              </w:rPr>
              <w:t>R2</w:t>
            </w:r>
          </w:p>
        </w:tc>
        <w:tc>
          <w:tcPr>
            <w:tcW w:w="5155" w:type="dxa"/>
            <w:vAlign w:val="center"/>
          </w:tcPr>
          <w:p>
            <w:pPr>
              <w:rPr>
                <w:rFonts w:ascii="宋体" w:hAnsi="宋体"/>
                <w:color w:val="000000"/>
                <w:sz w:val="18"/>
                <w:szCs w:val="18"/>
              </w:rPr>
            </w:pPr>
            <w:r>
              <w:rPr>
                <w:rFonts w:hint="eastAsia" w:ascii="宋体" w:hAnsi="宋体"/>
                <w:color w:val="000000"/>
                <w:sz w:val="18"/>
                <w:szCs w:val="18"/>
              </w:rPr>
              <w:t>总体风险程度较低，收益波动较小，虽然存在一些可能对产品本金和收益安全产生不利影响的因素，但产品本金出现损失的可能性较小；</w:t>
            </w:r>
          </w:p>
        </w:tc>
        <w:tc>
          <w:tcPr>
            <w:tcW w:w="2069" w:type="dxa"/>
            <w:vAlign w:val="center"/>
          </w:tcPr>
          <w:p>
            <w:pPr>
              <w:rPr>
                <w:rFonts w:ascii="宋体" w:hAnsi="宋体"/>
                <w:color w:val="000000"/>
                <w:sz w:val="18"/>
                <w:szCs w:val="18"/>
              </w:rPr>
            </w:pPr>
            <w:r>
              <w:rPr>
                <w:rFonts w:ascii="宋体" w:hAnsi="宋体"/>
                <w:sz w:val="18"/>
                <w:szCs w:val="18"/>
              </w:rPr>
              <w:t>C2</w:t>
            </w:r>
            <w:r>
              <w:rPr>
                <w:rFonts w:hint="eastAsia" w:ascii="宋体" w:hAnsi="宋体"/>
                <w:sz w:val="18"/>
                <w:szCs w:val="18"/>
                <w:lang w:eastAsia="zh-CN"/>
              </w:rPr>
              <w:t>（</w:t>
            </w:r>
            <w:r>
              <w:rPr>
                <w:rFonts w:hint="eastAsia" w:ascii="宋体" w:hAnsi="宋体"/>
                <w:sz w:val="18"/>
                <w:szCs w:val="18"/>
                <w:lang w:val="en-US" w:eastAsia="zh-CN"/>
              </w:rPr>
              <w:t>稳健型</w:t>
            </w:r>
            <w:r>
              <w:rPr>
                <w:rFonts w:hint="eastAsia" w:ascii="宋体" w:hAnsi="宋体"/>
                <w:sz w:val="18"/>
                <w:szCs w:val="18"/>
                <w:lang w:eastAsia="zh-CN"/>
              </w:rPr>
              <w:t>）</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ascii="宋体" w:hAnsi="宋体"/>
                <w:color w:val="000000"/>
                <w:sz w:val="18"/>
                <w:szCs w:val="18"/>
              </w:rPr>
            </w:pPr>
            <w:r>
              <w:rPr>
                <w:rFonts w:ascii="宋体" w:hAnsi="宋体"/>
                <w:sz w:val="18"/>
                <w:szCs w:val="18"/>
              </w:rPr>
              <w:t>R3</w:t>
            </w:r>
          </w:p>
        </w:tc>
        <w:tc>
          <w:tcPr>
            <w:tcW w:w="5155" w:type="dxa"/>
            <w:vAlign w:val="center"/>
          </w:tcPr>
          <w:p>
            <w:pPr>
              <w:rPr>
                <w:rFonts w:ascii="宋体" w:hAnsi="宋体"/>
                <w:color w:val="000000"/>
                <w:sz w:val="18"/>
                <w:szCs w:val="18"/>
              </w:rPr>
            </w:pPr>
            <w:r>
              <w:rPr>
                <w:rFonts w:hint="eastAsia" w:ascii="宋体" w:hAnsi="宋体"/>
                <w:color w:val="000000"/>
                <w:sz w:val="18"/>
                <w:szCs w:val="18"/>
              </w:rPr>
              <w:t>总体风险程度适中，收益存在一定的波动，产品本金出现损失的可能性不容忽视；</w:t>
            </w:r>
          </w:p>
        </w:tc>
        <w:tc>
          <w:tcPr>
            <w:tcW w:w="2069" w:type="dxa"/>
            <w:vAlign w:val="center"/>
          </w:tcPr>
          <w:p>
            <w:pPr>
              <w:rPr>
                <w:rFonts w:ascii="宋体" w:hAnsi="宋体"/>
                <w:color w:val="000000"/>
                <w:sz w:val="18"/>
                <w:szCs w:val="18"/>
              </w:rPr>
            </w:pPr>
            <w:r>
              <w:rPr>
                <w:rFonts w:ascii="宋体" w:hAnsi="宋体"/>
                <w:sz w:val="18"/>
                <w:szCs w:val="18"/>
              </w:rPr>
              <w:t>C3</w:t>
            </w:r>
            <w:r>
              <w:rPr>
                <w:rFonts w:hint="eastAsia" w:ascii="宋体" w:hAnsi="宋体"/>
                <w:sz w:val="18"/>
                <w:szCs w:val="18"/>
                <w:lang w:eastAsia="zh-CN"/>
              </w:rPr>
              <w:t>（</w:t>
            </w:r>
            <w:r>
              <w:rPr>
                <w:rFonts w:hint="eastAsia" w:ascii="宋体" w:hAnsi="宋体"/>
                <w:sz w:val="18"/>
                <w:szCs w:val="18"/>
                <w:lang w:val="en-US" w:eastAsia="zh-CN"/>
              </w:rPr>
              <w:t>平衡型</w:t>
            </w:r>
            <w:r>
              <w:rPr>
                <w:rFonts w:hint="eastAsia" w:ascii="宋体" w:hAnsi="宋体"/>
                <w:sz w:val="18"/>
                <w:szCs w:val="18"/>
                <w:lang w:eastAsia="zh-CN"/>
              </w:rPr>
              <w:t>）</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ascii="宋体" w:hAnsi="宋体"/>
                <w:color w:val="000000"/>
                <w:sz w:val="18"/>
                <w:szCs w:val="18"/>
              </w:rPr>
            </w:pPr>
            <w:r>
              <w:rPr>
                <w:rFonts w:ascii="宋体" w:hAnsi="宋体"/>
                <w:sz w:val="18"/>
                <w:szCs w:val="18"/>
              </w:rPr>
              <w:t>R4</w:t>
            </w:r>
          </w:p>
        </w:tc>
        <w:tc>
          <w:tcPr>
            <w:tcW w:w="5155" w:type="dxa"/>
            <w:vAlign w:val="center"/>
          </w:tcPr>
          <w:p>
            <w:pPr>
              <w:rPr>
                <w:rFonts w:ascii="宋体" w:hAnsi="宋体"/>
                <w:color w:val="000000"/>
                <w:sz w:val="18"/>
                <w:szCs w:val="18"/>
              </w:rPr>
            </w:pPr>
            <w:r>
              <w:rPr>
                <w:rFonts w:hint="eastAsia" w:ascii="宋体" w:hAnsi="宋体"/>
                <w:color w:val="000000"/>
                <w:sz w:val="18"/>
                <w:szCs w:val="18"/>
              </w:rPr>
              <w:t>总体风险程度较高，收益波动较明显，产品本金出现损失的可能性高； </w:t>
            </w:r>
          </w:p>
        </w:tc>
        <w:tc>
          <w:tcPr>
            <w:tcW w:w="2069" w:type="dxa"/>
            <w:vAlign w:val="center"/>
          </w:tcPr>
          <w:p>
            <w:pPr>
              <w:rPr>
                <w:rFonts w:ascii="宋体" w:hAnsi="宋体"/>
                <w:color w:val="000000"/>
                <w:sz w:val="18"/>
                <w:szCs w:val="18"/>
              </w:rPr>
            </w:pPr>
            <w:r>
              <w:rPr>
                <w:rFonts w:ascii="宋体" w:hAnsi="宋体"/>
                <w:sz w:val="18"/>
                <w:szCs w:val="18"/>
              </w:rPr>
              <w:t>C4</w:t>
            </w:r>
            <w:r>
              <w:rPr>
                <w:rFonts w:hint="eastAsia" w:ascii="宋体" w:hAnsi="宋体"/>
                <w:sz w:val="18"/>
                <w:szCs w:val="18"/>
                <w:lang w:eastAsia="zh-CN"/>
              </w:rPr>
              <w:t>（</w:t>
            </w:r>
            <w:r>
              <w:rPr>
                <w:rFonts w:hint="eastAsia" w:ascii="宋体" w:hAnsi="宋体"/>
                <w:sz w:val="18"/>
                <w:szCs w:val="18"/>
                <w:lang w:val="en-US" w:eastAsia="zh-CN"/>
              </w:rPr>
              <w:t>成长型</w:t>
            </w:r>
            <w:r>
              <w:rPr>
                <w:rFonts w:hint="eastAsia" w:ascii="宋体" w:hAnsi="宋体"/>
                <w:sz w:val="18"/>
                <w:szCs w:val="18"/>
                <w:lang w:eastAsia="zh-CN"/>
              </w:rPr>
              <w:t>）</w:t>
            </w:r>
            <w:r>
              <w:rPr>
                <w:rFonts w:ascii="宋体" w:hAnsi="宋体"/>
                <w:sz w:val="18"/>
                <w:szCs w:val="18"/>
              </w:rPr>
              <w:t>及以上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25" w:type="dxa"/>
            <w:vAlign w:val="center"/>
          </w:tcPr>
          <w:p>
            <w:pPr>
              <w:jc w:val="center"/>
              <w:rPr>
                <w:rFonts w:ascii="宋体" w:hAnsi="宋体"/>
                <w:color w:val="000000"/>
                <w:sz w:val="18"/>
                <w:szCs w:val="18"/>
              </w:rPr>
            </w:pPr>
            <w:r>
              <w:rPr>
                <w:rFonts w:ascii="宋体" w:hAnsi="宋体"/>
                <w:sz w:val="18"/>
                <w:szCs w:val="18"/>
              </w:rPr>
              <w:t>R5</w:t>
            </w:r>
          </w:p>
        </w:tc>
        <w:tc>
          <w:tcPr>
            <w:tcW w:w="5155" w:type="dxa"/>
            <w:vAlign w:val="center"/>
          </w:tcPr>
          <w:p>
            <w:pPr>
              <w:rPr>
                <w:rFonts w:ascii="宋体" w:hAnsi="宋体"/>
                <w:color w:val="000000"/>
                <w:sz w:val="18"/>
                <w:szCs w:val="18"/>
              </w:rPr>
            </w:pPr>
            <w:r>
              <w:rPr>
                <w:rFonts w:hint="eastAsia" w:ascii="宋体" w:hAnsi="宋体"/>
                <w:color w:val="000000"/>
                <w:sz w:val="18"/>
                <w:szCs w:val="18"/>
              </w:rPr>
              <w:t>总体风险程度高，收益波动明显，产品本金出现损失的可能性很高，产品本金出现全部损失的可能性不容忽视。</w:t>
            </w:r>
          </w:p>
        </w:tc>
        <w:tc>
          <w:tcPr>
            <w:tcW w:w="2069" w:type="dxa"/>
            <w:vAlign w:val="center"/>
          </w:tcPr>
          <w:p>
            <w:pPr>
              <w:rPr>
                <w:rFonts w:ascii="宋体" w:hAnsi="宋体"/>
                <w:color w:val="000000"/>
                <w:sz w:val="18"/>
                <w:szCs w:val="18"/>
              </w:rPr>
            </w:pPr>
            <w:r>
              <w:rPr>
                <w:rFonts w:ascii="宋体" w:hAnsi="宋体"/>
                <w:sz w:val="18"/>
                <w:szCs w:val="18"/>
              </w:rPr>
              <w:t>C5</w:t>
            </w:r>
            <w:r>
              <w:rPr>
                <w:rFonts w:hint="eastAsia" w:ascii="宋体" w:hAnsi="宋体"/>
                <w:sz w:val="18"/>
                <w:szCs w:val="18"/>
                <w:lang w:eastAsia="zh-CN"/>
              </w:rPr>
              <w:t>（</w:t>
            </w:r>
            <w:r>
              <w:rPr>
                <w:rFonts w:hint="eastAsia" w:ascii="宋体" w:hAnsi="宋体"/>
                <w:sz w:val="18"/>
                <w:szCs w:val="18"/>
                <w:lang w:val="en-US" w:eastAsia="zh-CN"/>
              </w:rPr>
              <w:t>进取型</w:t>
            </w:r>
            <w:r>
              <w:rPr>
                <w:rFonts w:hint="eastAsia" w:ascii="宋体" w:hAnsi="宋体"/>
                <w:sz w:val="18"/>
                <w:szCs w:val="18"/>
                <w:lang w:eastAsia="zh-CN"/>
              </w:rPr>
              <w:t>）</w:t>
            </w:r>
            <w:r>
              <w:rPr>
                <w:rFonts w:ascii="宋体" w:hAnsi="宋体"/>
                <w:sz w:val="18"/>
                <w:szCs w:val="18"/>
              </w:rPr>
              <w:t xml:space="preserve"> </w:t>
            </w:r>
          </w:p>
        </w:tc>
      </w:tr>
    </w:tbl>
    <w:p>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kern w:val="0"/>
          <w:sz w:val="18"/>
          <w:szCs w:val="18"/>
        </w:rPr>
        <w:t>★</w:t>
      </w:r>
      <w:r>
        <w:rPr>
          <w:rFonts w:hint="eastAsia" w:asciiTheme="minorEastAsia" w:hAnsiTheme="minorEastAsia" w:eastAsiaTheme="minorEastAsia" w:cstheme="minorEastAsia"/>
          <w:sz w:val="18"/>
          <w:szCs w:val="18"/>
        </w:rPr>
        <w:t>（二）针对“理财产品风险评级”“投资者风险承受能力”“适合投资者类型”的不同划分与表述的特别提示</w:t>
      </w:r>
    </w:p>
    <w:p>
      <w:pPr>
        <w:shd w:val="clear"/>
        <w:ind w:firstLine="360" w:firstLineChars="200"/>
        <w:rPr>
          <w:rFonts w:hint="eastAsia" w:asciiTheme="minorEastAsia" w:hAnsiTheme="minorEastAsia" w:eastAsiaTheme="minorEastAsia" w:cstheme="minorEastAsia"/>
          <w:sz w:val="18"/>
          <w:szCs w:val="18"/>
          <w:shd w:val="clear" w:color="auto" w:fill="auto"/>
          <w:lang w:val="en-US" w:eastAsia="zh-CN"/>
        </w:rPr>
      </w:pPr>
      <w:r>
        <w:rPr>
          <w:rFonts w:hint="eastAsia" w:asciiTheme="minorEastAsia" w:hAnsiTheme="minorEastAsia" w:eastAsiaTheme="minorEastAsia" w:cstheme="minorEastAsia"/>
          <w:sz w:val="18"/>
          <w:szCs w:val="18"/>
          <w:lang w:val="en-US" w:eastAsia="zh-CN"/>
        </w:rPr>
        <w:t>1.上述</w:t>
      </w:r>
      <w:r>
        <w:rPr>
          <w:rFonts w:hint="eastAsia" w:asciiTheme="minorEastAsia" w:hAnsiTheme="minorEastAsia" w:eastAsiaTheme="minorEastAsia" w:cstheme="minorEastAsia"/>
          <w:sz w:val="18"/>
          <w:szCs w:val="18"/>
        </w:rPr>
        <w:t>理财产品风险评级</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投资者风险承受能力、适合投资者类型等级的划分与表述</w:t>
      </w:r>
      <w:r>
        <w:rPr>
          <w:rFonts w:hint="eastAsia" w:asciiTheme="minorEastAsia" w:hAnsiTheme="minorEastAsia" w:eastAsiaTheme="minorEastAsia" w:cstheme="minorEastAsia"/>
          <w:sz w:val="18"/>
          <w:szCs w:val="18"/>
          <w:lang w:val="en-US" w:eastAsia="zh-CN"/>
        </w:rPr>
        <w:t>仅适用于直销渠道使用；</w:t>
      </w:r>
      <w:r>
        <w:rPr>
          <w:rFonts w:hint="eastAsia" w:asciiTheme="minorEastAsia" w:hAnsiTheme="minorEastAsia" w:eastAsiaTheme="minorEastAsia" w:cstheme="minorEastAsia"/>
          <w:sz w:val="18"/>
          <w:szCs w:val="18"/>
          <w:shd w:val="clear" w:color="auto" w:fill="auto"/>
          <w:lang w:val="en-US" w:eastAsia="zh-CN"/>
        </w:rPr>
        <w:t>对于</w:t>
      </w:r>
      <w:r>
        <w:rPr>
          <w:rFonts w:hint="eastAsia" w:asciiTheme="minorEastAsia" w:hAnsiTheme="minorEastAsia" w:eastAsiaTheme="minorEastAsia" w:cstheme="minorEastAsia"/>
          <w:sz w:val="18"/>
          <w:szCs w:val="18"/>
          <w:shd w:val="clear" w:color="auto" w:fill="auto"/>
          <w:lang w:val="en-US" w:eastAsia="zh-CN"/>
        </w:rPr>
        <w:t>其他渠道</w:t>
      </w:r>
      <w:r>
        <w:rPr>
          <w:rFonts w:hint="eastAsia" w:asciiTheme="minorEastAsia" w:hAnsiTheme="minorEastAsia" w:eastAsiaTheme="minorEastAsia" w:cstheme="minorEastAsia"/>
          <w:sz w:val="18"/>
          <w:szCs w:val="18"/>
          <w:shd w:val="clear" w:color="auto" w:fill="auto"/>
          <w:lang w:val="en-US" w:eastAsia="zh-CN"/>
        </w:rPr>
        <w:t>仅供参考，不具有法律效力。若投资者通过代理销售服务机构购买本理财产品，</w:t>
      </w:r>
      <w:r>
        <w:rPr>
          <w:rFonts w:hint="eastAsia" w:asciiTheme="minorEastAsia" w:hAnsiTheme="minorEastAsia" w:eastAsiaTheme="minorEastAsia" w:cstheme="minorEastAsia"/>
          <w:sz w:val="18"/>
          <w:szCs w:val="18"/>
          <w:shd w:val="clear" w:color="auto" w:fill="auto"/>
        </w:rPr>
        <w:t>理财产品风险评级</w:t>
      </w:r>
      <w:r>
        <w:rPr>
          <w:rFonts w:hint="eastAsia" w:asciiTheme="minorEastAsia" w:hAnsiTheme="minorEastAsia" w:eastAsiaTheme="minorEastAsia" w:cstheme="minorEastAsia"/>
          <w:sz w:val="18"/>
          <w:szCs w:val="18"/>
          <w:shd w:val="clear" w:color="auto" w:fill="auto"/>
          <w:lang w:val="en-US" w:eastAsia="zh-CN"/>
        </w:rPr>
        <w:t>、</w:t>
      </w:r>
      <w:r>
        <w:rPr>
          <w:rFonts w:hint="eastAsia" w:asciiTheme="minorEastAsia" w:hAnsiTheme="minorEastAsia" w:eastAsiaTheme="minorEastAsia" w:cstheme="minorEastAsia"/>
          <w:sz w:val="18"/>
          <w:szCs w:val="18"/>
          <w:shd w:val="clear" w:color="auto" w:fill="auto"/>
        </w:rPr>
        <w:t>投资者风险承受能力、适合投资者类型等级的划分与表述</w:t>
      </w:r>
      <w:r>
        <w:rPr>
          <w:rFonts w:hint="eastAsia" w:asciiTheme="minorEastAsia" w:hAnsiTheme="minorEastAsia" w:eastAsiaTheme="minorEastAsia" w:cstheme="minorEastAsia"/>
          <w:sz w:val="18"/>
          <w:szCs w:val="18"/>
          <w:shd w:val="clear" w:color="auto" w:fill="auto"/>
          <w:lang w:val="en-US" w:eastAsia="zh-CN"/>
        </w:rPr>
        <w:t>以代理销售服务机构告知的结果为准。</w:t>
      </w:r>
    </w:p>
    <w:p>
      <w:pPr>
        <w:shd w:val="clea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shd w:val="clear" w:color="auto" w:fill="auto"/>
        </w:rPr>
        <w:t>2.</w:t>
      </w:r>
      <w:r>
        <w:rPr>
          <w:rFonts w:hint="eastAsia" w:asciiTheme="minorEastAsia" w:hAnsiTheme="minorEastAsia" w:eastAsiaTheme="minorEastAsia" w:cstheme="minorEastAsia"/>
          <w:sz w:val="18"/>
          <w:szCs w:val="18"/>
          <w:shd w:val="clear" w:color="auto" w:fill="auto"/>
          <w:lang w:val="en-US" w:eastAsia="zh-CN"/>
        </w:rPr>
        <w:t>代理</w:t>
      </w: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销售服务机构</w:t>
      </w:r>
      <w:r>
        <w:rPr>
          <w:rFonts w:hint="eastAsia" w:asciiTheme="minorEastAsia" w:hAnsiTheme="minorEastAsia" w:eastAsiaTheme="minorEastAsia" w:cstheme="minorEastAsia"/>
          <w:sz w:val="18"/>
          <w:szCs w:val="18"/>
        </w:rPr>
        <w:t>在代销过程中，可参考</w:t>
      </w:r>
      <w:r>
        <w:rPr>
          <w:rFonts w:hint="eastAsia" w:asciiTheme="minorEastAsia" w:hAnsiTheme="minorEastAsia" w:eastAsiaTheme="minorEastAsia" w:cstheme="minorEastAsia"/>
          <w:sz w:val="18"/>
          <w:szCs w:val="18"/>
          <w:lang w:val="en-US" w:eastAsia="zh-CN"/>
        </w:rPr>
        <w:t>渤银</w:t>
      </w:r>
      <w:r>
        <w:rPr>
          <w:rFonts w:hint="eastAsia" w:asciiTheme="minorEastAsia" w:hAnsiTheme="minorEastAsia" w:eastAsiaTheme="minorEastAsia" w:cstheme="minorEastAsia"/>
          <w:sz w:val="18"/>
          <w:szCs w:val="18"/>
        </w:rPr>
        <w:t>理财的产品风险评级结果，自行判断确定本产品的风险评级，但应确保个人投资者的风险承受能力等级不低于本产品风险评级。</w:t>
      </w:r>
    </w:p>
    <w:p>
      <w:pPr>
        <w:keepNext w:val="0"/>
        <w:keepLines w:val="0"/>
        <w:widowControl/>
        <w:suppressLineNumbers w:val="0"/>
        <w:spacing w:before="0" w:beforeAutospacing="0" w:after="0" w:afterAutospacing="0"/>
        <w:ind w:left="0" w:right="0" w:firstLine="360"/>
        <w:jc w:val="both"/>
        <w:rPr>
          <w:rFonts w:hint="eastAsia" w:asciiTheme="minorEastAsia" w:hAnsiTheme="minorEastAsia" w:eastAsiaTheme="minorEastAsia" w:cstheme="minorEastAsia"/>
          <w:i w:val="0"/>
          <w:iCs w:val="0"/>
          <w:caps w:val="0"/>
          <w:color w:val="000000"/>
          <w:spacing w:val="0"/>
          <w:sz w:val="18"/>
          <w:szCs w:val="18"/>
          <w:shd w:val="clear" w:color="auto" w:fill="auto"/>
        </w:rPr>
      </w:pP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3.代理销售服务机构</w:t>
      </w:r>
      <w:r>
        <w:rPr>
          <w:rFonts w:hint="eastAsia" w:asciiTheme="minorEastAsia" w:hAnsiTheme="minorEastAsia" w:eastAsiaTheme="minorEastAsia" w:cstheme="minorEastAsia"/>
          <w:sz w:val="18"/>
          <w:szCs w:val="18"/>
        </w:rPr>
        <w:t>风险测评评级定义及各评级与理财产品风险等级的匹配关系</w:t>
      </w:r>
      <w:r>
        <w:rPr>
          <w:rFonts w:hint="eastAsia" w:asciiTheme="minorEastAsia" w:hAnsiTheme="minorEastAsia" w:eastAsiaTheme="minorEastAsia" w:cstheme="minorEastAsia"/>
          <w:sz w:val="18"/>
          <w:szCs w:val="18"/>
          <w:lang w:val="en-US" w:eastAsia="zh-CN"/>
        </w:rPr>
        <w:t>:</w:t>
      </w:r>
    </w:p>
    <w:tbl>
      <w:tblPr>
        <w:tblStyle w:val="9"/>
        <w:tblW w:w="83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88"/>
        <w:gridCol w:w="1248"/>
        <w:gridCol w:w="1142"/>
        <w:gridCol w:w="1309"/>
        <w:gridCol w:w="1414"/>
        <w:gridCol w:w="12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7" w:hRule="atLeast"/>
          <w:jc w:val="center"/>
        </w:trPr>
        <w:tc>
          <w:tcPr>
            <w:tcW w:w="1888" w:type="dxa"/>
            <w:tcBorders>
              <w:tl2br w:val="nil"/>
              <w:tr2bl w:val="nil"/>
            </w:tcBorders>
          </w:tcPr>
          <w:p>
            <w:pPr>
              <w:pStyle w:val="29"/>
              <w:keepNext w:val="0"/>
              <w:keepLines w:val="0"/>
              <w:suppressLineNumbers w:val="0"/>
              <w:spacing w:before="0" w:beforeAutospacing="0" w:after="0" w:afterAutospacing="0" w:line="360" w:lineRule="auto"/>
              <w:ind w:left="0" w:right="0" w:firstLine="0" w:firstLineChars="0"/>
              <w:jc w:val="righ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-3810</wp:posOffset>
                      </wp:positionV>
                      <wp:extent cx="1190625" cy="688975"/>
                      <wp:effectExtent l="2540" t="3810" r="6985" b="12065"/>
                      <wp:wrapNone/>
                      <wp:docPr id="1" name="直接连接符 1"/>
                      <wp:cNvGraphicFramePr/>
                      <a:graphic xmlns:a="http://schemas.openxmlformats.org/drawingml/2006/main">
                        <a:graphicData uri="http://schemas.microsoft.com/office/word/2010/wordprocessingShape">
                          <wps:wsp>
                            <wps:cNvCnPr/>
                            <wps:spPr>
                              <a:xfrm>
                                <a:off x="0" y="0"/>
                                <a:ext cx="119062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0.3pt;height:54.25pt;width:93.75pt;z-index:251659264;mso-width-relative:page;mso-height-relative:page;" filled="f" stroked="t" coordsize="21600,21600" o:gfxdata="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IiP4NYAAAAIAQAADwAAAAAAAAABACAAAAAiAAAAZHJzL2Rvd25yZXYueG1sUEsB&#10;AhQAFAAAAAgAh07iQJ2CMp/3AQAA6QMAAA4AAAAAAAAAAQAgAAAAJQEAAGRycy9lMm9Eb2MueG1s&#10;UEsFBgAAAAAGAAYAWQEAAI4FAAAAAA==&#10;">
                      <v:fill on="f" focussize="0,0"/>
                      <v:stroke weight="0.5pt" color="#000000" joinstyle="round"/>
                      <v:imagedata o:title=""/>
                      <o:lock v:ext="edit" aspectratio="f"/>
                    </v:line>
                  </w:pict>
                </mc:Fallback>
              </mc:AlternateContent>
            </w:r>
            <w:r>
              <w:rPr>
                <w:rFonts w:hint="eastAsia" w:asciiTheme="minorEastAsia" w:hAnsiTheme="minorEastAsia" w:eastAsiaTheme="minorEastAsia" w:cstheme="minorEastAsia"/>
                <w:b/>
                <w:sz w:val="18"/>
                <w:szCs w:val="18"/>
                <w:lang w:val="en-US" w:eastAsia="zh-CN"/>
              </w:rPr>
              <w:t xml:space="preserve"> </w:t>
            </w:r>
            <w:r>
              <w:rPr>
                <w:rFonts w:hint="eastAsia" w:asciiTheme="minorEastAsia" w:hAnsiTheme="minorEastAsia" w:eastAsiaTheme="minorEastAsia" w:cstheme="minorEastAsia"/>
                <w:b/>
                <w:sz w:val="18"/>
                <w:szCs w:val="18"/>
              </w:rPr>
              <w:t>产品风险情况</w:t>
            </w:r>
          </w:p>
          <w:p>
            <w:pPr>
              <w:pStyle w:val="29"/>
              <w:keepNext w:val="0"/>
              <w:keepLines w:val="0"/>
              <w:suppressLineNumbers w:val="0"/>
              <w:spacing w:before="0" w:beforeAutospacing="0" w:after="0" w:afterAutospacing="0" w:line="240" w:lineRule="atLeast"/>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投资者</w:t>
            </w:r>
          </w:p>
          <w:p>
            <w:pPr>
              <w:pStyle w:val="29"/>
              <w:keepNext w:val="0"/>
              <w:keepLines w:val="0"/>
              <w:suppressLineNumbers w:val="0"/>
              <w:spacing w:before="0" w:beforeAutospacing="0" w:after="0" w:afterAutospacing="0" w:line="240" w:lineRule="atLeast"/>
              <w:ind w:left="0" w:right="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风险类型</w:t>
            </w:r>
          </w:p>
        </w:tc>
        <w:tc>
          <w:tcPr>
            <w:tcW w:w="1248"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低风险</w:t>
            </w:r>
          </w:p>
        </w:tc>
        <w:tc>
          <w:tcPr>
            <w:tcW w:w="1142"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中低风险</w:t>
            </w:r>
          </w:p>
        </w:tc>
        <w:tc>
          <w:tcPr>
            <w:tcW w:w="1309"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中等风险</w:t>
            </w:r>
          </w:p>
        </w:tc>
        <w:tc>
          <w:tcPr>
            <w:tcW w:w="1414"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中高风险</w:t>
            </w:r>
          </w:p>
        </w:tc>
        <w:tc>
          <w:tcPr>
            <w:tcW w:w="1256"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高风险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7" w:hRule="atLeast"/>
          <w:jc w:val="center"/>
        </w:trPr>
        <w:tc>
          <w:tcPr>
            <w:tcW w:w="1888" w:type="dxa"/>
            <w:tcBorders>
              <w:tl2br w:val="nil"/>
              <w:tr2bl w:val="nil"/>
            </w:tcBorders>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激进型</w:t>
            </w:r>
          </w:p>
        </w:tc>
        <w:tc>
          <w:tcPr>
            <w:tcW w:w="124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42"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09"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41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256" w:type="dxa"/>
            <w:tcBorders>
              <w:tl2br w:val="nil"/>
              <w:tr2bl w:val="nil"/>
            </w:tcBorders>
            <w:vAlign w:val="center"/>
          </w:tcPr>
          <w:p>
            <w:pPr>
              <w:pStyle w:val="29"/>
              <w:keepNext w:val="0"/>
              <w:keepLines w:val="0"/>
              <w:suppressLineNumbers w:val="0"/>
              <w:spacing w:before="0" w:beforeAutospacing="0" w:after="0" w:afterAutospacing="0" w:line="360" w:lineRule="auto"/>
              <w:ind w:left="0" w:right="-122" w:rightChars="-58" w:firstLine="0" w:firstLineChars="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7" w:hRule="atLeast"/>
          <w:jc w:val="center"/>
        </w:trPr>
        <w:tc>
          <w:tcPr>
            <w:tcW w:w="1888"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进取型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4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41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7" w:hRule="atLeast"/>
          <w:jc w:val="center"/>
        </w:trPr>
        <w:tc>
          <w:tcPr>
            <w:tcW w:w="1888"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稳健型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4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41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888"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谨慎型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42"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09"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41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1888"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保守型</w:t>
            </w:r>
          </w:p>
        </w:tc>
        <w:tc>
          <w:tcPr>
            <w:tcW w:w="124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42"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309"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41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256"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bl>
    <w:p>
      <w:pPr>
        <w:keepNext w:val="0"/>
        <w:keepLines w:val="0"/>
        <w:widowControl/>
        <w:suppressLineNumbers w:val="0"/>
        <w:spacing w:before="0" w:beforeAutospacing="0" w:after="0" w:afterAutospacing="0"/>
        <w:ind w:left="0" w:right="0" w:firstLine="360" w:firstLineChars="200"/>
        <w:jc w:val="both"/>
        <w:outlineLvl w:val="1"/>
        <w:rPr>
          <w:rFonts w:hint="eastAsia" w:asciiTheme="minorEastAsia" w:hAnsiTheme="minorEastAsia" w:eastAsiaTheme="minorEastAsia" w:cstheme="minorEastAsia"/>
          <w:i w:val="0"/>
          <w:iCs w:val="0"/>
          <w:caps w:val="0"/>
          <w:color w:val="000000"/>
          <w:spacing w:val="0"/>
          <w:sz w:val="18"/>
          <w:szCs w:val="18"/>
          <w:shd w:val="clear" w:color="auto" w:fill="auto"/>
        </w:rPr>
      </w:pPr>
      <w:r>
        <w:rPr>
          <w:rFonts w:hint="eastAsia" w:asciiTheme="minorEastAsia" w:hAnsiTheme="minorEastAsia" w:eastAsiaTheme="minorEastAsia" w:cstheme="minorEastAsia"/>
          <w:b w:val="0"/>
          <w:bCs/>
          <w:sz w:val="18"/>
          <w:szCs w:val="18"/>
          <w:lang w:val="en-US" w:eastAsia="zh-CN"/>
        </w:rPr>
        <w:t>注：</w:t>
      </w: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1）客户风险承受能力评级：代理销售服务机构根据客户的财务状况、投资经验、投资目的、对相关风险的认知和承受能力等因素自行设计评估问卷并确定评估标准后，将客户的风险承受能力分为五级，按照风险承受能力从低到高的顺序依次为：保守型、谨慎型、稳健型、进取型、激进型。</w:t>
      </w:r>
    </w:p>
    <w:p>
      <w:pPr>
        <w:keepNext w:val="0"/>
        <w:keepLines w:val="0"/>
        <w:widowControl/>
        <w:suppressLineNumbers w:val="0"/>
        <w:spacing w:before="0" w:beforeAutospacing="0" w:after="0" w:afterAutospacing="0"/>
        <w:ind w:left="0" w:right="0" w:firstLine="360" w:firstLineChars="200"/>
        <w:jc w:val="both"/>
        <w:rPr>
          <w:rFonts w:hint="eastAsia" w:asciiTheme="minorEastAsia" w:hAnsiTheme="minorEastAsia" w:eastAsiaTheme="minorEastAsia" w:cstheme="minorEastAsia"/>
          <w:i w:val="0"/>
          <w:iCs w:val="0"/>
          <w:caps w:val="0"/>
          <w:color w:val="000000"/>
          <w:spacing w:val="0"/>
          <w:sz w:val="18"/>
          <w:szCs w:val="18"/>
          <w:shd w:val="clear" w:color="auto" w:fill="auto"/>
        </w:rPr>
      </w:pP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2）理财产品风险等级：代理销售服务机构根据自身管理制度和要求及其自行确定的内部标准，将理财产品的风险等级分为五级，按照产品风险从低到高的顺序依次为：低风险、中低风险、中等风险、中高风险和高风险五类。</w:t>
      </w:r>
    </w:p>
    <w:p>
      <w:pPr>
        <w:ind w:firstLine="360" w:firstLineChars="200"/>
        <w:outlineLvl w:val="1"/>
        <w:rPr>
          <w:rFonts w:hint="default" w:ascii="宋体" w:hAnsi="宋体" w:eastAsia="宋体"/>
          <w:b/>
          <w:sz w:val="18"/>
          <w:szCs w:val="18"/>
          <w:lang w:val="en-US" w:eastAsia="zh-CN"/>
        </w:rPr>
      </w:pP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3）根据理财产品风险等级和客户风险承受能力类型评级不同，理财客户适合购买的产品风险类型亦有不同，具体为向下兼容，如</w:t>
      </w: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上</w:t>
      </w: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表所示。</w:t>
      </w:r>
    </w:p>
    <w:p>
      <w:pPr>
        <w:ind w:firstLine="361" w:firstLineChars="200"/>
        <w:outlineLvl w:val="1"/>
        <w:rPr>
          <w:rFonts w:ascii="宋体" w:hAnsi="宋体"/>
          <w:b/>
          <w:sz w:val="18"/>
          <w:szCs w:val="18"/>
        </w:rPr>
      </w:pPr>
      <w:r>
        <w:rPr>
          <w:rFonts w:hint="eastAsia" w:ascii="宋体" w:hAnsi="宋体"/>
          <w:b/>
          <w:sz w:val="18"/>
          <w:szCs w:val="18"/>
        </w:rPr>
        <w:t>三、关于理财产品的信息披露</w:t>
      </w:r>
    </w:p>
    <w:p>
      <w:pPr>
        <w:ind w:firstLine="360" w:firstLineChars="200"/>
        <w:rPr>
          <w:rFonts w:ascii="宋体" w:hAnsi="宋体"/>
          <w:sz w:val="18"/>
          <w:szCs w:val="18"/>
        </w:rPr>
      </w:pPr>
      <w:r>
        <w:rPr>
          <w:rFonts w:hint="eastAsia" w:ascii="宋体" w:hAnsi="宋体"/>
          <w:sz w:val="18"/>
          <w:szCs w:val="18"/>
        </w:rPr>
        <w:t>理财产品的信息披露将通过【</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w:t>
      </w:r>
      <w:r>
        <w:rPr>
          <w:rFonts w:hint="eastAsia" w:ascii="宋体" w:hAnsi="宋体"/>
          <w:bCs/>
          <w:sz w:val="18"/>
          <w:szCs w:val="18"/>
        </w:rPr>
        <w:t>的信息披露渠道（包括但不限于【</w:t>
      </w:r>
      <w:r>
        <w:rPr>
          <w:rFonts w:hint="eastAsia" w:ascii="宋体" w:hAnsi="宋体"/>
          <w:bCs/>
          <w:sz w:val="18"/>
          <w:szCs w:val="18"/>
          <w:lang w:val="en-US" w:eastAsia="zh-CN"/>
        </w:rPr>
        <w:t>湖南银行股份有限公司</w:t>
      </w:r>
      <w:r>
        <w:rPr>
          <w:rFonts w:hint="eastAsia" w:ascii="宋体" w:hAnsi="宋体"/>
          <w:bCs/>
          <w:sz w:val="18"/>
          <w:szCs w:val="18"/>
        </w:rPr>
        <w:t>】的营业网点</w:t>
      </w:r>
      <w:r>
        <w:rPr>
          <w:rFonts w:hint="eastAsia" w:ascii="宋体" w:hAnsi="宋体"/>
          <w:bCs/>
          <w:sz w:val="18"/>
          <w:szCs w:val="18"/>
          <w:lang w:val="en-US" w:eastAsia="zh-CN"/>
        </w:rPr>
        <w:t>及/或</w:t>
      </w:r>
      <w:r>
        <w:rPr>
          <w:rFonts w:hint="eastAsia" w:ascii="宋体" w:hAnsi="宋体"/>
          <w:bCs/>
          <w:sz w:val="18"/>
          <w:szCs w:val="18"/>
        </w:rPr>
        <w:t>门户网站、电子销售渠道等）进行。</w:t>
      </w:r>
      <w:r>
        <w:rPr>
          <w:rFonts w:ascii="宋体" w:hAnsi="宋体"/>
          <w:sz w:val="18"/>
          <w:szCs w:val="18"/>
        </w:rPr>
        <w:t>具体</w:t>
      </w:r>
      <w:r>
        <w:rPr>
          <w:rFonts w:hint="eastAsia" w:ascii="宋体" w:hAnsi="宋体"/>
          <w:sz w:val="18"/>
          <w:szCs w:val="18"/>
        </w:rPr>
        <w:t>信息披露内容</w:t>
      </w:r>
      <w:r>
        <w:rPr>
          <w:rFonts w:ascii="宋体" w:hAnsi="宋体"/>
          <w:sz w:val="18"/>
          <w:szCs w:val="18"/>
        </w:rPr>
        <w:t>以《</w:t>
      </w:r>
      <w:r>
        <w:rPr>
          <w:rFonts w:hint="eastAsia" w:ascii="宋体" w:hAnsi="宋体"/>
          <w:sz w:val="18"/>
          <w:szCs w:val="18"/>
        </w:rPr>
        <w:t>理财</w:t>
      </w:r>
      <w:r>
        <w:rPr>
          <w:rFonts w:ascii="宋体" w:hAnsi="宋体"/>
          <w:sz w:val="18"/>
          <w:szCs w:val="18"/>
        </w:rPr>
        <w:t>产品说明书》中“信息披露</w:t>
      </w:r>
      <w:r>
        <w:rPr>
          <w:rFonts w:hint="eastAsia" w:ascii="宋体" w:hAnsi="宋体"/>
          <w:sz w:val="18"/>
          <w:szCs w:val="18"/>
        </w:rPr>
        <w:t>”约定为准。</w:t>
      </w:r>
    </w:p>
    <w:p>
      <w:pPr>
        <w:ind w:firstLine="361" w:firstLineChars="200"/>
        <w:outlineLvl w:val="1"/>
        <w:rPr>
          <w:rFonts w:ascii="宋体" w:hAnsi="宋体"/>
          <w:b/>
          <w:sz w:val="18"/>
          <w:szCs w:val="18"/>
        </w:rPr>
      </w:pPr>
      <w:r>
        <w:rPr>
          <w:rFonts w:hint="eastAsia" w:ascii="宋体" w:hAnsi="宋体"/>
          <w:b/>
          <w:sz w:val="18"/>
          <w:szCs w:val="18"/>
        </w:rPr>
        <w:t>四、关于投诉与建议</w:t>
      </w:r>
    </w:p>
    <w:p>
      <w:pPr>
        <w:ind w:firstLine="360" w:firstLineChars="200"/>
        <w:rPr>
          <w:rFonts w:ascii="宋体" w:hAnsi="宋体"/>
          <w:sz w:val="18"/>
          <w:szCs w:val="18"/>
        </w:rPr>
      </w:pPr>
      <w:r>
        <w:rPr>
          <w:rFonts w:hint="eastAsia" w:ascii="宋体" w:hAnsi="宋体"/>
          <w:sz w:val="18"/>
          <w:szCs w:val="18"/>
        </w:rPr>
        <w:t>（一）您对本产品有任何意见或异议，可向产品</w:t>
      </w:r>
      <w:r>
        <w:rPr>
          <w:rFonts w:hint="eastAsia" w:ascii="宋体" w:hAnsi="宋体"/>
          <w:sz w:val="18"/>
          <w:szCs w:val="18"/>
          <w:lang w:eastAsia="zh-CN"/>
        </w:rPr>
        <w:t>销售服务机构</w:t>
      </w:r>
      <w:r>
        <w:rPr>
          <w:rFonts w:hint="eastAsia" w:ascii="宋体" w:hAnsi="宋体"/>
          <w:sz w:val="18"/>
          <w:szCs w:val="18"/>
        </w:rPr>
        <w:t>反馈，产品</w:t>
      </w:r>
      <w:r>
        <w:rPr>
          <w:rFonts w:hint="eastAsia" w:ascii="宋体" w:hAnsi="宋体"/>
          <w:sz w:val="18"/>
          <w:szCs w:val="18"/>
          <w:lang w:eastAsia="zh-CN"/>
        </w:rPr>
        <w:t>销售服务机构</w:t>
      </w:r>
      <w:r>
        <w:rPr>
          <w:rFonts w:hint="eastAsia" w:ascii="宋体" w:hAnsi="宋体"/>
          <w:sz w:val="18"/>
          <w:szCs w:val="18"/>
        </w:rPr>
        <w:t>将由专人接听、记录您的意见或建议，并由各方协商共同解决。</w:t>
      </w:r>
    </w:p>
    <w:p>
      <w:pPr>
        <w:ind w:firstLine="360" w:firstLineChars="200"/>
        <w:rPr>
          <w:rFonts w:ascii="宋体" w:hAnsi="宋体"/>
          <w:sz w:val="18"/>
          <w:szCs w:val="18"/>
        </w:rPr>
      </w:pPr>
      <w:r>
        <w:rPr>
          <w:rFonts w:hint="eastAsia" w:ascii="宋体" w:hAnsi="宋体"/>
          <w:sz w:val="18"/>
          <w:szCs w:val="18"/>
        </w:rPr>
        <w:t>（二）联络方式</w:t>
      </w:r>
    </w:p>
    <w:p>
      <w:pPr>
        <w:ind w:firstLine="360" w:firstLineChars="200"/>
        <w:rPr>
          <w:rFonts w:ascii="宋体" w:hAnsi="宋体"/>
          <w:sz w:val="18"/>
          <w:szCs w:val="18"/>
        </w:rPr>
      </w:pPr>
      <w:r>
        <w:rPr>
          <w:rFonts w:hint="eastAsia" w:ascii="宋体" w:hAnsi="宋体"/>
          <w:sz w:val="18"/>
          <w:szCs w:val="18"/>
        </w:rPr>
        <w:t>通过【</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】（作为</w:t>
      </w:r>
      <w:r>
        <w:rPr>
          <w:rFonts w:hint="eastAsia" w:ascii="宋体" w:hAnsi="宋体"/>
          <w:sz w:val="18"/>
          <w:szCs w:val="18"/>
          <w:lang w:eastAsia="zh-CN"/>
        </w:rPr>
        <w:t>销售服务机构</w:t>
      </w:r>
      <w:r>
        <w:rPr>
          <w:rFonts w:hint="eastAsia" w:ascii="宋体" w:hAnsi="宋体"/>
          <w:sz w:val="18"/>
          <w:szCs w:val="18"/>
        </w:rPr>
        <w:t>）购买本产品的，请联系【</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】客户服务热线：【0731-96599】；【</w:t>
      </w:r>
      <w:r>
        <w:rPr>
          <w:rFonts w:hint="eastAsia" w:ascii="宋体" w:hAnsi="宋体"/>
          <w:bCs/>
          <w:sz w:val="18"/>
          <w:szCs w:val="18"/>
          <w:lang w:val="en-US" w:eastAsia="zh-CN"/>
        </w:rPr>
        <w:t>湖南银行股份有限公司</w:t>
      </w:r>
      <w:r>
        <w:rPr>
          <w:rFonts w:hint="eastAsia" w:ascii="宋体" w:hAnsi="宋体"/>
          <w:sz w:val="18"/>
          <w:szCs w:val="18"/>
        </w:rPr>
        <w:t>】门户网站：【</w:t>
      </w:r>
      <w:r>
        <w:rPr>
          <w:rFonts w:hint="eastAsia" w:ascii="宋体" w:hAnsi="宋体"/>
          <w:sz w:val="18"/>
          <w:szCs w:val="18"/>
          <w:lang w:val="en-US" w:eastAsia="zh-CN"/>
        </w:rPr>
        <w:t>www.hunan-bank.com</w:t>
      </w:r>
      <w:r>
        <w:rPr>
          <w:rFonts w:hint="eastAsia" w:ascii="宋体" w:hAnsi="宋体"/>
          <w:sz w:val="18"/>
          <w:szCs w:val="18"/>
        </w:rPr>
        <w:t>】。</w:t>
      </w:r>
    </w:p>
    <w:p>
      <w:pPr>
        <w:widowControl/>
        <w:jc w:val="left"/>
        <w:rPr>
          <w:rFonts w:ascii="宋体" w:hAnsi="宋体"/>
          <w:b/>
          <w:sz w:val="28"/>
          <w:szCs w:val="28"/>
        </w:rPr>
      </w:pPr>
      <w:r>
        <w:rPr>
          <w:rFonts w:ascii="宋体" w:hAnsi="宋体"/>
          <w:b/>
          <w:sz w:val="28"/>
          <w:szCs w:val="28"/>
        </w:rPr>
        <w:br w:type="page"/>
      </w:r>
    </w:p>
    <w:p>
      <w:pPr>
        <w:adjustRightInd w:val="0"/>
        <w:spacing w:line="280" w:lineRule="atLeast"/>
        <w:jc w:val="center"/>
        <w:outlineLvl w:val="0"/>
        <w:rPr>
          <w:rStyle w:val="11"/>
          <w:rFonts w:ascii="黑体" w:hAnsi="黑体" w:eastAsia="黑体"/>
          <w:sz w:val="28"/>
          <w:szCs w:val="28"/>
        </w:rPr>
      </w:pPr>
      <w:r>
        <w:rPr>
          <w:rStyle w:val="11"/>
          <w:rFonts w:hint="eastAsia" w:ascii="黑体" w:hAnsi="黑体" w:eastAsia="黑体"/>
          <w:sz w:val="28"/>
          <w:szCs w:val="28"/>
        </w:rPr>
        <w:t>渤银理财【</w:t>
      </w:r>
      <w:r>
        <w:rPr>
          <w:rStyle w:val="11"/>
          <w:rFonts w:hint="eastAsia" w:ascii="黑体" w:hAnsi="黑体" w:eastAsia="黑体"/>
          <w:sz w:val="28"/>
          <w:szCs w:val="28"/>
          <w:lang w:val="en-US" w:eastAsia="zh-CN"/>
        </w:rPr>
        <w:t>财收有略</w:t>
      </w:r>
      <w:r>
        <w:rPr>
          <w:rStyle w:val="11"/>
          <w:rFonts w:hint="eastAsia" w:ascii="黑体" w:hAnsi="黑体" w:eastAsia="黑体"/>
          <w:sz w:val="28"/>
          <w:szCs w:val="28"/>
        </w:rPr>
        <w:t>】理财产品</w:t>
      </w:r>
    </w:p>
    <w:p>
      <w:pPr>
        <w:adjustRightInd w:val="0"/>
        <w:spacing w:line="280" w:lineRule="atLeast"/>
        <w:jc w:val="center"/>
        <w:outlineLvl w:val="0"/>
        <w:rPr>
          <w:rStyle w:val="11"/>
          <w:rFonts w:ascii="黑体" w:hAnsi="黑体" w:eastAsia="黑体"/>
          <w:sz w:val="28"/>
          <w:szCs w:val="28"/>
        </w:rPr>
      </w:pPr>
      <w:r>
        <w:rPr>
          <w:rStyle w:val="11"/>
          <w:rFonts w:hint="eastAsia" w:ascii="黑体" w:hAnsi="黑体" w:eastAsia="黑体"/>
          <w:sz w:val="28"/>
          <w:szCs w:val="28"/>
        </w:rPr>
        <w:t>投资者权益须知</w:t>
      </w:r>
    </w:p>
    <w:p>
      <w:pPr>
        <w:pStyle w:val="14"/>
        <w:spacing w:line="280" w:lineRule="atLeast"/>
        <w:jc w:val="center"/>
        <w:outlineLvl w:val="0"/>
        <w:rPr>
          <w:rFonts w:hAnsi="宋体"/>
          <w:b/>
          <w:color w:val="auto"/>
          <w:sz w:val="28"/>
          <w:szCs w:val="28"/>
        </w:rPr>
      </w:pPr>
      <w:r>
        <w:rPr>
          <w:rFonts w:hint="eastAsia" w:hAnsi="宋体"/>
          <w:b/>
          <w:color w:val="auto"/>
          <w:sz w:val="28"/>
          <w:szCs w:val="28"/>
        </w:rPr>
        <w:t>（适用于机构投资者）</w:t>
      </w:r>
    </w:p>
    <w:p>
      <w:pPr>
        <w:spacing w:line="280" w:lineRule="atLeast"/>
        <w:outlineLvl w:val="1"/>
        <w:rPr>
          <w:rFonts w:ascii="宋体" w:hAnsi="宋体"/>
          <w:b/>
          <w:sz w:val="18"/>
          <w:szCs w:val="18"/>
        </w:rPr>
      </w:pPr>
      <w:r>
        <w:rPr>
          <w:rFonts w:hint="eastAsia" w:ascii="宋体" w:hAnsi="宋体"/>
          <w:b/>
          <w:sz w:val="18"/>
          <w:szCs w:val="18"/>
        </w:rPr>
        <w:t>尊敬的投资者：</w:t>
      </w:r>
    </w:p>
    <w:p>
      <w:pPr>
        <w:spacing w:line="320" w:lineRule="exact"/>
        <w:ind w:firstLine="360" w:firstLineChars="200"/>
        <w:jc w:val="left"/>
        <w:rPr>
          <w:rFonts w:ascii="宋体" w:hAnsi="宋体"/>
          <w:sz w:val="18"/>
          <w:szCs w:val="18"/>
        </w:rPr>
      </w:pPr>
      <w:r>
        <w:rPr>
          <w:rFonts w:hint="eastAsia" w:ascii="宋体" w:hAnsi="宋体"/>
          <w:sz w:val="18"/>
          <w:szCs w:val="18"/>
        </w:rPr>
        <w:t>感谢您通过</w:t>
      </w:r>
      <w:r>
        <w:rPr>
          <w:rFonts w:hint="eastAsia" w:ascii="宋体" w:hAnsi="宋体"/>
          <w:sz w:val="18"/>
          <w:szCs w:val="18"/>
          <w:lang w:eastAsia="zh-CN"/>
        </w:rPr>
        <w:t>销售服务机构</w:t>
      </w:r>
      <w:r>
        <w:rPr>
          <w:rFonts w:hint="eastAsia" w:ascii="宋体" w:hAnsi="宋体"/>
          <w:sz w:val="18"/>
          <w:szCs w:val="18"/>
        </w:rPr>
        <w:t>【</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】以(□ 直销：产品管理人销售/</w:t>
      </w:r>
      <w:r>
        <w:rPr>
          <w:rFonts w:hint="eastAsia" w:ascii="宋体" w:hAnsi="宋体"/>
          <w:sz w:val="18"/>
          <w:szCs w:val="18"/>
        </w:rPr>
        <w:sym w:font="Wingdings 2" w:char="0052"/>
      </w:r>
      <w:r>
        <w:rPr>
          <w:rFonts w:hint="eastAsia" w:ascii="宋体" w:hAnsi="宋体"/>
          <w:sz w:val="18"/>
          <w:szCs w:val="18"/>
        </w:rPr>
        <w:t xml:space="preserve"> 代销：代理</w:t>
      </w:r>
      <w:r>
        <w:rPr>
          <w:rFonts w:hint="eastAsia" w:ascii="宋体" w:hAnsi="宋体"/>
          <w:sz w:val="18"/>
          <w:szCs w:val="18"/>
          <w:lang w:eastAsia="zh-CN"/>
        </w:rPr>
        <w:t>销售服务机构</w:t>
      </w:r>
      <w:r>
        <w:rPr>
          <w:rFonts w:hint="eastAsia" w:ascii="宋体" w:hAnsi="宋体"/>
          <w:sz w:val="18"/>
          <w:szCs w:val="18"/>
        </w:rPr>
        <w:t>销售)的形式购买渤银理财有限责任公司（以下简称“渤银理财”）作为产品管理人管理的理财产品。</w:t>
      </w:r>
    </w:p>
    <w:p>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pPr>
        <w:spacing w:line="280" w:lineRule="atLeast"/>
        <w:ind w:firstLine="360" w:firstLineChars="200"/>
        <w:rPr>
          <w:rFonts w:ascii="宋体" w:hAnsi="宋体"/>
          <w:sz w:val="18"/>
          <w:szCs w:val="18"/>
        </w:rPr>
      </w:pPr>
    </w:p>
    <w:p>
      <w:pPr>
        <w:spacing w:line="280" w:lineRule="atLeast"/>
        <w:ind w:firstLine="361" w:firstLineChars="200"/>
        <w:outlineLvl w:val="1"/>
        <w:rPr>
          <w:rFonts w:ascii="宋体" w:hAnsi="宋体"/>
          <w:b/>
          <w:sz w:val="18"/>
          <w:szCs w:val="18"/>
        </w:rPr>
      </w:pPr>
      <w:r>
        <w:rPr>
          <w:rFonts w:hint="eastAsia" w:ascii="宋体" w:hAnsi="宋体"/>
          <w:b/>
          <w:sz w:val="18"/>
          <w:szCs w:val="18"/>
        </w:rPr>
        <w:t>一、理财产品购买流程</w:t>
      </w:r>
    </w:p>
    <w:p>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lang w:eastAsia="zh-CN"/>
        </w:rPr>
        <w:t>销售服务机构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pPr>
        <w:spacing w:line="240" w:lineRule="auto"/>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lang w:eastAsia="zh-CN"/>
        </w:rPr>
        <w:t>销售服务机构</w:t>
      </w:r>
      <w:r>
        <w:rPr>
          <w:rFonts w:ascii="宋体" w:hAnsi="宋体"/>
          <w:sz w:val="18"/>
          <w:szCs w:val="18"/>
        </w:rPr>
        <w:t>对您的风险承受能力评估</w:t>
      </w:r>
      <w:r>
        <w:rPr>
          <w:rFonts w:hint="eastAsia" w:ascii="宋体" w:hAnsi="宋体"/>
          <w:sz w:val="18"/>
          <w:szCs w:val="18"/>
          <w:lang w:eastAsia="zh-CN"/>
        </w:rPr>
        <w:t>（</w:t>
      </w:r>
      <w:r>
        <w:rPr>
          <w:rFonts w:hint="eastAsia" w:ascii="宋体" w:hAnsi="宋体"/>
          <w:sz w:val="18"/>
          <w:szCs w:val="18"/>
          <w:lang w:val="en-US" w:eastAsia="zh-CN"/>
        </w:rPr>
        <w:t>如需</w:t>
      </w:r>
      <w:r>
        <w:rPr>
          <w:rFonts w:hint="eastAsia" w:ascii="宋体" w:hAnsi="宋体"/>
          <w:sz w:val="18"/>
          <w:szCs w:val="18"/>
          <w:lang w:eastAsia="zh-CN"/>
        </w:rPr>
        <w:t>）</w:t>
      </w:r>
      <w:r>
        <w:rPr>
          <w:rFonts w:ascii="宋体" w:hAnsi="宋体"/>
          <w:sz w:val="18"/>
          <w:szCs w:val="18"/>
        </w:rPr>
        <w:t>，并根据风险评估结果选择适合的产品。</w:t>
      </w:r>
      <w:r>
        <w:rPr>
          <w:rFonts w:hint="eastAsia" w:ascii="宋体" w:hAnsi="宋体"/>
          <w:sz w:val="18"/>
          <w:szCs w:val="18"/>
        </w:rPr>
        <w:t>如为私募理财产品，还</w:t>
      </w:r>
      <w:r>
        <w:rPr>
          <w:rFonts w:hint="eastAsia" w:ascii="宋体" w:hAnsi="宋体"/>
          <w:sz w:val="18"/>
          <w:szCs w:val="18"/>
          <w:lang w:val="en-US" w:eastAsia="zh-CN"/>
        </w:rPr>
        <w:t>应</w:t>
      </w:r>
      <w:r>
        <w:rPr>
          <w:rFonts w:hint="eastAsia" w:ascii="宋体" w:hAnsi="宋体"/>
          <w:sz w:val="18"/>
          <w:szCs w:val="18"/>
        </w:rPr>
        <w:t>进行合格投资者评估</w:t>
      </w:r>
      <w:r>
        <w:rPr>
          <w:rFonts w:ascii="宋体" w:hAnsi="宋体"/>
          <w:sz w:val="18"/>
          <w:szCs w:val="18"/>
        </w:rPr>
        <w:t>。</w:t>
      </w:r>
    </w:p>
    <w:p>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w:t>
      </w:r>
      <w:r>
        <w:rPr>
          <w:rFonts w:hint="eastAsia" w:ascii="宋体" w:hAnsi="宋体"/>
          <w:sz w:val="18"/>
          <w:szCs w:val="18"/>
        </w:rPr>
        <w:t>理财</w:t>
      </w:r>
      <w:r>
        <w:rPr>
          <w:rFonts w:ascii="宋体" w:hAnsi="宋体"/>
          <w:sz w:val="18"/>
          <w:szCs w:val="18"/>
        </w:rPr>
        <w:t>产品说明书》、</w:t>
      </w:r>
      <w:r>
        <w:rPr>
          <w:rFonts w:hint="eastAsia" w:ascii="宋体" w:hAnsi="宋体"/>
          <w:sz w:val="18"/>
          <w:szCs w:val="18"/>
        </w:rPr>
        <w:t>《理财产品（代理）销售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pPr>
        <w:spacing w:line="280" w:lineRule="atLeast"/>
        <w:ind w:firstLine="360" w:firstLineChars="200"/>
        <w:rPr>
          <w:rFonts w:ascii="宋体" w:hAnsi="宋体"/>
          <w:sz w:val="18"/>
          <w:szCs w:val="18"/>
        </w:rPr>
      </w:pPr>
      <w:r>
        <w:rPr>
          <w:rFonts w:hint="eastAsia" w:ascii="宋体" w:hAnsi="宋体"/>
          <w:sz w:val="18"/>
          <w:szCs w:val="18"/>
        </w:rPr>
        <w:t>（四）</w:t>
      </w:r>
      <w:r>
        <w:rPr>
          <w:rFonts w:hint="eastAsia" w:ascii="宋体" w:hAnsi="宋体"/>
          <w:sz w:val="18"/>
          <w:szCs w:val="18"/>
          <w:lang w:eastAsia="zh-CN"/>
        </w:rPr>
        <w:t>销售服务机构</w:t>
      </w:r>
      <w:r>
        <w:rPr>
          <w:rFonts w:ascii="宋体" w:hAnsi="宋体"/>
          <w:sz w:val="18"/>
          <w:szCs w:val="18"/>
        </w:rPr>
        <w:t>营业网点或者电子银行（包括但不限于网上银行、电话银行和手机银行）均可办理理财产品的购买手续，但是对于具体理财产品，产品管理人将根据产品风险等级和市场情况自行确定发售渠道。</w:t>
      </w:r>
    </w:p>
    <w:p>
      <w:pPr>
        <w:spacing w:line="280" w:lineRule="atLeast"/>
        <w:ind w:firstLine="361" w:firstLineChars="200"/>
        <w:outlineLvl w:val="1"/>
        <w:rPr>
          <w:rFonts w:ascii="宋体" w:hAnsi="宋体"/>
          <w:b/>
          <w:sz w:val="18"/>
          <w:szCs w:val="18"/>
        </w:rPr>
      </w:pPr>
      <w:r>
        <w:rPr>
          <w:rFonts w:hint="eastAsia" w:ascii="宋体" w:hAnsi="宋体"/>
          <w:b/>
          <w:sz w:val="18"/>
          <w:szCs w:val="18"/>
        </w:rPr>
        <w:t>二、投资者风险承受能力与产品风险评级</w:t>
      </w:r>
    </w:p>
    <w:p>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pPr>
        <w:spacing w:line="280" w:lineRule="atLeast"/>
        <w:ind w:firstLine="361" w:firstLineChars="200"/>
        <w:rPr>
          <w:rFonts w:hint="default" w:ascii="宋体" w:hAnsi="宋体"/>
          <w:sz w:val="18"/>
          <w:szCs w:val="18"/>
          <w:lang w:val="en-US" w:eastAsia="zh-CN"/>
        </w:rPr>
      </w:pPr>
      <w:r>
        <w:rPr>
          <w:rFonts w:hint="eastAsia" w:ascii="宋体" w:hAnsi="宋体"/>
          <w:b/>
          <w:sz w:val="18"/>
          <w:szCs w:val="18"/>
        </w:rPr>
        <w:t>1.</w:t>
      </w:r>
      <w:r>
        <w:rPr>
          <w:rFonts w:hint="eastAsia" w:ascii="宋体" w:hAnsi="宋体"/>
          <w:sz w:val="18"/>
          <w:szCs w:val="18"/>
          <w:lang w:val="en-US" w:eastAsia="zh-CN"/>
        </w:rPr>
        <w:t>机构投资者是否需要对风险承受能力进行评估以销售服务机构的约定为准，如销售服务机构无评估要求，则下文不适用。</w:t>
      </w:r>
    </w:p>
    <w:p>
      <w:pPr>
        <w:spacing w:line="280" w:lineRule="atLeast"/>
        <w:ind w:firstLine="361" w:firstLineChars="200"/>
        <w:rPr>
          <w:rFonts w:hint="default" w:ascii="宋体" w:hAnsi="宋体" w:eastAsia="宋体"/>
          <w:sz w:val="18"/>
          <w:szCs w:val="18"/>
          <w:lang w:val="en-US" w:eastAsia="zh-CN"/>
        </w:rPr>
      </w:pPr>
      <w:r>
        <w:rPr>
          <w:rFonts w:ascii="宋体" w:hAnsi="宋体"/>
          <w:b/>
          <w:sz w:val="18"/>
          <w:szCs w:val="18"/>
        </w:rPr>
        <w:t>2</w:t>
      </w:r>
      <w:r>
        <w:rPr>
          <w:rFonts w:hint="eastAsia" w:ascii="宋体" w:hAnsi="宋体"/>
          <w:b/>
          <w:sz w:val="18"/>
          <w:szCs w:val="18"/>
        </w:rPr>
        <w:t>.</w:t>
      </w:r>
      <w:r>
        <w:rPr>
          <w:rFonts w:hint="eastAsia" w:ascii="宋体" w:hAnsi="宋体"/>
          <w:b w:val="0"/>
          <w:sz w:val="18"/>
          <w:szCs w:val="18"/>
          <w:lang w:val="en-US" w:eastAsia="zh-CN"/>
        </w:rPr>
        <w:t>如销售服务机构要求</w:t>
      </w:r>
      <w:r>
        <w:rPr>
          <w:rFonts w:hint="eastAsia" w:ascii="宋体" w:hAnsi="宋体"/>
          <w:sz w:val="18"/>
          <w:szCs w:val="18"/>
        </w:rPr>
        <w:t>您首次购买渤银理财的理财产品前，进行风险承受能力评估，</w:t>
      </w:r>
      <w:r>
        <w:rPr>
          <w:rFonts w:hint="eastAsia" w:ascii="宋体" w:hAnsi="宋体"/>
          <w:sz w:val="18"/>
          <w:szCs w:val="18"/>
          <w:lang w:val="en-US" w:eastAsia="zh-CN"/>
        </w:rPr>
        <w:t>应</w:t>
      </w:r>
      <w:r>
        <w:rPr>
          <w:rFonts w:hint="eastAsia" w:ascii="宋体" w:hAnsi="宋体"/>
          <w:sz w:val="18"/>
          <w:szCs w:val="18"/>
        </w:rPr>
        <w:t>填写机构投资者风险承受能力评估问卷，理财销售管理系统会记录投资者身份信息及风险评估结果信息。该评估结果有效期一年，并将作为评价您是否适合购买理财产品的重要因素。您可以通过</w:t>
      </w:r>
      <w:r>
        <w:rPr>
          <w:rFonts w:hint="eastAsia" w:ascii="宋体" w:hAnsi="宋体"/>
          <w:sz w:val="18"/>
          <w:szCs w:val="18"/>
          <w:lang w:eastAsia="zh-CN"/>
        </w:rPr>
        <w:t>销售服务机构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宋体" w:hAnsi="宋体"/>
          <w:b/>
          <w:sz w:val="18"/>
          <w:szCs w:val="18"/>
        </w:rPr>
        <w:t>如影响您风险承受能力的因素发生变化，请您及时重新完成风险承受能力评估。</w:t>
      </w:r>
    </w:p>
    <w:p>
      <w:pPr>
        <w:ind w:firstLine="361" w:firstLineChars="200"/>
        <w:rPr>
          <w:rFonts w:ascii="宋体" w:hAnsi="宋体"/>
          <w:b/>
          <w:sz w:val="18"/>
          <w:szCs w:val="18"/>
        </w:rPr>
      </w:pPr>
      <w:r>
        <w:rPr>
          <w:rFonts w:hint="eastAsia" w:ascii="宋体" w:hAnsi="宋体"/>
          <w:b/>
          <w:sz w:val="18"/>
          <w:szCs w:val="18"/>
          <w:lang w:val="en-US" w:eastAsia="zh-CN"/>
        </w:rPr>
        <w:t>3.</w:t>
      </w:r>
      <w:r>
        <w:rPr>
          <w:rFonts w:hint="eastAsia" w:ascii="宋体" w:hAnsi="宋体"/>
          <w:b/>
          <w:sz w:val="18"/>
          <w:szCs w:val="18"/>
        </w:rPr>
        <w:t>投资者风险承受能力评级与理财产品风险评级</w:t>
      </w:r>
    </w:p>
    <w:p>
      <w:pPr>
        <w:ind w:firstLine="360" w:firstLineChars="200"/>
        <w:rPr>
          <w:rFonts w:ascii="宋体" w:hAnsi="宋体"/>
          <w:sz w:val="18"/>
          <w:szCs w:val="18"/>
        </w:rPr>
      </w:pPr>
      <w:r>
        <w:rPr>
          <w:rFonts w:hint="eastAsia" w:ascii="宋体" w:hAnsi="宋体"/>
          <w:sz w:val="18"/>
          <w:szCs w:val="18"/>
        </w:rPr>
        <w:t>渤银理财产品风险评级共分为五级：R1低风险、R2较低/中低风险、R3中风险、R4较高</w:t>
      </w:r>
      <w:r>
        <w:rPr>
          <w:rFonts w:hint="eastAsia" w:ascii="宋体" w:hAnsi="宋体" w:cs="仿宋_GB2312"/>
          <w:kern w:val="0"/>
          <w:sz w:val="18"/>
          <w:szCs w:val="18"/>
        </w:rPr>
        <w:t>/中高</w:t>
      </w:r>
      <w:r>
        <w:rPr>
          <w:rFonts w:hint="eastAsia" w:ascii="宋体" w:hAnsi="宋体"/>
          <w:sz w:val="18"/>
          <w:szCs w:val="18"/>
        </w:rPr>
        <w:t>风险、R5高风险。不同风险的理财产品对应不同投资者的风险承受能力</w:t>
      </w:r>
      <w:r>
        <w:rPr>
          <w:rFonts w:hint="eastAsia" w:ascii="宋体" w:hAnsi="宋体"/>
          <w:sz w:val="18"/>
          <w:szCs w:val="18"/>
          <w:lang w:eastAsia="zh-CN"/>
        </w:rPr>
        <w:t>，</w:t>
      </w:r>
      <w:r>
        <w:rPr>
          <w:rFonts w:hint="eastAsia" w:ascii="宋体" w:hAnsi="宋体"/>
          <w:sz w:val="18"/>
          <w:szCs w:val="18"/>
          <w:lang w:val="en-US" w:eastAsia="zh-CN"/>
        </w:rPr>
        <w:t>投资者在购买时需选择投资符合自身需求及风险承受能力的理财产品</w:t>
      </w:r>
      <w:r>
        <w:rPr>
          <w:rFonts w:hint="eastAsia" w:ascii="宋体" w:hAnsi="宋体"/>
          <w:sz w:val="18"/>
          <w:szCs w:val="18"/>
        </w:rPr>
        <w:t>。</w:t>
      </w:r>
    </w:p>
    <w:tbl>
      <w:tblPr>
        <w:tblStyle w:val="9"/>
        <w:tblW w:w="63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12"/>
        <w:gridCol w:w="52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1112" w:type="dxa"/>
            <w:vAlign w:val="center"/>
          </w:tcPr>
          <w:p>
            <w:pPr>
              <w:jc w:val="center"/>
              <w:rPr>
                <w:rFonts w:ascii="宋体" w:hAnsi="宋体"/>
                <w:color w:val="000000"/>
                <w:sz w:val="18"/>
                <w:szCs w:val="18"/>
              </w:rPr>
            </w:pPr>
            <w:r>
              <w:rPr>
                <w:rFonts w:hint="eastAsia" w:ascii="宋体" w:hAnsi="宋体"/>
                <w:sz w:val="18"/>
                <w:szCs w:val="18"/>
              </w:rPr>
              <w:t>风险评级</w:t>
            </w:r>
          </w:p>
        </w:tc>
        <w:tc>
          <w:tcPr>
            <w:tcW w:w="5236" w:type="dxa"/>
            <w:vAlign w:val="center"/>
          </w:tcPr>
          <w:p>
            <w:pPr>
              <w:jc w:val="center"/>
              <w:rPr>
                <w:rFonts w:ascii="宋体" w:hAnsi="宋体"/>
                <w:color w:val="000000"/>
                <w:sz w:val="18"/>
                <w:szCs w:val="18"/>
              </w:rPr>
            </w:pPr>
            <w:r>
              <w:rPr>
                <w:rFonts w:hint="eastAsia" w:ascii="宋体" w:hAnsi="宋体"/>
                <w:sz w:val="18"/>
                <w:szCs w:val="18"/>
              </w:rPr>
              <w:t>评级说明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12" w:type="dxa"/>
            <w:vAlign w:val="center"/>
          </w:tcPr>
          <w:p>
            <w:pPr>
              <w:jc w:val="center"/>
              <w:rPr>
                <w:rFonts w:ascii="宋体" w:hAnsi="宋体"/>
                <w:color w:val="000000"/>
                <w:sz w:val="18"/>
                <w:szCs w:val="18"/>
              </w:rPr>
            </w:pPr>
            <w:r>
              <w:rPr>
                <w:rFonts w:ascii="宋体" w:hAnsi="宋体"/>
                <w:sz w:val="18"/>
                <w:szCs w:val="18"/>
              </w:rPr>
              <w:t>R1</w:t>
            </w:r>
          </w:p>
        </w:tc>
        <w:tc>
          <w:tcPr>
            <w:tcW w:w="5236" w:type="dxa"/>
            <w:vAlign w:val="center"/>
          </w:tcPr>
          <w:p>
            <w:pPr>
              <w:rPr>
                <w:rFonts w:ascii="宋体" w:hAnsi="宋体"/>
                <w:color w:val="000000"/>
                <w:sz w:val="18"/>
                <w:szCs w:val="18"/>
              </w:rPr>
            </w:pPr>
            <w:r>
              <w:rPr>
                <w:rFonts w:hint="eastAsia" w:ascii="宋体" w:hAnsi="宋体"/>
                <w:color w:val="000000"/>
                <w:sz w:val="18"/>
                <w:szCs w:val="18"/>
              </w:rPr>
              <w:t>总体风险程度低，收益波动小，产品本金安全性高，收益不能实现的可能性很小；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12" w:type="dxa"/>
            <w:vAlign w:val="center"/>
          </w:tcPr>
          <w:p>
            <w:pPr>
              <w:jc w:val="center"/>
              <w:rPr>
                <w:rFonts w:ascii="宋体" w:hAnsi="宋体"/>
                <w:color w:val="000000"/>
                <w:sz w:val="18"/>
                <w:szCs w:val="18"/>
              </w:rPr>
            </w:pPr>
            <w:r>
              <w:rPr>
                <w:rFonts w:ascii="宋体" w:hAnsi="宋体"/>
                <w:sz w:val="18"/>
                <w:szCs w:val="18"/>
              </w:rPr>
              <w:t>R2</w:t>
            </w:r>
          </w:p>
        </w:tc>
        <w:tc>
          <w:tcPr>
            <w:tcW w:w="5236" w:type="dxa"/>
            <w:vAlign w:val="center"/>
          </w:tcPr>
          <w:p>
            <w:pPr>
              <w:rPr>
                <w:rFonts w:ascii="宋体" w:hAnsi="宋体"/>
                <w:color w:val="000000"/>
                <w:sz w:val="18"/>
                <w:szCs w:val="18"/>
              </w:rPr>
            </w:pPr>
            <w:r>
              <w:rPr>
                <w:rFonts w:hint="eastAsia" w:ascii="宋体" w:hAnsi="宋体"/>
                <w:color w:val="000000"/>
                <w:sz w:val="18"/>
                <w:szCs w:val="18"/>
              </w:rPr>
              <w:t>总体风险程度较低，收益波动较小，虽然存在一些可能对产品本金和收益安全产生不利影响的因素，但产品本金出现损失的可能性较小；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12" w:type="dxa"/>
            <w:vAlign w:val="center"/>
          </w:tcPr>
          <w:p>
            <w:pPr>
              <w:jc w:val="center"/>
              <w:rPr>
                <w:rFonts w:ascii="宋体" w:hAnsi="宋体"/>
                <w:color w:val="000000"/>
                <w:sz w:val="18"/>
                <w:szCs w:val="18"/>
              </w:rPr>
            </w:pPr>
            <w:r>
              <w:rPr>
                <w:rFonts w:ascii="宋体" w:hAnsi="宋体"/>
                <w:sz w:val="18"/>
                <w:szCs w:val="18"/>
              </w:rPr>
              <w:t>R3</w:t>
            </w:r>
          </w:p>
        </w:tc>
        <w:tc>
          <w:tcPr>
            <w:tcW w:w="5236" w:type="dxa"/>
            <w:vAlign w:val="center"/>
          </w:tcPr>
          <w:p>
            <w:pPr>
              <w:rPr>
                <w:rFonts w:ascii="宋体" w:hAnsi="宋体"/>
                <w:color w:val="000000"/>
                <w:sz w:val="18"/>
                <w:szCs w:val="18"/>
              </w:rPr>
            </w:pPr>
            <w:r>
              <w:rPr>
                <w:rFonts w:hint="eastAsia" w:ascii="宋体" w:hAnsi="宋体"/>
                <w:color w:val="000000"/>
                <w:sz w:val="18"/>
                <w:szCs w:val="18"/>
              </w:rPr>
              <w:t>总体风险程度适中，收益存在一定的波动，产品本金出现损失的可能性不容忽视；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12" w:type="dxa"/>
            <w:vAlign w:val="center"/>
          </w:tcPr>
          <w:p>
            <w:pPr>
              <w:jc w:val="center"/>
              <w:rPr>
                <w:rFonts w:ascii="宋体" w:hAnsi="宋体"/>
                <w:color w:val="000000"/>
                <w:sz w:val="18"/>
                <w:szCs w:val="18"/>
              </w:rPr>
            </w:pPr>
            <w:r>
              <w:rPr>
                <w:rFonts w:ascii="宋体" w:hAnsi="宋体"/>
                <w:sz w:val="18"/>
                <w:szCs w:val="18"/>
              </w:rPr>
              <w:t>R4</w:t>
            </w:r>
          </w:p>
        </w:tc>
        <w:tc>
          <w:tcPr>
            <w:tcW w:w="5236" w:type="dxa"/>
            <w:vAlign w:val="center"/>
          </w:tcPr>
          <w:p>
            <w:pPr>
              <w:rPr>
                <w:rFonts w:ascii="宋体" w:hAnsi="宋体"/>
                <w:color w:val="000000"/>
                <w:sz w:val="18"/>
                <w:szCs w:val="18"/>
              </w:rPr>
            </w:pPr>
            <w:r>
              <w:rPr>
                <w:rFonts w:hint="eastAsia" w:ascii="宋体" w:hAnsi="宋体"/>
                <w:color w:val="000000"/>
                <w:sz w:val="18"/>
                <w:szCs w:val="18"/>
              </w:rPr>
              <w:t>总体风险程度较高，收益波动较明显，产品本金出现损失的可能性高；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1112" w:type="dxa"/>
            <w:vAlign w:val="center"/>
          </w:tcPr>
          <w:p>
            <w:pPr>
              <w:jc w:val="center"/>
              <w:rPr>
                <w:rFonts w:ascii="宋体" w:hAnsi="宋体"/>
                <w:color w:val="000000"/>
                <w:sz w:val="18"/>
                <w:szCs w:val="18"/>
              </w:rPr>
            </w:pPr>
            <w:r>
              <w:rPr>
                <w:rFonts w:ascii="宋体" w:hAnsi="宋体"/>
                <w:sz w:val="18"/>
                <w:szCs w:val="18"/>
              </w:rPr>
              <w:t>R5</w:t>
            </w:r>
          </w:p>
        </w:tc>
        <w:tc>
          <w:tcPr>
            <w:tcW w:w="5236" w:type="dxa"/>
            <w:vAlign w:val="center"/>
          </w:tcPr>
          <w:p>
            <w:pPr>
              <w:rPr>
                <w:rFonts w:ascii="宋体" w:hAnsi="宋体"/>
                <w:color w:val="000000"/>
                <w:sz w:val="18"/>
                <w:szCs w:val="18"/>
              </w:rPr>
            </w:pPr>
            <w:r>
              <w:rPr>
                <w:rFonts w:hint="eastAsia" w:ascii="宋体" w:hAnsi="宋体"/>
                <w:color w:val="000000"/>
                <w:sz w:val="18"/>
                <w:szCs w:val="18"/>
              </w:rPr>
              <w:t>总体风险程度高，收益波动明显，产品本金出现损失的可能性很高，产品本金出现全部损失的可能性不容忽视。</w:t>
            </w:r>
          </w:p>
        </w:tc>
      </w:tr>
    </w:tbl>
    <w:p>
      <w:pPr>
        <w:ind w:firstLine="360" w:firstLineChars="200"/>
        <w:rPr>
          <w:rFonts w:ascii="宋体" w:hAnsi="宋体"/>
          <w:sz w:val="18"/>
          <w:szCs w:val="18"/>
        </w:rPr>
      </w:pPr>
    </w:p>
    <w:p>
      <w:pPr>
        <w:ind w:firstLine="360" w:firstLineChars="200"/>
        <w:rPr>
          <w:rFonts w:hint="eastAsia" w:asciiTheme="minorEastAsia" w:hAnsiTheme="minorEastAsia" w:eastAsiaTheme="minorEastAsia" w:cstheme="minorEastAsia"/>
          <w:sz w:val="18"/>
          <w:szCs w:val="18"/>
          <w:shd w:val="clear" w:color="auto" w:fill="auto"/>
        </w:rPr>
      </w:pPr>
      <w:r>
        <w:rPr>
          <w:rFonts w:hint="eastAsia" w:asciiTheme="minorEastAsia" w:hAnsiTheme="minorEastAsia" w:eastAsiaTheme="minorEastAsia" w:cstheme="minorEastAsia"/>
          <w:bCs/>
          <w:kern w:val="0"/>
          <w:sz w:val="18"/>
          <w:szCs w:val="18"/>
        </w:rPr>
        <w:t>★</w:t>
      </w:r>
      <w:r>
        <w:rPr>
          <w:rFonts w:hint="eastAsia" w:asciiTheme="minorEastAsia" w:hAnsiTheme="minorEastAsia" w:eastAsiaTheme="minorEastAsia" w:cstheme="minorEastAsia"/>
          <w:sz w:val="18"/>
          <w:szCs w:val="18"/>
        </w:rPr>
        <w:t>（二）针对“理财产品风险评级”“投资者风险承受能力”“适合投资者类型”的不同划分与表述的特别提示</w:t>
      </w:r>
    </w:p>
    <w:p>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shd w:val="clear" w:color="auto" w:fill="auto"/>
          <w:lang w:val="en-US" w:eastAsia="zh-CN"/>
        </w:rPr>
        <w:t>1.上述</w:t>
      </w:r>
      <w:r>
        <w:rPr>
          <w:rFonts w:hint="eastAsia" w:asciiTheme="minorEastAsia" w:hAnsiTheme="minorEastAsia" w:eastAsiaTheme="minorEastAsia" w:cstheme="minorEastAsia"/>
          <w:sz w:val="18"/>
          <w:szCs w:val="18"/>
          <w:shd w:val="clear" w:color="auto" w:fill="auto"/>
        </w:rPr>
        <w:t>理财产品风险评级</w:t>
      </w:r>
      <w:r>
        <w:rPr>
          <w:rFonts w:hint="eastAsia" w:asciiTheme="minorEastAsia" w:hAnsiTheme="minorEastAsia" w:eastAsiaTheme="minorEastAsia" w:cstheme="minorEastAsia"/>
          <w:sz w:val="18"/>
          <w:szCs w:val="18"/>
          <w:shd w:val="clear" w:color="auto" w:fill="auto"/>
          <w:lang w:val="en-US" w:eastAsia="zh-CN"/>
        </w:rPr>
        <w:t>及说明仅适用于直销渠道使用；对于</w:t>
      </w:r>
      <w:r>
        <w:rPr>
          <w:rFonts w:hint="eastAsia" w:asciiTheme="minorEastAsia" w:hAnsiTheme="minorEastAsia" w:eastAsiaTheme="minorEastAsia" w:cstheme="minorEastAsia"/>
          <w:sz w:val="18"/>
          <w:szCs w:val="18"/>
          <w:shd w:val="clear" w:color="auto" w:fill="auto"/>
          <w:lang w:val="en-US" w:eastAsia="zh-CN"/>
        </w:rPr>
        <w:t>其他渠道</w:t>
      </w:r>
      <w:r>
        <w:rPr>
          <w:rFonts w:hint="eastAsia" w:asciiTheme="minorEastAsia" w:hAnsiTheme="minorEastAsia" w:eastAsiaTheme="minorEastAsia" w:cstheme="minorEastAsia"/>
          <w:sz w:val="18"/>
          <w:szCs w:val="18"/>
          <w:shd w:val="clear" w:color="auto" w:fill="auto"/>
          <w:lang w:val="en-US" w:eastAsia="zh-CN"/>
        </w:rPr>
        <w:t>仅供参考，不具有法律效力。若投资者通过代理销售服务机构购买本理财产品，</w:t>
      </w:r>
      <w:r>
        <w:rPr>
          <w:rFonts w:hint="eastAsia" w:asciiTheme="minorEastAsia" w:hAnsiTheme="minorEastAsia" w:eastAsiaTheme="minorEastAsia" w:cstheme="minorEastAsia"/>
          <w:sz w:val="18"/>
          <w:szCs w:val="18"/>
          <w:shd w:val="clear" w:color="auto" w:fill="auto"/>
        </w:rPr>
        <w:t>理财产品风险评级</w:t>
      </w:r>
      <w:r>
        <w:rPr>
          <w:rFonts w:hint="eastAsia" w:asciiTheme="minorEastAsia" w:hAnsiTheme="minorEastAsia" w:eastAsiaTheme="minorEastAsia" w:cstheme="minorEastAsia"/>
          <w:sz w:val="18"/>
          <w:szCs w:val="18"/>
          <w:shd w:val="clear" w:color="auto" w:fill="auto"/>
          <w:lang w:val="en-US" w:eastAsia="zh-CN"/>
        </w:rPr>
        <w:t>、</w:t>
      </w:r>
      <w:r>
        <w:rPr>
          <w:rFonts w:hint="eastAsia" w:asciiTheme="minorEastAsia" w:hAnsiTheme="minorEastAsia" w:eastAsiaTheme="minorEastAsia" w:cstheme="minorEastAsia"/>
          <w:sz w:val="18"/>
          <w:szCs w:val="18"/>
          <w:shd w:val="clear" w:color="auto" w:fill="auto"/>
        </w:rPr>
        <w:t>投资者风险承受能力</w:t>
      </w:r>
      <w:r>
        <w:rPr>
          <w:rFonts w:hint="eastAsia" w:asciiTheme="minorEastAsia" w:hAnsiTheme="minorEastAsia" w:eastAsiaTheme="minorEastAsia" w:cstheme="minorEastAsia"/>
          <w:sz w:val="18"/>
          <w:szCs w:val="18"/>
          <w:shd w:val="clear" w:color="auto" w:fill="auto"/>
          <w:lang w:eastAsia="zh-CN"/>
        </w:rPr>
        <w:t>（</w:t>
      </w:r>
      <w:r>
        <w:rPr>
          <w:rFonts w:hint="eastAsia" w:asciiTheme="minorEastAsia" w:hAnsiTheme="minorEastAsia" w:eastAsiaTheme="minorEastAsia" w:cstheme="minorEastAsia"/>
          <w:sz w:val="18"/>
          <w:szCs w:val="18"/>
          <w:shd w:val="clear" w:color="auto" w:fill="auto"/>
          <w:lang w:val="en-US" w:eastAsia="zh-CN"/>
        </w:rPr>
        <w:t>如需</w:t>
      </w:r>
      <w:r>
        <w:rPr>
          <w:rFonts w:hint="eastAsia" w:asciiTheme="minorEastAsia" w:hAnsiTheme="minorEastAsia" w:eastAsiaTheme="minorEastAsia" w:cstheme="minorEastAsia"/>
          <w:sz w:val="18"/>
          <w:szCs w:val="18"/>
          <w:shd w:val="clear" w:color="auto" w:fill="auto"/>
          <w:lang w:eastAsia="zh-CN"/>
        </w:rPr>
        <w:t>）</w:t>
      </w:r>
      <w:r>
        <w:rPr>
          <w:rFonts w:hint="eastAsia" w:asciiTheme="minorEastAsia" w:hAnsiTheme="minorEastAsia" w:eastAsiaTheme="minorEastAsia" w:cstheme="minorEastAsia"/>
          <w:sz w:val="18"/>
          <w:szCs w:val="18"/>
          <w:shd w:val="clear" w:color="auto" w:fill="auto"/>
        </w:rPr>
        <w:t>、适合投资者类型等级的划分与表述</w:t>
      </w:r>
      <w:r>
        <w:rPr>
          <w:rFonts w:hint="eastAsia" w:asciiTheme="minorEastAsia" w:hAnsiTheme="minorEastAsia" w:eastAsiaTheme="minorEastAsia" w:cstheme="minorEastAsia"/>
          <w:sz w:val="18"/>
          <w:szCs w:val="18"/>
          <w:shd w:val="clear" w:color="auto" w:fill="auto"/>
          <w:lang w:val="en-US" w:eastAsia="zh-CN"/>
        </w:rPr>
        <w:t>以代理销售服务机构告知的结果为准。</w:t>
      </w:r>
    </w:p>
    <w:p>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代理</w:t>
      </w:r>
      <w:r>
        <w:rPr>
          <w:rFonts w:hint="eastAsia" w:asciiTheme="minorEastAsia" w:hAnsiTheme="minorEastAsia" w:eastAsiaTheme="minorEastAsia" w:cstheme="minorEastAsia"/>
          <w:sz w:val="18"/>
          <w:szCs w:val="18"/>
        </w:rPr>
        <w:t>销售服务机构在代销过程中，可参考</w:t>
      </w:r>
      <w:r>
        <w:rPr>
          <w:rFonts w:hint="eastAsia" w:asciiTheme="minorEastAsia" w:hAnsiTheme="minorEastAsia" w:eastAsiaTheme="minorEastAsia" w:cstheme="minorEastAsia"/>
          <w:sz w:val="18"/>
          <w:szCs w:val="18"/>
          <w:lang w:val="en-US" w:eastAsia="zh-CN"/>
        </w:rPr>
        <w:t>渤银</w:t>
      </w:r>
      <w:r>
        <w:rPr>
          <w:rFonts w:hint="eastAsia" w:asciiTheme="minorEastAsia" w:hAnsiTheme="minorEastAsia" w:eastAsiaTheme="minorEastAsia" w:cstheme="minorEastAsia"/>
          <w:sz w:val="18"/>
          <w:szCs w:val="18"/>
        </w:rPr>
        <w:t>理财的产品风险评级结果，自行判断确定本产品的风险评级，但应确保</w:t>
      </w:r>
      <w:r>
        <w:rPr>
          <w:rFonts w:hint="eastAsia" w:asciiTheme="minorEastAsia" w:hAnsiTheme="minorEastAsia" w:eastAsiaTheme="minorEastAsia" w:cstheme="minorEastAsia"/>
          <w:sz w:val="18"/>
          <w:szCs w:val="18"/>
          <w:lang w:val="en-US" w:eastAsia="zh-CN"/>
        </w:rPr>
        <w:t>机构</w:t>
      </w:r>
      <w:r>
        <w:rPr>
          <w:rFonts w:hint="eastAsia" w:asciiTheme="minorEastAsia" w:hAnsiTheme="minorEastAsia" w:eastAsiaTheme="minorEastAsia" w:cstheme="minorEastAsia"/>
          <w:sz w:val="18"/>
          <w:szCs w:val="18"/>
        </w:rPr>
        <w:t>投资者的风险承受能力等级不低于本产品风险评级。</w:t>
      </w:r>
    </w:p>
    <w:p>
      <w:pPr>
        <w:keepNext w:val="0"/>
        <w:keepLines w:val="0"/>
        <w:widowControl/>
        <w:suppressLineNumbers w:val="0"/>
        <w:spacing w:before="0" w:beforeAutospacing="0" w:after="0" w:afterAutospacing="0"/>
        <w:ind w:left="0" w:right="0" w:firstLine="360"/>
        <w:jc w:val="both"/>
        <w:rPr>
          <w:rFonts w:hint="eastAsia" w:asciiTheme="minorEastAsia" w:hAnsiTheme="minorEastAsia" w:eastAsiaTheme="minorEastAsia" w:cstheme="minorEastAsia"/>
          <w:i w:val="0"/>
          <w:iCs w:val="0"/>
          <w:caps w:val="0"/>
          <w:color w:val="000000"/>
          <w:spacing w:val="0"/>
          <w:sz w:val="18"/>
          <w:szCs w:val="18"/>
        </w:rPr>
      </w:pPr>
      <w:r>
        <w:rPr>
          <w:rFonts w:hint="eastAsia" w:asciiTheme="minorEastAsia" w:hAnsiTheme="minorEastAsia" w:eastAsiaTheme="minorEastAsia" w:cstheme="minorEastAsia"/>
          <w:i w:val="0"/>
          <w:iCs w:val="0"/>
          <w:caps w:val="0"/>
          <w:color w:val="000000"/>
          <w:spacing w:val="0"/>
          <w:kern w:val="0"/>
          <w:sz w:val="18"/>
          <w:szCs w:val="18"/>
          <w:shd w:val="clear" w:color="auto" w:fill="auto"/>
          <w:lang w:val="en-US" w:eastAsia="zh-CN" w:bidi="ar"/>
        </w:rPr>
        <w:t>3.代理销售服务机构</w:t>
      </w:r>
      <w:r>
        <w:rPr>
          <w:rFonts w:hint="eastAsia" w:asciiTheme="minorEastAsia" w:hAnsiTheme="minorEastAsia" w:eastAsiaTheme="minorEastAsia" w:cstheme="minorEastAsia"/>
          <w:sz w:val="18"/>
          <w:szCs w:val="18"/>
        </w:rPr>
        <w:t>风险测评评级定义及各评级与理财产品风险等级的匹配关系</w:t>
      </w:r>
      <w:r>
        <w:rPr>
          <w:rFonts w:hint="eastAsia" w:asciiTheme="minorEastAsia" w:hAnsiTheme="minorEastAsia" w:eastAsiaTheme="minorEastAsia" w:cstheme="minorEastAsia"/>
          <w:sz w:val="18"/>
          <w:szCs w:val="18"/>
          <w:lang w:eastAsia="zh-CN"/>
        </w:rPr>
        <w:t>：</w:t>
      </w:r>
    </w:p>
    <w:tbl>
      <w:tblPr>
        <w:tblStyle w:val="9"/>
        <w:tblW w:w="831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02"/>
        <w:gridCol w:w="1257"/>
        <w:gridCol w:w="1151"/>
        <w:gridCol w:w="1318"/>
        <w:gridCol w:w="1424"/>
        <w:gridCol w:w="12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7" w:hRule="atLeast"/>
          <w:jc w:val="center"/>
        </w:trPr>
        <w:tc>
          <w:tcPr>
            <w:tcW w:w="1902" w:type="dxa"/>
            <w:tcBorders>
              <w:tl2br w:val="nil"/>
              <w:tr2bl w:val="nil"/>
            </w:tcBorders>
          </w:tcPr>
          <w:p>
            <w:pPr>
              <w:pStyle w:val="29"/>
              <w:keepNext w:val="0"/>
              <w:keepLines w:val="0"/>
              <w:suppressLineNumbers w:val="0"/>
              <w:spacing w:before="0" w:beforeAutospacing="0" w:after="0" w:afterAutospacing="0" w:line="360" w:lineRule="auto"/>
              <w:ind w:left="0" w:right="0" w:firstLine="0" w:firstLineChars="0"/>
              <w:jc w:val="righ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-3810</wp:posOffset>
                      </wp:positionV>
                      <wp:extent cx="1212850" cy="734695"/>
                      <wp:effectExtent l="2540" t="3810" r="3810" b="4445"/>
                      <wp:wrapNone/>
                      <wp:docPr id="2" name="直接连接符 2"/>
                      <wp:cNvGraphicFramePr/>
                      <a:graphic xmlns:a="http://schemas.openxmlformats.org/drawingml/2006/main">
                        <a:graphicData uri="http://schemas.microsoft.com/office/word/2010/wordprocessingShape">
                          <wps:wsp>
                            <wps:cNvCnPr/>
                            <wps:spPr>
                              <a:xfrm>
                                <a:off x="0" y="0"/>
                                <a:ext cx="1212850" cy="73469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0.3pt;height:57.85pt;width:95.5pt;z-index:251660288;mso-width-relative:page;mso-height-relative:page;" filled="f" stroked="t" coordsize="21600,21600" o:gfxdata="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3C1/vUAAAACAEAAA8AAAAAAAAAAQAgAAAAIgAAAGRycy9kb3ducmV2LnhtbFBLAQIU&#10;ABQAAAAIAIdO4kCTuQxI9wEAAOkDAAAOAAAAAAAAAAEAIAAAACMBAABkcnMvZTJvRG9jLnhtbFBL&#10;BQYAAAAABgAGAFkBAACMBQAAAAA=&#10;">
                      <v:fill on="f" focussize="0,0"/>
                      <v:stroke weight="0.5pt" color="#000000" joinstyle="round"/>
                      <v:imagedata o:title=""/>
                      <o:lock v:ext="edit" aspectratio="f"/>
                    </v:line>
                  </w:pict>
                </mc:Fallback>
              </mc:AlternateContent>
            </w:r>
            <w:r>
              <w:rPr>
                <w:rFonts w:hint="eastAsia" w:asciiTheme="minorEastAsia" w:hAnsiTheme="minorEastAsia" w:eastAsiaTheme="minorEastAsia" w:cstheme="minorEastAsia"/>
                <w:b/>
                <w:sz w:val="18"/>
                <w:szCs w:val="18"/>
                <w:lang w:val="en-US" w:eastAsia="zh-CN"/>
              </w:rPr>
              <w:t xml:space="preserve"> </w:t>
            </w:r>
            <w:r>
              <w:rPr>
                <w:rFonts w:hint="eastAsia" w:asciiTheme="minorEastAsia" w:hAnsiTheme="minorEastAsia" w:eastAsiaTheme="minorEastAsia" w:cstheme="minorEastAsia"/>
                <w:b/>
                <w:sz w:val="18"/>
                <w:szCs w:val="18"/>
              </w:rPr>
              <w:t>产品风险情况</w:t>
            </w:r>
          </w:p>
          <w:p>
            <w:pPr>
              <w:pStyle w:val="29"/>
              <w:keepNext w:val="0"/>
              <w:keepLines w:val="0"/>
              <w:suppressLineNumbers w:val="0"/>
              <w:spacing w:before="0" w:beforeAutospacing="0" w:after="0" w:afterAutospacing="0" w:line="240" w:lineRule="atLeast"/>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投资者</w:t>
            </w:r>
          </w:p>
          <w:p>
            <w:pPr>
              <w:pStyle w:val="29"/>
              <w:keepNext w:val="0"/>
              <w:keepLines w:val="0"/>
              <w:suppressLineNumbers w:val="0"/>
              <w:spacing w:before="0" w:beforeAutospacing="0" w:after="0" w:afterAutospacing="0" w:line="240" w:lineRule="atLeast"/>
              <w:ind w:left="0" w:right="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风险类型</w:t>
            </w:r>
          </w:p>
        </w:tc>
        <w:tc>
          <w:tcPr>
            <w:tcW w:w="1257"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低风险</w:t>
            </w:r>
          </w:p>
        </w:tc>
        <w:tc>
          <w:tcPr>
            <w:tcW w:w="1151"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中低风险</w:t>
            </w:r>
          </w:p>
        </w:tc>
        <w:tc>
          <w:tcPr>
            <w:tcW w:w="1318"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中等风险</w:t>
            </w:r>
          </w:p>
        </w:tc>
        <w:tc>
          <w:tcPr>
            <w:tcW w:w="1424"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中高风险</w:t>
            </w:r>
          </w:p>
        </w:tc>
        <w:tc>
          <w:tcPr>
            <w:tcW w:w="1265" w:type="dxa"/>
            <w:tcBorders>
              <w:tl2br w:val="nil"/>
              <w:tr2bl w:val="nil"/>
            </w:tcBorders>
            <w:vAlign w:val="center"/>
          </w:tcPr>
          <w:p>
            <w:pPr>
              <w:pStyle w:val="29"/>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高风险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 w:hRule="atLeast"/>
          <w:jc w:val="center"/>
        </w:trPr>
        <w:tc>
          <w:tcPr>
            <w:tcW w:w="1902" w:type="dxa"/>
            <w:tcBorders>
              <w:tl2br w:val="nil"/>
              <w:tr2bl w:val="nil"/>
            </w:tcBorders>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激进型</w:t>
            </w:r>
          </w:p>
        </w:tc>
        <w:tc>
          <w:tcPr>
            <w:tcW w:w="1257"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51"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1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42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265" w:type="dxa"/>
            <w:tcBorders>
              <w:tl2br w:val="nil"/>
              <w:tr2bl w:val="nil"/>
            </w:tcBorders>
            <w:vAlign w:val="center"/>
          </w:tcPr>
          <w:p>
            <w:pPr>
              <w:pStyle w:val="29"/>
              <w:keepNext w:val="0"/>
              <w:keepLines w:val="0"/>
              <w:suppressLineNumbers w:val="0"/>
              <w:spacing w:before="0" w:beforeAutospacing="0" w:after="0" w:afterAutospacing="0" w:line="360" w:lineRule="auto"/>
              <w:ind w:left="0" w:right="-122" w:rightChars="-58" w:firstLine="0" w:firstLineChars="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 w:hRule="atLeast"/>
          <w:jc w:val="center"/>
        </w:trPr>
        <w:tc>
          <w:tcPr>
            <w:tcW w:w="1902"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进取型</w:t>
            </w:r>
          </w:p>
        </w:tc>
        <w:tc>
          <w:tcPr>
            <w:tcW w:w="125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51"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1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42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265"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 w:hRule="atLeast"/>
          <w:jc w:val="center"/>
        </w:trPr>
        <w:tc>
          <w:tcPr>
            <w:tcW w:w="1902"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稳健型</w:t>
            </w:r>
          </w:p>
        </w:tc>
        <w:tc>
          <w:tcPr>
            <w:tcW w:w="125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51"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1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42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265"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8" w:hRule="atLeast"/>
          <w:jc w:val="center"/>
        </w:trPr>
        <w:tc>
          <w:tcPr>
            <w:tcW w:w="1902"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谨慎型</w:t>
            </w:r>
          </w:p>
        </w:tc>
        <w:tc>
          <w:tcPr>
            <w:tcW w:w="125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51"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318"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42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265"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7" w:hRule="atLeast"/>
          <w:jc w:val="center"/>
        </w:trPr>
        <w:tc>
          <w:tcPr>
            <w:tcW w:w="1902" w:type="dxa"/>
            <w:tcBorders>
              <w:tl2br w:val="nil"/>
              <w:tr2bl w:val="nil"/>
            </w:tcBorders>
            <w:shd w:val="clear" w:color="auto" w:fill="auto"/>
          </w:tcPr>
          <w:p>
            <w:pPr>
              <w:pStyle w:val="29"/>
              <w:keepNext w:val="0"/>
              <w:keepLines w:val="0"/>
              <w:suppressLineNumbers w:val="0"/>
              <w:spacing w:before="0" w:beforeAutospacing="0" w:after="0" w:afterAutospacing="0" w:line="360" w:lineRule="auto"/>
              <w:ind w:left="0" w:right="0" w:firstLine="0" w:firstLineChars="0"/>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保守型</w:t>
            </w:r>
          </w:p>
        </w:tc>
        <w:tc>
          <w:tcPr>
            <w:tcW w:w="1257"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适合</w:t>
            </w:r>
          </w:p>
        </w:tc>
        <w:tc>
          <w:tcPr>
            <w:tcW w:w="1151"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318"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424"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c>
          <w:tcPr>
            <w:tcW w:w="1265" w:type="dxa"/>
            <w:tcBorders>
              <w:tl2br w:val="nil"/>
              <w:tr2bl w:val="nil"/>
            </w:tcBorders>
            <w:shd w:val="clear" w:color="auto" w:fill="E6E6E6"/>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不适合</w:t>
            </w:r>
          </w:p>
        </w:tc>
      </w:tr>
    </w:tbl>
    <w:p>
      <w:pPr>
        <w:keepNext w:val="0"/>
        <w:keepLines w:val="0"/>
        <w:widowControl/>
        <w:suppressLineNumbers w:val="0"/>
        <w:spacing w:before="0" w:beforeAutospacing="0" w:after="0" w:afterAutospacing="0"/>
        <w:ind w:left="0" w:right="0" w:firstLine="360" w:firstLineChars="200"/>
        <w:jc w:val="both"/>
        <w:outlineLvl w:val="1"/>
        <w:rPr>
          <w:rFonts w:hint="eastAsia" w:asciiTheme="minorEastAsia" w:hAnsiTheme="minorEastAsia" w:eastAsiaTheme="minorEastAsia" w:cstheme="minorEastAsia"/>
          <w:bCs/>
          <w:i w:val="0"/>
          <w:iCs w:val="0"/>
          <w:caps w:val="0"/>
          <w:color w:val="000000"/>
          <w:spacing w:val="0"/>
          <w:sz w:val="18"/>
          <w:szCs w:val="18"/>
          <w:shd w:val="clear" w:color="auto" w:fill="auto"/>
        </w:rPr>
      </w:pPr>
      <w:r>
        <w:rPr>
          <w:rFonts w:hint="eastAsia" w:asciiTheme="minorEastAsia" w:hAnsiTheme="minorEastAsia" w:eastAsiaTheme="minorEastAsia" w:cstheme="minorEastAsia"/>
          <w:b w:val="0"/>
          <w:bCs/>
          <w:sz w:val="18"/>
          <w:szCs w:val="18"/>
          <w:lang w:val="en-US" w:eastAsia="zh-CN"/>
        </w:rPr>
        <w:t>注：</w:t>
      </w:r>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1）客户风险承受能力评级：代理销售服务机构根据客户的财务状况、投资经验、投资目的、对相关风险的认知和承受能力等因素自行设计评估问卷并确定评估标准后，将客户的风险承受能力分为五级，按照风险承受能力从低到高的顺序依次为：保守型、谨慎型、稳健型、进取型、激进型。</w:t>
      </w:r>
    </w:p>
    <w:p>
      <w:pPr>
        <w:keepNext w:val="0"/>
        <w:keepLines w:val="0"/>
        <w:widowControl/>
        <w:suppressLineNumbers w:val="0"/>
        <w:spacing w:before="0" w:beforeAutospacing="0" w:after="0" w:afterAutospacing="0"/>
        <w:ind w:left="0" w:right="0" w:firstLine="360" w:firstLineChars="200"/>
        <w:jc w:val="both"/>
        <w:rPr>
          <w:rFonts w:hint="eastAsia" w:asciiTheme="minorEastAsia" w:hAnsiTheme="minorEastAsia" w:eastAsiaTheme="minorEastAsia" w:cstheme="minorEastAsia"/>
          <w:bCs/>
          <w:i w:val="0"/>
          <w:iCs w:val="0"/>
          <w:caps w:val="0"/>
          <w:color w:val="000000"/>
          <w:spacing w:val="0"/>
          <w:sz w:val="18"/>
          <w:szCs w:val="18"/>
          <w:shd w:val="clear" w:color="auto" w:fill="auto"/>
        </w:rPr>
      </w:pPr>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2）理财产品风险等级</w:t>
      </w:r>
      <w:bookmarkStart w:id="0" w:name="_GoBack"/>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：代理销售</w:t>
      </w:r>
      <w:bookmarkEnd w:id="0"/>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服务机构根据自身管理制度和要求及其自行确定的内部标准，将理财产品的风险等级分为五级，按照产品风险从低到高的顺序依次为：低风险、中低风险、中等风险、中高风险和高风险五类。</w:t>
      </w:r>
    </w:p>
    <w:p>
      <w:pPr>
        <w:spacing w:line="280" w:lineRule="atLeast"/>
        <w:ind w:firstLine="360" w:firstLineChars="200"/>
        <w:outlineLvl w:val="1"/>
        <w:rPr>
          <w:rFonts w:hint="eastAsia" w:ascii="宋体" w:hAnsi="宋体" w:eastAsia="宋体"/>
          <w:b/>
          <w:sz w:val="18"/>
          <w:szCs w:val="18"/>
          <w:lang w:val="en-US" w:eastAsia="zh-CN"/>
        </w:rPr>
      </w:pPr>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3）根据理财产品风险等级和客户风险承受能力类型评级不同，理财客户适合购买的产品风险类型亦有不同，具体为向下兼容，如</w:t>
      </w:r>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上</w:t>
      </w:r>
      <w:r>
        <w:rPr>
          <w:rFonts w:hint="eastAsia" w:asciiTheme="minorEastAsia" w:hAnsiTheme="minorEastAsia" w:eastAsiaTheme="minorEastAsia" w:cstheme="minorEastAsia"/>
          <w:bCs/>
          <w:i w:val="0"/>
          <w:iCs w:val="0"/>
          <w:caps w:val="0"/>
          <w:color w:val="000000"/>
          <w:spacing w:val="0"/>
          <w:kern w:val="0"/>
          <w:sz w:val="18"/>
          <w:szCs w:val="18"/>
          <w:shd w:val="clear" w:color="auto" w:fill="auto"/>
          <w:lang w:val="en-US" w:eastAsia="zh-CN" w:bidi="ar"/>
        </w:rPr>
        <w:t>表所示。</w:t>
      </w:r>
    </w:p>
    <w:p>
      <w:pPr>
        <w:spacing w:line="280" w:lineRule="atLeast"/>
        <w:ind w:firstLine="361" w:firstLineChars="200"/>
        <w:outlineLvl w:val="1"/>
        <w:rPr>
          <w:rFonts w:ascii="宋体" w:hAnsi="宋体"/>
          <w:b/>
          <w:sz w:val="18"/>
          <w:szCs w:val="18"/>
        </w:rPr>
      </w:pPr>
      <w:r>
        <w:rPr>
          <w:rFonts w:hint="eastAsia" w:ascii="宋体" w:hAnsi="宋体"/>
          <w:b/>
          <w:sz w:val="18"/>
          <w:szCs w:val="18"/>
        </w:rPr>
        <w:t>三、关于理财产品的信息披露</w:t>
      </w:r>
    </w:p>
    <w:p>
      <w:pPr>
        <w:spacing w:line="280" w:lineRule="atLeast"/>
        <w:ind w:firstLine="360" w:firstLineChars="200"/>
        <w:rPr>
          <w:rFonts w:ascii="宋体" w:hAnsi="宋体"/>
          <w:sz w:val="18"/>
          <w:szCs w:val="18"/>
        </w:rPr>
      </w:pPr>
      <w:r>
        <w:rPr>
          <w:rFonts w:hint="eastAsia" w:ascii="宋体" w:hAnsi="宋体"/>
          <w:sz w:val="18"/>
          <w:szCs w:val="18"/>
        </w:rPr>
        <w:t>理财产品的信息披露将通过</w:t>
      </w:r>
      <w:r>
        <w:rPr>
          <w:rFonts w:hint="eastAsia" w:ascii="宋体" w:hAnsi="宋体"/>
          <w:sz w:val="18"/>
          <w:szCs w:val="18"/>
          <w:lang w:eastAsia="zh-CN"/>
        </w:rPr>
        <w:t>【</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lang w:eastAsia="zh-CN"/>
        </w:rPr>
        <w:t>】</w:t>
      </w:r>
      <w:r>
        <w:rPr>
          <w:rFonts w:hint="eastAsia" w:ascii="宋体" w:hAnsi="宋体"/>
          <w:bCs/>
          <w:sz w:val="18"/>
          <w:szCs w:val="18"/>
        </w:rPr>
        <w:t>的信息披露渠道（包括但不限于【</w:t>
      </w:r>
      <w:r>
        <w:rPr>
          <w:rFonts w:hint="eastAsia" w:ascii="宋体" w:hAnsi="宋体"/>
          <w:bCs/>
          <w:sz w:val="18"/>
          <w:szCs w:val="18"/>
          <w:lang w:val="en-US" w:eastAsia="zh-CN"/>
        </w:rPr>
        <w:t>湖南银行股份有限公司</w:t>
      </w:r>
      <w:r>
        <w:rPr>
          <w:rFonts w:hint="eastAsia" w:ascii="宋体" w:hAnsi="宋体"/>
          <w:sz w:val="18"/>
          <w:szCs w:val="18"/>
        </w:rPr>
        <w:t>】</w:t>
      </w:r>
      <w:r>
        <w:rPr>
          <w:rFonts w:hint="eastAsia" w:ascii="宋体" w:hAnsi="宋体"/>
          <w:bCs/>
          <w:sz w:val="18"/>
          <w:szCs w:val="18"/>
        </w:rPr>
        <w:t>的营业网点</w:t>
      </w:r>
      <w:r>
        <w:rPr>
          <w:rFonts w:hint="eastAsia" w:ascii="宋体" w:hAnsi="宋体"/>
          <w:bCs/>
          <w:sz w:val="18"/>
          <w:szCs w:val="18"/>
          <w:lang w:val="en-US" w:eastAsia="zh-CN"/>
        </w:rPr>
        <w:t>及/或</w:t>
      </w:r>
      <w:r>
        <w:rPr>
          <w:rFonts w:hint="eastAsia" w:ascii="宋体" w:hAnsi="宋体"/>
          <w:bCs/>
          <w:sz w:val="18"/>
          <w:szCs w:val="18"/>
        </w:rPr>
        <w:t>门户网站、电子销售渠道等）进行。</w:t>
      </w:r>
      <w:r>
        <w:rPr>
          <w:rFonts w:ascii="宋体" w:hAnsi="宋体"/>
          <w:sz w:val="18"/>
          <w:szCs w:val="18"/>
        </w:rPr>
        <w:t>具体</w:t>
      </w:r>
      <w:r>
        <w:rPr>
          <w:rFonts w:hint="eastAsia" w:ascii="宋体" w:hAnsi="宋体"/>
          <w:sz w:val="18"/>
          <w:szCs w:val="18"/>
        </w:rPr>
        <w:t>信息披露内容</w:t>
      </w:r>
      <w:r>
        <w:rPr>
          <w:rFonts w:ascii="宋体" w:hAnsi="宋体"/>
          <w:sz w:val="18"/>
          <w:szCs w:val="18"/>
        </w:rPr>
        <w:t>以《</w:t>
      </w:r>
      <w:r>
        <w:rPr>
          <w:rFonts w:hint="eastAsia" w:ascii="宋体" w:hAnsi="宋体"/>
          <w:sz w:val="18"/>
          <w:szCs w:val="18"/>
        </w:rPr>
        <w:t>理财</w:t>
      </w:r>
      <w:r>
        <w:rPr>
          <w:rFonts w:ascii="宋体" w:hAnsi="宋体"/>
          <w:sz w:val="18"/>
          <w:szCs w:val="18"/>
        </w:rPr>
        <w:t>产品说明书》中“信息披露</w:t>
      </w:r>
      <w:r>
        <w:rPr>
          <w:rFonts w:hint="eastAsia" w:ascii="宋体" w:hAnsi="宋体"/>
          <w:sz w:val="18"/>
          <w:szCs w:val="18"/>
        </w:rPr>
        <w:t xml:space="preserve">”约定为准。  </w:t>
      </w:r>
    </w:p>
    <w:p>
      <w:pPr>
        <w:spacing w:line="280" w:lineRule="atLeast"/>
        <w:ind w:firstLine="360" w:firstLineChars="200"/>
        <w:outlineLvl w:val="1"/>
        <w:rPr>
          <w:rFonts w:ascii="宋体" w:hAnsi="宋体"/>
          <w:sz w:val="18"/>
          <w:szCs w:val="18"/>
        </w:rPr>
      </w:pPr>
      <w:r>
        <w:rPr>
          <w:rFonts w:hint="eastAsia" w:ascii="宋体" w:hAnsi="宋体"/>
          <w:sz w:val="18"/>
          <w:szCs w:val="18"/>
        </w:rPr>
        <w:t xml:space="preserve"> </w:t>
      </w:r>
      <w:r>
        <w:rPr>
          <w:rFonts w:hint="eastAsia" w:ascii="宋体" w:hAnsi="宋体"/>
          <w:b/>
          <w:sz w:val="18"/>
          <w:szCs w:val="18"/>
        </w:rPr>
        <w:t>四、关于投诉与建议</w:t>
      </w:r>
    </w:p>
    <w:p>
      <w:pPr>
        <w:spacing w:line="280" w:lineRule="atLeast"/>
        <w:ind w:firstLine="360" w:firstLineChars="200"/>
        <w:rPr>
          <w:rFonts w:ascii="宋体" w:hAnsi="宋体"/>
          <w:sz w:val="18"/>
          <w:szCs w:val="18"/>
        </w:rPr>
      </w:pPr>
      <w:r>
        <w:rPr>
          <w:rFonts w:hint="eastAsia" w:ascii="宋体" w:hAnsi="宋体"/>
          <w:sz w:val="18"/>
          <w:szCs w:val="18"/>
        </w:rPr>
        <w:t>（一）您对本产品有任何意见或异议，可向产品</w:t>
      </w:r>
      <w:r>
        <w:rPr>
          <w:rFonts w:hint="eastAsia" w:ascii="宋体" w:hAnsi="宋体"/>
          <w:sz w:val="18"/>
          <w:szCs w:val="18"/>
          <w:lang w:eastAsia="zh-CN"/>
        </w:rPr>
        <w:t>销售服务机构</w:t>
      </w:r>
      <w:r>
        <w:rPr>
          <w:rFonts w:hint="eastAsia" w:ascii="宋体" w:hAnsi="宋体"/>
          <w:sz w:val="18"/>
          <w:szCs w:val="18"/>
        </w:rPr>
        <w:t>反馈，产品</w:t>
      </w:r>
      <w:r>
        <w:rPr>
          <w:rFonts w:hint="eastAsia" w:ascii="宋体" w:hAnsi="宋体"/>
          <w:sz w:val="18"/>
          <w:szCs w:val="18"/>
          <w:lang w:eastAsia="zh-CN"/>
        </w:rPr>
        <w:t>销售服务机构</w:t>
      </w:r>
      <w:r>
        <w:rPr>
          <w:rFonts w:hint="eastAsia" w:ascii="宋体" w:hAnsi="宋体"/>
          <w:sz w:val="18"/>
          <w:szCs w:val="18"/>
        </w:rPr>
        <w:t>将由专人接听、记录您的意见或建议，并由各方协商共同解决。</w:t>
      </w:r>
    </w:p>
    <w:p>
      <w:pPr>
        <w:spacing w:line="280" w:lineRule="atLeast"/>
        <w:ind w:firstLine="360" w:firstLineChars="200"/>
        <w:rPr>
          <w:rFonts w:ascii="宋体" w:hAnsi="宋体"/>
          <w:sz w:val="18"/>
          <w:szCs w:val="18"/>
        </w:rPr>
      </w:pPr>
      <w:r>
        <w:rPr>
          <w:rFonts w:hint="eastAsia" w:ascii="宋体" w:hAnsi="宋体"/>
          <w:sz w:val="18"/>
          <w:szCs w:val="18"/>
        </w:rPr>
        <w:t>（二）联络方式：</w:t>
      </w:r>
    </w:p>
    <w:p>
      <w:pPr>
        <w:widowControl/>
        <w:spacing w:line="280" w:lineRule="atLeast"/>
        <w:jc w:val="left"/>
      </w:pPr>
      <w:r>
        <w:rPr>
          <w:rFonts w:hint="eastAsia" w:ascii="宋体" w:hAnsi="宋体"/>
          <w:sz w:val="18"/>
          <w:szCs w:val="18"/>
        </w:rPr>
        <w:t>通过【</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】（作为</w:t>
      </w:r>
      <w:r>
        <w:rPr>
          <w:rFonts w:hint="eastAsia" w:ascii="宋体" w:hAnsi="宋体"/>
          <w:sz w:val="18"/>
          <w:szCs w:val="18"/>
          <w:lang w:eastAsia="zh-CN"/>
        </w:rPr>
        <w:t>销售服务机构</w:t>
      </w:r>
      <w:r>
        <w:rPr>
          <w:rFonts w:hint="eastAsia" w:ascii="宋体" w:hAnsi="宋体"/>
          <w:sz w:val="18"/>
          <w:szCs w:val="18"/>
        </w:rPr>
        <w:t>）购买本产品的，请联系【</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】客户服务热线：【0731-96599】；【</w:t>
      </w:r>
      <w:r>
        <w:rPr>
          <w:rFonts w:hint="eastAsia" w:ascii="宋体" w:hAnsi="宋体"/>
          <w:sz w:val="18"/>
          <w:szCs w:val="18"/>
          <w:lang w:val="en-US" w:eastAsia="zh-CN"/>
        </w:rPr>
        <w:t>湖南</w:t>
      </w:r>
      <w:r>
        <w:rPr>
          <w:rFonts w:hint="eastAsia" w:ascii="宋体" w:hAnsi="宋体"/>
          <w:bCs/>
          <w:sz w:val="18"/>
          <w:szCs w:val="18"/>
          <w:lang w:val="en-US" w:eastAsia="zh-CN"/>
        </w:rPr>
        <w:t>银行股份有限公司</w:t>
      </w:r>
      <w:r>
        <w:rPr>
          <w:rFonts w:hint="eastAsia" w:ascii="宋体" w:hAnsi="宋体"/>
          <w:sz w:val="18"/>
          <w:szCs w:val="18"/>
        </w:rPr>
        <w:t>】门户网站：【</w:t>
      </w:r>
      <w:r>
        <w:rPr>
          <w:rFonts w:hint="eastAsia" w:ascii="宋体" w:hAnsi="宋体"/>
          <w:sz w:val="18"/>
          <w:szCs w:val="18"/>
          <w:lang w:val="en-US" w:eastAsia="zh-CN"/>
        </w:rPr>
        <w:t>www.hunan-bank.com</w:t>
      </w:r>
      <w:r>
        <w:rPr>
          <w:rFonts w:hint="eastAsia" w:ascii="宋体" w:hAnsi="宋体"/>
          <w:sz w:val="18"/>
          <w:szCs w:val="18"/>
        </w:rPr>
        <w:t>】。</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PAGE   \* MERGEFORMAT</w:instrText>
    </w:r>
    <w:r>
      <w:fldChar w:fldCharType="separate"/>
    </w:r>
    <w:r>
      <w:rPr>
        <w:lang w:val="zh-CN"/>
      </w:rPr>
      <w:t>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ckThinLargeGap" w:color="auto" w:sz="24" w:space="10"/>
      </w:pBdr>
      <w:tabs>
        <w:tab w:val="right" w:pos="8280"/>
      </w:tabs>
      <w:wordWrap w:val="0"/>
      <w:adjustRightInd w:val="0"/>
      <w:ind w:firstLine="180" w:firstLineChars="100"/>
      <w:jc w:val="right"/>
    </w:pPr>
    <w:r>
      <w:rPr>
        <w:rFonts w:hint="eastAsia"/>
      </w:rPr>
      <w:t>投资者权益须知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ODI4OTlkNWI3ZGMyMTI4M2FjZjI0ZjQ4ZWY2ZjcifQ=="/>
  </w:docVars>
  <w:rsids>
    <w:rsidRoot w:val="00CA0711"/>
    <w:rsid w:val="001077E8"/>
    <w:rsid w:val="001F681F"/>
    <w:rsid w:val="004652C2"/>
    <w:rsid w:val="004F672F"/>
    <w:rsid w:val="00574CDA"/>
    <w:rsid w:val="005E0FA5"/>
    <w:rsid w:val="00720A38"/>
    <w:rsid w:val="00783987"/>
    <w:rsid w:val="00894D81"/>
    <w:rsid w:val="00A75F6D"/>
    <w:rsid w:val="00B73617"/>
    <w:rsid w:val="00BE08D6"/>
    <w:rsid w:val="00C23745"/>
    <w:rsid w:val="00CA0711"/>
    <w:rsid w:val="00F80482"/>
    <w:rsid w:val="0141518F"/>
    <w:rsid w:val="023319E5"/>
    <w:rsid w:val="02D43E81"/>
    <w:rsid w:val="03EE1DE1"/>
    <w:rsid w:val="043A183B"/>
    <w:rsid w:val="049B3B1D"/>
    <w:rsid w:val="04A049DE"/>
    <w:rsid w:val="05286EA0"/>
    <w:rsid w:val="0573785F"/>
    <w:rsid w:val="058A3EA4"/>
    <w:rsid w:val="05B75DB2"/>
    <w:rsid w:val="06191F1C"/>
    <w:rsid w:val="06C878D4"/>
    <w:rsid w:val="07786DEE"/>
    <w:rsid w:val="07D45D6A"/>
    <w:rsid w:val="087E0B29"/>
    <w:rsid w:val="08D112D7"/>
    <w:rsid w:val="093213AA"/>
    <w:rsid w:val="094914C2"/>
    <w:rsid w:val="09B83DE0"/>
    <w:rsid w:val="0A3637EA"/>
    <w:rsid w:val="0A37147F"/>
    <w:rsid w:val="0A775146"/>
    <w:rsid w:val="0B6D1816"/>
    <w:rsid w:val="0BB43812"/>
    <w:rsid w:val="0C8F5BC5"/>
    <w:rsid w:val="0D5C77F7"/>
    <w:rsid w:val="10006B6C"/>
    <w:rsid w:val="10F27413"/>
    <w:rsid w:val="11926760"/>
    <w:rsid w:val="126F5347"/>
    <w:rsid w:val="1274439B"/>
    <w:rsid w:val="1310095C"/>
    <w:rsid w:val="14767E22"/>
    <w:rsid w:val="14F21F6C"/>
    <w:rsid w:val="15A7173D"/>
    <w:rsid w:val="15BB7D2F"/>
    <w:rsid w:val="15F50565"/>
    <w:rsid w:val="15F70E6E"/>
    <w:rsid w:val="166D6ED3"/>
    <w:rsid w:val="16A00B71"/>
    <w:rsid w:val="17A371CF"/>
    <w:rsid w:val="185E53C1"/>
    <w:rsid w:val="186A3080"/>
    <w:rsid w:val="187B1850"/>
    <w:rsid w:val="18994F27"/>
    <w:rsid w:val="18DD4F6B"/>
    <w:rsid w:val="196835AE"/>
    <w:rsid w:val="19E47C1A"/>
    <w:rsid w:val="1A08278C"/>
    <w:rsid w:val="1A663A71"/>
    <w:rsid w:val="1A8E6703"/>
    <w:rsid w:val="1A980172"/>
    <w:rsid w:val="1AC078C5"/>
    <w:rsid w:val="1B6C159F"/>
    <w:rsid w:val="1B6F4ABD"/>
    <w:rsid w:val="1BDD7D96"/>
    <w:rsid w:val="1C2B75AF"/>
    <w:rsid w:val="1CA15A92"/>
    <w:rsid w:val="1D1A5A07"/>
    <w:rsid w:val="1DBC5B35"/>
    <w:rsid w:val="1E2170DA"/>
    <w:rsid w:val="1F372E56"/>
    <w:rsid w:val="1FE928DA"/>
    <w:rsid w:val="2075279B"/>
    <w:rsid w:val="207D7BFC"/>
    <w:rsid w:val="2176090B"/>
    <w:rsid w:val="23CD20CB"/>
    <w:rsid w:val="23EA66C6"/>
    <w:rsid w:val="24CD7AB1"/>
    <w:rsid w:val="24D74C56"/>
    <w:rsid w:val="258642F9"/>
    <w:rsid w:val="258E109F"/>
    <w:rsid w:val="25985F29"/>
    <w:rsid w:val="27DE3207"/>
    <w:rsid w:val="27F83E10"/>
    <w:rsid w:val="281F29F7"/>
    <w:rsid w:val="281F69A6"/>
    <w:rsid w:val="28AD0083"/>
    <w:rsid w:val="29901FE3"/>
    <w:rsid w:val="2D8655EC"/>
    <w:rsid w:val="2F536E50"/>
    <w:rsid w:val="2F772D8A"/>
    <w:rsid w:val="2FBD5241"/>
    <w:rsid w:val="30C65728"/>
    <w:rsid w:val="317362CE"/>
    <w:rsid w:val="33062079"/>
    <w:rsid w:val="33C062FE"/>
    <w:rsid w:val="33D86DC2"/>
    <w:rsid w:val="348B4AF7"/>
    <w:rsid w:val="34B63D63"/>
    <w:rsid w:val="35CB7C4A"/>
    <w:rsid w:val="37A63CD6"/>
    <w:rsid w:val="389A60DD"/>
    <w:rsid w:val="3A383AE9"/>
    <w:rsid w:val="3DA26112"/>
    <w:rsid w:val="3E1B6766"/>
    <w:rsid w:val="3E3E7670"/>
    <w:rsid w:val="3EA62B50"/>
    <w:rsid w:val="3F124434"/>
    <w:rsid w:val="40135E6D"/>
    <w:rsid w:val="40AA6A91"/>
    <w:rsid w:val="416B1A15"/>
    <w:rsid w:val="42480FC5"/>
    <w:rsid w:val="434313A7"/>
    <w:rsid w:val="443A09C7"/>
    <w:rsid w:val="443A7791"/>
    <w:rsid w:val="447A4A30"/>
    <w:rsid w:val="44880D9E"/>
    <w:rsid w:val="455544D8"/>
    <w:rsid w:val="466153D7"/>
    <w:rsid w:val="47145859"/>
    <w:rsid w:val="474458CA"/>
    <w:rsid w:val="477C562C"/>
    <w:rsid w:val="47E21313"/>
    <w:rsid w:val="48FB0BD8"/>
    <w:rsid w:val="4A6B1079"/>
    <w:rsid w:val="4AFC5B1B"/>
    <w:rsid w:val="4B666BF4"/>
    <w:rsid w:val="4C6A590C"/>
    <w:rsid w:val="4D8235E0"/>
    <w:rsid w:val="4D91166C"/>
    <w:rsid w:val="4E262D36"/>
    <w:rsid w:val="4E5E46B3"/>
    <w:rsid w:val="4FB818E1"/>
    <w:rsid w:val="514C2799"/>
    <w:rsid w:val="515F16DA"/>
    <w:rsid w:val="51752E0C"/>
    <w:rsid w:val="51CE188D"/>
    <w:rsid w:val="51F24DAA"/>
    <w:rsid w:val="52203BB6"/>
    <w:rsid w:val="5259022B"/>
    <w:rsid w:val="52F010CF"/>
    <w:rsid w:val="53723600"/>
    <w:rsid w:val="53D850B5"/>
    <w:rsid w:val="54250C4D"/>
    <w:rsid w:val="54965674"/>
    <w:rsid w:val="55871BC5"/>
    <w:rsid w:val="56476B07"/>
    <w:rsid w:val="568B02B4"/>
    <w:rsid w:val="5B755E3D"/>
    <w:rsid w:val="5C0A4076"/>
    <w:rsid w:val="5D253E92"/>
    <w:rsid w:val="5D30657D"/>
    <w:rsid w:val="5EC7076B"/>
    <w:rsid w:val="5F176EC1"/>
    <w:rsid w:val="608337A9"/>
    <w:rsid w:val="609C7BC8"/>
    <w:rsid w:val="619131B9"/>
    <w:rsid w:val="628F5685"/>
    <w:rsid w:val="62B24937"/>
    <w:rsid w:val="632F2020"/>
    <w:rsid w:val="635A41C8"/>
    <w:rsid w:val="63683F71"/>
    <w:rsid w:val="639E67FB"/>
    <w:rsid w:val="643A5B1B"/>
    <w:rsid w:val="658744C9"/>
    <w:rsid w:val="67DA36E5"/>
    <w:rsid w:val="68997EF5"/>
    <w:rsid w:val="69C5345B"/>
    <w:rsid w:val="69F92AEA"/>
    <w:rsid w:val="6A243267"/>
    <w:rsid w:val="6ABD1723"/>
    <w:rsid w:val="6B521347"/>
    <w:rsid w:val="6BCB0D40"/>
    <w:rsid w:val="6C434C02"/>
    <w:rsid w:val="6D15764C"/>
    <w:rsid w:val="6D5B1C74"/>
    <w:rsid w:val="6D63762F"/>
    <w:rsid w:val="6FDC4075"/>
    <w:rsid w:val="71DD5CE3"/>
    <w:rsid w:val="72D40DFE"/>
    <w:rsid w:val="73772951"/>
    <w:rsid w:val="73807C1C"/>
    <w:rsid w:val="73A618E6"/>
    <w:rsid w:val="740E1E64"/>
    <w:rsid w:val="747B1FB7"/>
    <w:rsid w:val="74B56A35"/>
    <w:rsid w:val="74EA38C3"/>
    <w:rsid w:val="75120D1B"/>
    <w:rsid w:val="762D50B7"/>
    <w:rsid w:val="76316203"/>
    <w:rsid w:val="76C530C7"/>
    <w:rsid w:val="76CC2A5B"/>
    <w:rsid w:val="793F0C37"/>
    <w:rsid w:val="79B266FC"/>
    <w:rsid w:val="7AB1187B"/>
    <w:rsid w:val="7B380127"/>
    <w:rsid w:val="7D0A1FDE"/>
    <w:rsid w:val="7FC14B38"/>
    <w:rsid w:val="7FD23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keepLines/>
      <w:spacing w:before="120" w:after="120" w:line="360" w:lineRule="auto"/>
      <w:outlineLvl w:val="0"/>
    </w:pPr>
    <w:rPr>
      <w:rFonts w:ascii="宋体"/>
      <w:b/>
      <w:color w:val="000000"/>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rFonts w:ascii="Calibri" w:hAnsi="Calibri" w:cs="黑体"/>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rFonts w:ascii="Calibri" w:hAnsi="Calibri" w:cs="黑体"/>
      <w:sz w:val="18"/>
      <w:szCs w:val="18"/>
    </w:rPr>
  </w:style>
  <w:style w:type="paragraph" w:styleId="7">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annotation subject"/>
    <w:basedOn w:val="3"/>
    <w:next w:val="3"/>
    <w:link w:val="24"/>
    <w:semiHidden/>
    <w:unhideWhenUsed/>
    <w:qFormat/>
    <w:uiPriority w:val="99"/>
    <w:rPr>
      <w:b/>
      <w:bCs/>
    </w:rPr>
  </w:style>
  <w:style w:type="character" w:styleId="11">
    <w:name w:val="Strong"/>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qFormat/>
    <w:uiPriority w:val="0"/>
    <w:rPr>
      <w:sz w:val="21"/>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修订1"/>
    <w:hidden/>
    <w:semiHidden/>
    <w:qFormat/>
    <w:uiPriority w:val="99"/>
    <w:rPr>
      <w:rFonts w:ascii="Times New Roman" w:hAnsi="Times New Roman" w:eastAsia="宋体" w:cs="Times New Roman"/>
      <w:kern w:val="2"/>
      <w:sz w:val="21"/>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6"/>
    <w:qFormat/>
    <w:uiPriority w:val="0"/>
    <w:rPr>
      <w:sz w:val="18"/>
      <w:szCs w:val="18"/>
    </w:rPr>
  </w:style>
  <w:style w:type="character" w:customStyle="1" w:styleId="18">
    <w:name w:val="页脚 字符"/>
    <w:basedOn w:val="10"/>
    <w:link w:val="5"/>
    <w:qFormat/>
    <w:uiPriority w:val="99"/>
    <w:rPr>
      <w:sz w:val="18"/>
      <w:szCs w:val="18"/>
    </w:rPr>
  </w:style>
  <w:style w:type="character" w:customStyle="1" w:styleId="19">
    <w:name w:val="标题 1 字符"/>
    <w:basedOn w:val="10"/>
    <w:link w:val="2"/>
    <w:qFormat/>
    <w:uiPriority w:val="0"/>
    <w:rPr>
      <w:rFonts w:ascii="宋体" w:hAnsi="Times New Roman" w:eastAsia="宋体" w:cs="Times New Roman"/>
      <w:b/>
      <w:color w:val="000000"/>
      <w:kern w:val="0"/>
      <w:sz w:val="24"/>
      <w:szCs w:val="20"/>
    </w:rPr>
  </w:style>
  <w:style w:type="character" w:customStyle="1" w:styleId="20">
    <w:name w:val="HTML 预设格式 字符"/>
    <w:basedOn w:val="10"/>
    <w:link w:val="7"/>
    <w:qFormat/>
    <w:uiPriority w:val="99"/>
    <w:rPr>
      <w:rFonts w:ascii="宋体" w:hAnsi="宋体" w:eastAsia="宋体" w:cs="宋体"/>
      <w:kern w:val="0"/>
      <w:sz w:val="24"/>
      <w:szCs w:val="24"/>
    </w:rPr>
  </w:style>
  <w:style w:type="character" w:customStyle="1" w:styleId="21">
    <w:name w:val="批注文字 Char"/>
    <w:basedOn w:val="10"/>
    <w:semiHidden/>
    <w:qFormat/>
    <w:uiPriority w:val="99"/>
    <w:rPr>
      <w:rFonts w:ascii="Times New Roman" w:hAnsi="Times New Roman" w:eastAsia="宋体" w:cs="Times New Roman"/>
      <w:szCs w:val="20"/>
    </w:rPr>
  </w:style>
  <w:style w:type="character" w:customStyle="1" w:styleId="22">
    <w:name w:val="批注文字 字符"/>
    <w:basedOn w:val="10"/>
    <w:link w:val="3"/>
    <w:qFormat/>
    <w:uiPriority w:val="0"/>
    <w:rPr>
      <w:rFonts w:ascii="Times New Roman" w:hAnsi="Times New Roman" w:eastAsia="宋体" w:cs="Times New Roman"/>
      <w:szCs w:val="20"/>
    </w:rPr>
  </w:style>
  <w:style w:type="character" w:customStyle="1" w:styleId="23">
    <w:name w:val="批注框文本 字符"/>
    <w:basedOn w:val="10"/>
    <w:link w:val="4"/>
    <w:semiHidden/>
    <w:qFormat/>
    <w:uiPriority w:val="99"/>
    <w:rPr>
      <w:rFonts w:ascii="Times New Roman" w:hAnsi="Times New Roman" w:eastAsia="宋体" w:cs="Times New Roman"/>
      <w:sz w:val="18"/>
      <w:szCs w:val="18"/>
    </w:rPr>
  </w:style>
  <w:style w:type="character" w:customStyle="1" w:styleId="24">
    <w:name w:val="批注主题 字符"/>
    <w:basedOn w:val="22"/>
    <w:link w:val="8"/>
    <w:semiHidden/>
    <w:qFormat/>
    <w:uiPriority w:val="99"/>
    <w:rPr>
      <w:rFonts w:ascii="Times New Roman" w:hAnsi="Times New Roman" w:eastAsia="宋体" w:cs="Times New Roman"/>
      <w:b/>
      <w:bCs/>
      <w:szCs w:val="20"/>
    </w:rPr>
  </w:style>
  <w:style w:type="paragraph" w:customStyle="1" w:styleId="25">
    <w:name w:val="修订3"/>
    <w:hidden/>
    <w:semiHidden/>
    <w:qFormat/>
    <w:uiPriority w:val="99"/>
    <w:rPr>
      <w:rFonts w:ascii="Times New Roman" w:hAnsi="Times New Roman" w:eastAsia="宋体" w:cs="Times New Roman"/>
      <w:kern w:val="2"/>
      <w:sz w:val="21"/>
      <w:lang w:val="en-US" w:eastAsia="zh-CN" w:bidi="ar-SA"/>
    </w:rPr>
  </w:style>
  <w:style w:type="character" w:customStyle="1" w:styleId="26">
    <w:name w:val="未处理的提及1"/>
    <w:basedOn w:val="10"/>
    <w:semiHidden/>
    <w:unhideWhenUsed/>
    <w:qFormat/>
    <w:uiPriority w:val="99"/>
    <w:rPr>
      <w:color w:val="605E5C"/>
      <w:shd w:val="clear" w:color="auto" w:fill="E1DFDD"/>
    </w:rPr>
  </w:style>
  <w:style w:type="paragraph" w:customStyle="1" w:styleId="27">
    <w:name w:val="修订4"/>
    <w:hidden/>
    <w:semiHidden/>
    <w:qFormat/>
    <w:uiPriority w:val="99"/>
    <w:rPr>
      <w:rFonts w:ascii="Times New Roman" w:hAnsi="Times New Roman" w:eastAsia="宋体" w:cs="Times New Roman"/>
      <w:kern w:val="2"/>
      <w:sz w:val="21"/>
      <w:lang w:val="en-US" w:eastAsia="zh-CN" w:bidi="ar-SA"/>
    </w:rPr>
  </w:style>
  <w:style w:type="paragraph" w:customStyle="1" w:styleId="28">
    <w:name w:val="Revision"/>
    <w:hidden/>
    <w:semiHidden/>
    <w:qFormat/>
    <w:uiPriority w:val="99"/>
    <w:rPr>
      <w:rFonts w:ascii="Times New Roman" w:hAnsi="Times New Roman" w:eastAsia="宋体" w:cs="Times New Roman"/>
      <w:kern w:val="2"/>
      <w:sz w:val="21"/>
      <w:lang w:val="en-US" w:eastAsia="zh-CN" w:bidi="ar-SA"/>
    </w:rPr>
  </w:style>
  <w:style w:type="paragraph" w:customStyle="1" w:styleId="29">
    <w:name w:val="正文文本缩进1"/>
    <w:basedOn w:val="1"/>
    <w:qFormat/>
    <w:uiPriority w:val="0"/>
    <w:pPr>
      <w:ind w:firstLine="56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5092</Words>
  <Characters>5231</Characters>
  <Lines>24</Lines>
  <Paragraphs>6</Paragraphs>
  <TotalTime>0</TotalTime>
  <ScaleCrop>false</ScaleCrop>
  <LinksUpToDate>false</LinksUpToDate>
  <CharactersWithSpaces>5254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2021-06-15T06:19:00Z</dcterms:created>
  <dc:creator>胡骁潇</dc:creator>
  <cp:lastModifiedBy>grace</cp:lastModifiedBy>
  <dcterms:modified xsi:type="dcterms:W3CDTF">2024-08-02T08:17:22Z</dcterms:modified>
  <dc:title>兴银理财【天天万利宝稳利恒盈】净值型理财产品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F38CDB0A342847339B79C7443BD612BA</vt:lpwstr>
  </property>
</Properties>
</file>