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color w:val="000000"/>
          <w:sz w:val="44"/>
          <w:szCs w:val="44"/>
          <w:highlight w:val="none"/>
        </w:rPr>
      </w:pPr>
      <w:r>
        <w:rPr>
          <w:rFonts w:hint="eastAsia" w:ascii="宋体" w:hAnsi="宋体" w:eastAsia="宋体" w:cs="宋体"/>
          <w:b/>
          <w:bCs/>
          <w:color w:val="000000"/>
          <w:kern w:val="2"/>
          <w:sz w:val="44"/>
          <w:szCs w:val="44"/>
          <w:highlight w:val="none"/>
          <w:lang w:val="en-US" w:eastAsia="zh-CN" w:bidi="ar-SA"/>
        </w:rPr>
        <w:t>幸福99丰裕固收386天26104期理财</w:t>
      </w:r>
      <w:r>
        <w:rPr>
          <w:rFonts w:hint="eastAsia" w:ascii="宋体" w:hAnsi="宋体" w:cs="宋体"/>
          <w:b/>
          <w:bCs/>
          <w:color w:val="000000"/>
          <w:sz w:val="44"/>
          <w:szCs w:val="44"/>
          <w:highlight w:val="none"/>
        </w:rPr>
        <w:t>风险揭示书</w:t>
      </w:r>
    </w:p>
    <w:p>
      <w:pPr>
        <w:jc w:val="center"/>
        <w:outlineLvl w:val="1"/>
        <w:rPr>
          <w:rFonts w:hint="eastAsia" w:ascii="宋体" w:hAnsi="宋体" w:cs="宋体"/>
          <w:color w:val="000000"/>
          <w:sz w:val="28"/>
          <w:szCs w:val="28"/>
          <w:highlight w:val="none"/>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eastAsia="zh-CN"/>
        </w:rPr>
        <w:t>202502</w:t>
      </w:r>
      <w:r>
        <w:rPr>
          <w:rFonts w:hint="eastAsia" w:ascii="宋体" w:hAnsi="宋体" w:cs="宋体"/>
          <w:color w:val="000000"/>
          <w:sz w:val="28"/>
          <w:szCs w:val="28"/>
          <w:highlight w:val="none"/>
        </w:rPr>
        <w:t>版）</w:t>
      </w:r>
    </w:p>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尊敬的理财投资者：</w:t>
      </w:r>
    </w:p>
    <w:p>
      <w:pPr>
        <w:spacing w:line="360" w:lineRule="auto"/>
        <w:jc w:val="center"/>
        <w:outlineLvl w:val="2"/>
        <w:rPr>
          <w:rFonts w:hint="eastAsia" w:ascii="宋体" w:hAnsi="宋体" w:cs="宋体"/>
          <w:b/>
          <w:bCs/>
          <w:color w:val="000000"/>
          <w:sz w:val="24"/>
          <w:highlight w:val="none"/>
          <w:u w:val="single"/>
        </w:rPr>
      </w:pPr>
      <w:r>
        <w:rPr>
          <w:rFonts w:hint="eastAsia" w:ascii="宋体" w:hAnsi="宋体" w:cs="宋体"/>
          <w:b/>
          <w:bCs/>
          <w:color w:val="000000"/>
          <w:sz w:val="24"/>
          <w:highlight w:val="none"/>
          <w:u w:val="single"/>
        </w:rPr>
        <w:t>理财非存款、产品有风险、投资</w:t>
      </w:r>
      <w:r>
        <w:rPr>
          <w:rFonts w:hint="eastAsia" w:ascii="宋体" w:hAnsi="宋体" w:cs="宋体"/>
          <w:b/>
          <w:bCs/>
          <w:color w:val="000000"/>
          <w:sz w:val="24"/>
          <w:highlight w:val="none"/>
          <w:u w:val="single"/>
          <w:lang w:eastAsia="zh-CN"/>
        </w:rPr>
        <w:t>须</w:t>
      </w:r>
      <w:r>
        <w:rPr>
          <w:rFonts w:hint="eastAsia" w:ascii="宋体" w:hAnsi="宋体" w:cs="宋体"/>
          <w:b/>
          <w:bCs/>
          <w:color w:val="000000"/>
          <w:sz w:val="24"/>
          <w:highlight w:val="none"/>
          <w:u w:val="single"/>
        </w:rPr>
        <w:t>谨慎</w:t>
      </w:r>
    </w:p>
    <w:p>
      <w:pPr>
        <w:spacing w:line="360" w:lineRule="auto"/>
        <w:ind w:firstLine="480" w:firstLineChars="200"/>
        <w:jc w:val="left"/>
        <w:rPr>
          <w:rFonts w:hint="eastAsia" w:ascii="宋体" w:hAnsi="宋体" w:cs="宋体"/>
          <w:b/>
          <w:color w:val="000000"/>
          <w:sz w:val="24"/>
          <w:highlight w:val="none"/>
        </w:rPr>
      </w:pPr>
      <w:r>
        <w:rPr>
          <w:rFonts w:hint="eastAsia" w:ascii="宋体" w:hAnsi="宋体" w:cs="宋体"/>
          <w:bCs/>
          <w:color w:val="000000"/>
          <w:sz w:val="24"/>
          <w:highlight w:val="none"/>
        </w:rPr>
        <w:t>根据</w:t>
      </w:r>
      <w:r>
        <w:rPr>
          <w:rFonts w:hint="eastAsia" w:ascii="宋体" w:hAnsi="宋体" w:cs="宋体"/>
          <w:bCs/>
          <w:color w:val="000000"/>
          <w:sz w:val="24"/>
          <w:highlight w:val="none"/>
          <w:lang w:eastAsia="zh-CN"/>
        </w:rPr>
        <w:t>国家金融监督管理总局</w:t>
      </w:r>
      <w:r>
        <w:rPr>
          <w:rFonts w:hint="eastAsia" w:ascii="宋体" w:hAnsi="宋体" w:cs="宋体"/>
          <w:bCs/>
          <w:color w:val="000000"/>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风险揭示书、理财计划说明书、投资者权益须知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和理财计划（</w:t>
      </w:r>
      <w:r>
        <w:rPr>
          <w:rFonts w:hint="eastAsia" w:ascii="宋体" w:hAnsi="宋体" w:cs="宋体"/>
          <w:bCs/>
          <w:color w:val="000000"/>
          <w:sz w:val="24"/>
          <w:highlight w:val="none"/>
          <w:lang w:val="en-US" w:eastAsia="zh-CN"/>
        </w:rPr>
        <w:t>代理销售</w:t>
      </w:r>
      <w:r>
        <w:rPr>
          <w:rFonts w:hint="eastAsia" w:ascii="宋体" w:hAnsi="宋体" w:cs="宋体"/>
          <w:bCs/>
          <w:color w:val="000000"/>
          <w:sz w:val="24"/>
          <w:highlight w:val="none"/>
          <w:lang w:eastAsia="zh-CN"/>
        </w:rPr>
        <w:t>）销售协议书</w:t>
      </w:r>
      <w:r>
        <w:rPr>
          <w:rFonts w:hint="eastAsia" w:ascii="宋体" w:hAnsi="宋体" w:cs="宋体"/>
          <w:bCs/>
          <w:color w:val="000000"/>
          <w:sz w:val="24"/>
          <w:highlight w:val="none"/>
        </w:rPr>
        <w:t>，</w:t>
      </w:r>
      <w:r>
        <w:rPr>
          <w:rFonts w:hint="eastAsia" w:ascii="宋体" w:hAnsi="宋体" w:cs="宋体"/>
          <w:b/>
          <w:bCs w:val="0"/>
          <w:color w:val="000000"/>
          <w:sz w:val="24"/>
          <w:highlight w:val="none"/>
        </w:rPr>
        <w:t>若通过电子渠道购买的，成功交易后视同为投资者与管理人已完成理财计划交易合同的签订</w:t>
      </w:r>
      <w:r>
        <w:rPr>
          <w:rFonts w:hint="eastAsia" w:ascii="宋体" w:hAnsi="宋体" w:cs="宋体"/>
          <w:bCs/>
          <w:color w:val="000000"/>
          <w:sz w:val="24"/>
          <w:highlight w:val="none"/>
        </w:rPr>
        <w:t>），了解理财计划相关具体情况，并确保已评估自身的风险承受能力和理财计划相关风险后，谨慎投资。</w:t>
      </w:r>
      <w:r>
        <w:rPr>
          <w:rFonts w:hint="eastAsia" w:ascii="宋体" w:hAnsi="宋体" w:cs="宋体"/>
          <w:b/>
          <w:color w:val="000000"/>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color w:val="000000"/>
          <w:sz w:val="24"/>
          <w:highlight w:val="none"/>
        </w:rPr>
      </w:pPr>
      <w:r>
        <w:rPr>
          <w:rFonts w:hint="eastAsia" w:ascii="宋体" w:hAnsi="宋体" w:cs="宋体"/>
          <w:b/>
          <w:color w:val="000000"/>
          <w:sz w:val="24"/>
          <w:highlight w:val="none"/>
        </w:rPr>
        <w:t>理财计划共性风险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购买力风险：如发生通货膨胀，则所投资产的收益可能会被通货膨胀抵消，从而对理财计划收益</w:t>
      </w:r>
      <w:r>
        <w:rPr>
          <w:rFonts w:hint="eastAsia" w:ascii="宋体" w:hAnsi="宋体" w:cs="宋体"/>
          <w:b/>
          <w:color w:val="000000"/>
          <w:sz w:val="24"/>
          <w:highlight w:val="none"/>
          <w:lang w:eastAsia="zh-CN"/>
        </w:rPr>
        <w:t>的实际购买力</w:t>
      </w:r>
      <w:r>
        <w:rPr>
          <w:rFonts w:hint="eastAsia" w:ascii="宋体" w:hAnsi="宋体" w:cs="宋体"/>
          <w:b/>
          <w:color w:val="000000"/>
          <w:sz w:val="24"/>
          <w:highlight w:val="none"/>
        </w:rPr>
        <w:t>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政策风险：理财计划根据当前的相关法规和政策设计，如国家宏观政策以及相关市场</w:t>
      </w:r>
      <w:r>
        <w:rPr>
          <w:rFonts w:hint="eastAsia" w:ascii="宋体" w:hAnsi="宋体" w:cs="宋体"/>
          <w:b/>
          <w:color w:val="000000"/>
          <w:sz w:val="24"/>
          <w:highlight w:val="none"/>
          <w:lang w:val="en-US" w:eastAsia="zh-CN"/>
        </w:rPr>
        <w:t>法律、</w:t>
      </w:r>
      <w:r>
        <w:rPr>
          <w:rFonts w:hint="eastAsia" w:ascii="宋体" w:hAnsi="宋体" w:cs="宋体"/>
          <w:b/>
          <w:color w:val="000000"/>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终止风险：为保护投资者利益，在理财计划存续期间，管理人可根据理财计划说明书约定的情形提前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终止本理财计划。如理财计划被提前</w:t>
      </w:r>
      <w:r>
        <w:rPr>
          <w:rFonts w:hint="eastAsia" w:ascii="宋体" w:hAnsi="宋体" w:cs="宋体"/>
          <w:b/>
          <w:color w:val="000000"/>
          <w:sz w:val="24"/>
          <w:highlight w:val="none"/>
          <w:lang w:eastAsia="zh-CN"/>
        </w:rPr>
        <w:t>或延期</w:t>
      </w:r>
      <w:r>
        <w:rPr>
          <w:rFonts w:hint="eastAsia" w:ascii="宋体" w:hAnsi="宋体" w:cs="宋体"/>
          <w:b/>
          <w:color w:val="000000"/>
          <w:sz w:val="24"/>
          <w:highlight w:val="none"/>
        </w:rPr>
        <w:t>终止，则投资者将面临提前终止再投资</w:t>
      </w:r>
      <w:r>
        <w:rPr>
          <w:rFonts w:hint="eastAsia" w:ascii="宋体" w:hAnsi="宋体" w:cs="宋体"/>
          <w:b/>
          <w:color w:val="000000"/>
          <w:sz w:val="24"/>
          <w:highlight w:val="none"/>
          <w:lang w:eastAsia="zh-CN"/>
        </w:rPr>
        <w:t>或延期兑付</w:t>
      </w:r>
      <w:r>
        <w:rPr>
          <w:rFonts w:hint="eastAsia" w:ascii="宋体" w:hAnsi="宋体" w:cs="宋体"/>
          <w:b/>
          <w:color w:val="000000"/>
          <w:sz w:val="24"/>
          <w:highlight w:val="none"/>
        </w:rPr>
        <w:t>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信息传递风险：</w:t>
      </w:r>
      <w:r>
        <w:rPr>
          <w:rFonts w:hint="eastAsia" w:ascii="宋体" w:hAnsi="宋体" w:cs="宋体"/>
          <w:b/>
          <w:color w:val="000000"/>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color w:val="000000"/>
          <w:sz w:val="24"/>
          <w:highlight w:val="none"/>
        </w:rPr>
        <w:t>由于投资者未能及时主动了解理财计划信息</w:t>
      </w:r>
      <w:r>
        <w:rPr>
          <w:rFonts w:hint="eastAsia" w:ascii="宋体" w:hAnsi="宋体" w:cs="宋体"/>
          <w:b/>
          <w:color w:val="000000"/>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color w:val="000000"/>
          <w:sz w:val="24"/>
          <w:highlight w:val="none"/>
        </w:rPr>
        <w:t>。</w:t>
      </w:r>
      <w:r>
        <w:rPr>
          <w:rFonts w:hint="eastAsia" w:ascii="宋体" w:hAnsi="宋体" w:cs="宋体"/>
          <w:b/>
          <w:color w:val="000000"/>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color w:val="000000"/>
          <w:sz w:val="24"/>
          <w:highlight w:val="none"/>
          <w:lang w:eastAsia="zh-CN"/>
        </w:rPr>
        <w:t>理</w:t>
      </w:r>
      <w:r>
        <w:rPr>
          <w:rFonts w:hint="eastAsia" w:ascii="宋体" w:hAnsi="宋体" w:cs="宋体"/>
          <w:b/>
          <w:color w:val="000000"/>
          <w:sz w:val="24"/>
          <w:highlight w:val="none"/>
        </w:rPr>
        <w:t>财计划本金或收益蒙受部分或全部损失的风险。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eastAsia="zh-CN"/>
        </w:rPr>
        <w:t>关</w:t>
      </w:r>
      <w:r>
        <w:rPr>
          <w:rFonts w:ascii="宋体" w:hAnsi="宋体" w:cs="宋体"/>
          <w:b/>
          <w:color w:val="000000"/>
          <w:sz w:val="24"/>
          <w:highlight w:val="none"/>
        </w:rPr>
        <w:t>联关系</w:t>
      </w:r>
      <w:r>
        <w:rPr>
          <w:rFonts w:hint="eastAsia" w:ascii="宋体" w:hAnsi="宋体" w:cs="宋体"/>
          <w:b/>
          <w:color w:val="000000"/>
          <w:sz w:val="24"/>
          <w:highlight w:val="none"/>
          <w:lang w:val="en-US" w:eastAsia="zh-CN"/>
        </w:rPr>
        <w:t>及关联交易</w:t>
      </w:r>
      <w:r>
        <w:rPr>
          <w:rFonts w:ascii="宋体" w:hAnsi="宋体" w:cs="宋体"/>
          <w:b/>
          <w:color w:val="000000"/>
          <w:sz w:val="24"/>
          <w:highlight w:val="none"/>
        </w:rPr>
        <w:t>风险：</w:t>
      </w:r>
      <w:r>
        <w:rPr>
          <w:rFonts w:hint="eastAsia" w:ascii="宋体" w:hAnsi="宋体" w:cs="宋体"/>
          <w:b/>
          <w:color w:val="000000"/>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color w:val="000000"/>
          <w:sz w:val="24"/>
          <w:highlight w:val="none"/>
        </w:rPr>
        <w:t>杭州银行股份有限公司</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以下简称“杭州银行”</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作为理财计划的销售服务机构</w:t>
      </w:r>
      <w:r>
        <w:rPr>
          <w:rFonts w:ascii="宋体" w:hAnsi="宋体" w:cs="宋体"/>
          <w:b/>
          <w:color w:val="000000"/>
          <w:sz w:val="24"/>
          <w:highlight w:val="none"/>
        </w:rPr>
        <w:t>，</w:t>
      </w:r>
      <w:r>
        <w:rPr>
          <w:rFonts w:hint="eastAsia" w:ascii="宋体" w:hAnsi="宋体" w:cs="宋体"/>
          <w:b/>
          <w:color w:val="000000"/>
          <w:sz w:val="24"/>
          <w:highlight w:val="none"/>
          <w:lang w:val="en-US" w:eastAsia="zh-CN"/>
        </w:rPr>
        <w:t>负责理财计划的代理销售工作。</w:t>
      </w:r>
      <w:r>
        <w:rPr>
          <w:rFonts w:ascii="宋体" w:hAnsi="宋体" w:cs="宋体"/>
          <w:b/>
          <w:color w:val="000000"/>
          <w:sz w:val="24"/>
          <w:highlight w:val="none"/>
        </w:rPr>
        <w:t>杭银理财系杭州银行全资子公司，双方存在关联关系。</w:t>
      </w:r>
      <w:r>
        <w:rPr>
          <w:rFonts w:hint="eastAsia" w:ascii="宋体" w:hAnsi="宋体" w:cs="宋体"/>
          <w:b/>
          <w:color w:val="000000"/>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color w:val="000000"/>
          <w:sz w:val="24"/>
          <w:highlight w:val="none"/>
        </w:rPr>
      </w:pPr>
      <w:r>
        <w:rPr>
          <w:rFonts w:hint="eastAsia" w:ascii="宋体" w:hAnsi="宋体" w:cs="宋体"/>
          <w:b/>
          <w:color w:val="000000"/>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color w:val="000000"/>
          <w:sz w:val="24"/>
          <w:highlight w:val="none"/>
        </w:rPr>
      </w:pPr>
      <w:r>
        <w:rPr>
          <w:rFonts w:hint="eastAsia" w:ascii="宋体" w:hAnsi="宋体" w:cs="宋体"/>
          <w:b/>
          <w:color w:val="000000"/>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color w:val="000000"/>
          <w:sz w:val="24"/>
          <w:highlight w:val="none"/>
        </w:rPr>
      </w:pP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上述理财计划共性与特定风险发生时，投资者的本金及收益可能遭受损失，在最不利情形下，将损失全部本金及收益</w:t>
      </w:r>
      <w:r>
        <w:rPr>
          <w:rFonts w:hint="eastAsia" w:ascii="宋体" w:hAnsi="宋体" w:cs="宋体"/>
          <w:b/>
          <w:color w:val="000000"/>
          <w:sz w:val="24"/>
          <w:highlight w:val="none"/>
          <w:lang w:eastAsia="zh-CN"/>
        </w:rPr>
        <w:t>（</w:t>
      </w:r>
      <w:r>
        <w:rPr>
          <w:rFonts w:hint="eastAsia" w:ascii="宋体" w:hAnsi="宋体" w:cs="宋体"/>
          <w:b/>
          <w:color w:val="000000"/>
          <w:sz w:val="24"/>
          <w:highlight w:val="none"/>
          <w:lang w:val="en-US" w:eastAsia="zh-CN"/>
        </w:rPr>
        <w:t>如有</w:t>
      </w:r>
      <w:r>
        <w:rPr>
          <w:rFonts w:hint="eastAsia" w:ascii="宋体" w:hAnsi="宋体" w:cs="宋体"/>
          <w:b/>
          <w:color w:val="000000"/>
          <w:sz w:val="24"/>
          <w:highlight w:val="none"/>
          <w:lang w:eastAsia="zh-CN"/>
        </w:rPr>
        <w:t>）</w:t>
      </w:r>
      <w:r>
        <w:rPr>
          <w:rFonts w:hint="eastAsia" w:ascii="宋体" w:hAnsi="宋体" w:cs="宋体"/>
          <w:b/>
          <w:color w:val="000000"/>
          <w:sz w:val="24"/>
          <w:highlight w:val="none"/>
        </w:rPr>
        <w:t>，由此产生的风险及损失将由投资者自行承担。</w:t>
      </w:r>
    </w:p>
    <w:p>
      <w:pPr>
        <w:numPr>
          <w:ilvl w:val="0"/>
          <w:numId w:val="1"/>
        </w:numPr>
        <w:spacing w:line="360" w:lineRule="auto"/>
        <w:jc w:val="left"/>
        <w:outlineLvl w:val="2"/>
        <w:rPr>
          <w:rFonts w:ascii="宋体" w:hAnsi="宋体" w:cs="宋体"/>
          <w:b/>
          <w:color w:val="000000"/>
          <w:sz w:val="24"/>
          <w:highlight w:val="none"/>
        </w:rPr>
      </w:pPr>
      <w:r>
        <w:rPr>
          <w:rFonts w:hint="eastAsia" w:ascii="宋体" w:hAnsi="宋体" w:cs="宋体"/>
          <w:b/>
          <w:color w:val="000000"/>
          <w:sz w:val="24"/>
          <w:highlight w:val="none"/>
        </w:rPr>
        <w:t>其他信息提示</w:t>
      </w:r>
    </w:p>
    <w:p>
      <w:pPr>
        <w:spacing w:line="360" w:lineRule="auto"/>
        <w:jc w:val="left"/>
        <w:rPr>
          <w:rFonts w:ascii="宋体" w:hAnsi="宋体" w:cs="宋体"/>
          <w:b/>
          <w:color w:val="000000"/>
          <w:sz w:val="24"/>
          <w:highlight w:val="none"/>
        </w:rPr>
      </w:pPr>
      <w:r>
        <w:rPr>
          <w:rFonts w:hint="eastAsia" w:ascii="宋体" w:hAnsi="宋体" w:cs="宋体"/>
          <w:b/>
          <w:color w:val="000000"/>
          <w:sz w:val="24"/>
          <w:highlight w:val="none"/>
        </w:rPr>
        <w:t xml:space="preserve">    </w:t>
      </w:r>
      <w:r>
        <w:rPr>
          <w:rFonts w:hint="eastAsia" w:ascii="宋体" w:hAnsi="宋体" w:cs="宋体"/>
          <w:bCs/>
          <w:color w:val="000000"/>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根据募集方式的不同，理财产品分为公募理财产品和私募理财产品。</w:t>
      </w:r>
      <w:r>
        <w:rPr>
          <w:rFonts w:hint="eastAsia" w:ascii="宋体" w:hAnsi="宋体" w:cs="宋体"/>
          <w:bCs/>
          <w:color w:val="000000"/>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根据投资性质的不同，理财产品分为固定收益类理财产品、权益类理财产品、商品及金融衍生品类理财产品和混合类理财产品。</w:t>
      </w:r>
      <w:r>
        <w:rPr>
          <w:rFonts w:hint="eastAsia" w:ascii="宋体" w:hAnsi="宋体" w:cs="宋体"/>
          <w:bCs/>
          <w:color w:val="000000"/>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color w:val="000000"/>
          <w:sz w:val="24"/>
          <w:highlight w:val="none"/>
        </w:rPr>
      </w:pPr>
      <w:r>
        <w:rPr>
          <w:rFonts w:hint="eastAsia" w:ascii="宋体" w:hAnsi="宋体" w:cs="宋体"/>
          <w:b/>
          <w:color w:val="000000"/>
          <w:sz w:val="24"/>
          <w:highlight w:val="none"/>
        </w:rPr>
        <w:t>根据运作方式的不同，将理财产品分为封闭式理财产品和开放式理财产品。</w:t>
      </w:r>
      <w:r>
        <w:rPr>
          <w:rFonts w:hint="eastAsia" w:ascii="宋体" w:hAnsi="宋体" w:cs="宋体"/>
          <w:bCs/>
          <w:color w:val="000000"/>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本理财计划为</w:t>
      </w:r>
      <w:r>
        <w:rPr>
          <w:rFonts w:hint="eastAsia" w:ascii="宋体" w:hAnsi="宋体" w:eastAsia="宋体" w:cs="宋体"/>
          <w:b/>
          <w:color w:val="000000"/>
          <w:kern w:val="2"/>
          <w:sz w:val="24"/>
          <w:szCs w:val="24"/>
          <w:highlight w:val="none"/>
          <w:lang w:val="en-US" w:eastAsia="zh-CN" w:bidi="ar-SA"/>
        </w:rPr>
        <w:t>公募</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封闭式</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固定收益类</w:t>
      </w:r>
      <w:r>
        <w:rPr>
          <w:rFonts w:hint="eastAsia" w:ascii="宋体" w:hAnsi="宋体" w:cs="宋体"/>
          <w:b/>
          <w:color w:val="000000"/>
          <w:sz w:val="24"/>
          <w:highlight w:val="none"/>
        </w:rPr>
        <w:t>〗净值型理财计划，〖</w:t>
      </w:r>
      <w:r>
        <w:rPr>
          <w:rFonts w:hint="eastAsia" w:ascii="宋体" w:hAnsi="宋体" w:eastAsia="宋体" w:cs="宋体"/>
          <w:b/>
          <w:color w:val="000000"/>
          <w:kern w:val="2"/>
          <w:sz w:val="24"/>
          <w:szCs w:val="24"/>
          <w:highlight w:val="none"/>
          <w:lang w:val="en-US" w:eastAsia="zh-CN" w:bidi="ar-SA"/>
        </w:rPr>
        <w:t>386</w:t>
      </w:r>
      <w:r>
        <w:rPr>
          <w:rFonts w:hint="eastAsia" w:ascii="宋体" w:hAnsi="宋体" w:cs="宋体"/>
          <w:b/>
          <w:color w:val="000000"/>
          <w:sz w:val="24"/>
          <w:highlight w:val="none"/>
        </w:rPr>
        <w:t>〗</w:t>
      </w:r>
      <w:r>
        <w:rPr>
          <w:rFonts w:hint="eastAsia" w:ascii="宋体" w:hAnsi="宋体" w:cs="宋体"/>
          <w:b/>
          <w:color w:val="000000"/>
          <w:sz w:val="24"/>
          <w:highlight w:val="none"/>
          <w:lang w:eastAsia="zh-CN"/>
        </w:rPr>
        <w:t>天</w:t>
      </w:r>
      <w:r>
        <w:rPr>
          <w:rFonts w:hint="eastAsia" w:ascii="宋体" w:hAnsi="宋体" w:cs="宋体"/>
          <w:bCs/>
          <w:color w:val="000000"/>
          <w:sz w:val="24"/>
          <w:highlight w:val="none"/>
          <w:lang w:eastAsia="zh-CN"/>
        </w:rPr>
        <w:t>，</w:t>
      </w:r>
      <w:r>
        <w:rPr>
          <w:rFonts w:hint="eastAsia" w:ascii="宋体" w:hAnsi="宋体" w:cs="宋体"/>
          <w:b/>
          <w:color w:val="000000"/>
          <w:sz w:val="24"/>
          <w:highlight w:val="none"/>
        </w:rPr>
        <w:t>不保证本金与收益。</w:t>
      </w:r>
      <w:r>
        <w:rPr>
          <w:rFonts w:hint="eastAsia" w:ascii="宋体" w:hAnsi="宋体" w:cs="宋体"/>
          <w:b/>
          <w:color w:val="000000"/>
          <w:sz w:val="24"/>
          <w:highlight w:val="none"/>
          <w:lang w:val="en-US" w:eastAsia="zh-CN"/>
        </w:rPr>
        <w:t>理财计划过往业绩不代表其未来表现，不等于理财计划实际收益，投资须谨慎！</w:t>
      </w:r>
      <w:r>
        <w:rPr>
          <w:rFonts w:hint="eastAsia" w:ascii="宋体" w:hAnsi="宋体" w:cs="宋体"/>
          <w:b/>
          <w:color w:val="000000"/>
          <w:sz w:val="24"/>
          <w:highlight w:val="none"/>
        </w:rPr>
        <w:t>根据本公司理财产品内部风险评级，该理财计划风险评级结果为〖</w:t>
      </w:r>
      <w:r>
        <w:rPr>
          <w:rFonts w:hint="eastAsia" w:ascii="宋体" w:hAnsi="宋体" w:eastAsia="宋体" w:cs="宋体"/>
          <w:b/>
          <w:color w:val="000000"/>
          <w:kern w:val="2"/>
          <w:sz w:val="24"/>
          <w:szCs w:val="24"/>
          <w:highlight w:val="none"/>
          <w:lang w:val="en-US" w:eastAsia="zh-CN" w:bidi="ar-SA"/>
        </w:rPr>
        <w:t>R2</w:t>
      </w:r>
      <w:r>
        <w:rPr>
          <w:rFonts w:hint="eastAsia" w:ascii="宋体" w:hAnsi="宋体" w:cs="宋体"/>
          <w:b/>
          <w:color w:val="000000"/>
          <w:sz w:val="24"/>
          <w:highlight w:val="none"/>
        </w:rPr>
        <w:t>〗,〖</w:t>
      </w:r>
      <w:r>
        <w:rPr>
          <w:rFonts w:hint="eastAsia" w:ascii="宋体" w:hAnsi="宋体" w:eastAsia="宋体" w:cs="宋体"/>
          <w:b/>
          <w:color w:val="000000"/>
          <w:kern w:val="2"/>
          <w:sz w:val="24"/>
          <w:szCs w:val="24"/>
          <w:highlight w:val="none"/>
          <w:lang w:val="en-US" w:eastAsia="zh-CN" w:bidi="ar-SA"/>
        </w:rPr>
        <w:t>中低</w:t>
      </w:r>
      <w:r>
        <w:rPr>
          <w:rFonts w:hint="eastAsia" w:ascii="宋体" w:hAnsi="宋体" w:cs="宋体"/>
          <w:b/>
          <w:color w:val="000000"/>
          <w:sz w:val="24"/>
          <w:highlight w:val="none"/>
        </w:rPr>
        <w:t>〗风险</w:t>
      </w:r>
      <w:r>
        <w:rPr>
          <w:rFonts w:hint="eastAsia" w:ascii="宋体" w:hAnsi="宋体" w:cs="宋体"/>
          <w:bCs/>
          <w:color w:val="000000"/>
          <w:sz w:val="24"/>
          <w:highlight w:val="none"/>
        </w:rPr>
        <w:t>（本风险等级为我公司内部风险评级结果，仅供参考</w:t>
      </w:r>
      <w:r>
        <w:rPr>
          <w:rFonts w:hint="eastAsia" w:ascii="宋体" w:hAnsi="宋体" w:cs="宋体"/>
          <w:bCs/>
          <w:color w:val="000000"/>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color w:val="000000"/>
          <w:sz w:val="24"/>
          <w:highlight w:val="none"/>
        </w:rPr>
        <w:t>），</w:t>
      </w:r>
      <w:r>
        <w:rPr>
          <w:rFonts w:hint="eastAsia" w:ascii="宋体" w:hAnsi="宋体" w:cs="宋体"/>
          <w:b/>
          <w:color w:val="000000"/>
          <w:sz w:val="24"/>
          <w:highlight w:val="none"/>
        </w:rPr>
        <w:t>总体风险〖</w:t>
      </w:r>
      <w:r>
        <w:rPr>
          <w:rFonts w:hint="eastAsia" w:ascii="宋体" w:hAnsi="宋体" w:eastAsia="宋体" w:cs="宋体"/>
          <w:b/>
          <w:color w:val="000000"/>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color w:val="000000"/>
          <w:sz w:val="24"/>
          <w:highlight w:val="none"/>
        </w:rPr>
        <w:t>〗。</w:t>
      </w:r>
    </w:p>
    <w:p>
      <w:pPr>
        <w:spacing w:line="360" w:lineRule="auto"/>
        <w:ind w:firstLine="482" w:firstLineChars="200"/>
        <w:jc w:val="left"/>
        <w:rPr>
          <w:rFonts w:hint="eastAsia" w:ascii="宋体" w:hAnsi="宋体" w:cs="宋体"/>
          <w:bCs/>
          <w:color w:val="000000"/>
          <w:sz w:val="24"/>
          <w:highlight w:val="none"/>
        </w:rPr>
      </w:pPr>
      <w:r>
        <w:rPr>
          <w:rFonts w:hint="eastAsia" w:ascii="宋体" w:hAnsi="宋体" w:cs="宋体"/>
          <w:b/>
          <w:color w:val="000000"/>
          <w:sz w:val="24"/>
          <w:highlight w:val="none"/>
        </w:rPr>
        <w:t>本理财计划适合</w:t>
      </w:r>
      <w:r>
        <w:rPr>
          <w:rFonts w:hint="eastAsia" w:ascii="宋体" w:hAnsi="宋体" w:eastAsia="宋体" w:cs="宋体"/>
          <w:b/>
          <w:color w:val="000000"/>
          <w:kern w:val="2"/>
          <w:sz w:val="24"/>
          <w:szCs w:val="24"/>
          <w:highlight w:val="none"/>
          <w:lang w:val="en-US" w:eastAsia="zh-CN" w:bidi="ar-SA"/>
        </w:rPr>
        <w:t>〖机构投资者〗以及〖稳健型、平衡型、成长型、进取型〗的个人投资者</w:t>
      </w:r>
      <w:r>
        <w:rPr>
          <w:rFonts w:hint="eastAsia" w:ascii="宋体" w:hAnsi="宋体" w:cs="宋体"/>
          <w:b/>
          <w:color w:val="000000"/>
          <w:sz w:val="24"/>
          <w:highlight w:val="none"/>
          <w:lang w:eastAsia="zh-CN"/>
        </w:rPr>
        <w:t>。</w:t>
      </w:r>
      <w:r>
        <w:rPr>
          <w:rFonts w:hint="eastAsia" w:ascii="宋体" w:hAnsi="宋体" w:cs="宋体"/>
          <w:b w:val="0"/>
          <w:bCs/>
          <w:color w:val="000000"/>
          <w:sz w:val="24"/>
          <w:highlight w:val="none"/>
          <w:lang w:val="en-US" w:eastAsia="zh-CN"/>
        </w:rPr>
        <w:t>本理财计划投资者适当性评估由销售机构负责，销售机构</w:t>
      </w:r>
      <w:r>
        <w:rPr>
          <w:rFonts w:hint="eastAsia" w:ascii="宋体" w:hAnsi="宋体" w:cs="宋体"/>
          <w:bCs/>
          <w:color w:val="000000"/>
          <w:sz w:val="24"/>
          <w:highlight w:val="none"/>
        </w:rPr>
        <w:t>应确保个人投资者的风险承受能力不低于本理财计划风险评级。</w:t>
      </w:r>
      <w:r>
        <w:rPr>
          <w:rFonts w:hint="eastAsia" w:ascii="宋体" w:hAnsi="宋体" w:cs="宋体"/>
          <w:bCs/>
          <w:color w:val="000000"/>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特别提示：杭银理财有限责任公司作为本</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管理人</w:t>
      </w:r>
      <w:r>
        <w:rPr>
          <w:rFonts w:hint="eastAsia" w:ascii="宋体" w:hAnsi="宋体" w:cs="宋体"/>
          <w:bCs/>
          <w:color w:val="000000"/>
          <w:sz w:val="24"/>
          <w:szCs w:val="24"/>
          <w:highlight w:val="none"/>
        </w:rPr>
        <w:t>有权按照</w:t>
      </w:r>
      <w:r>
        <w:rPr>
          <w:rFonts w:hint="eastAsia" w:ascii="宋体" w:hAnsi="宋体" w:cs="宋体"/>
          <w:bCs/>
          <w:color w:val="000000"/>
          <w:sz w:val="24"/>
          <w:highlight w:val="none"/>
        </w:rPr>
        <w:t>国内外反洗钱相关适用的</w:t>
      </w:r>
      <w:r>
        <w:rPr>
          <w:rFonts w:hint="eastAsia" w:ascii="宋体" w:hAnsi="宋体" w:cs="宋体"/>
          <w:bCs/>
          <w:color w:val="000000"/>
          <w:sz w:val="24"/>
          <w:szCs w:val="24"/>
          <w:highlight w:val="none"/>
        </w:rPr>
        <w:t>法律法规和监管要求，从</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szCs w:val="24"/>
          <w:highlight w:val="none"/>
        </w:rPr>
        <w:t>获</w:t>
      </w:r>
      <w:r>
        <w:rPr>
          <w:rFonts w:hint="eastAsia" w:ascii="宋体" w:hAnsi="宋体" w:cs="宋体"/>
          <w:bCs/>
          <w:color w:val="000000"/>
          <w:sz w:val="24"/>
          <w:highlight w:val="none"/>
        </w:rPr>
        <w:t>得相应必要的</w:t>
      </w:r>
      <w:r>
        <w:rPr>
          <w:rFonts w:hint="eastAsia" w:ascii="宋体" w:hAnsi="宋体" w:cs="宋体"/>
          <w:bCs/>
          <w:color w:val="000000"/>
          <w:sz w:val="24"/>
          <w:szCs w:val="24"/>
          <w:highlight w:val="none"/>
        </w:rPr>
        <w:t>投资者身份信息并报送投资者身份信息及其持有理财产品信息。</w:t>
      </w:r>
      <w:r>
        <w:rPr>
          <w:rFonts w:hint="eastAsia" w:ascii="宋体" w:hAnsi="宋体" w:cs="宋体"/>
          <w:bCs/>
          <w:color w:val="000000"/>
          <w:sz w:val="24"/>
          <w:szCs w:val="24"/>
          <w:highlight w:val="none"/>
          <w:lang w:eastAsia="zh-CN"/>
        </w:rPr>
        <w:t>销售机构</w:t>
      </w:r>
      <w:r>
        <w:rPr>
          <w:rFonts w:hint="eastAsia" w:ascii="宋体" w:hAnsi="宋体" w:cs="宋体"/>
          <w:bCs/>
          <w:color w:val="000000"/>
          <w:sz w:val="24"/>
          <w:highlight w:val="none"/>
        </w:rPr>
        <w:t>将</w:t>
      </w:r>
      <w:r>
        <w:rPr>
          <w:rFonts w:hint="eastAsia" w:ascii="宋体" w:hAnsi="宋体" w:cs="宋体"/>
          <w:bCs/>
          <w:color w:val="000000"/>
          <w:sz w:val="24"/>
          <w:szCs w:val="24"/>
          <w:highlight w:val="none"/>
        </w:rPr>
        <w:t>在</w:t>
      </w:r>
      <w:r>
        <w:rPr>
          <w:rFonts w:hint="eastAsia" w:ascii="宋体" w:hAnsi="宋体" w:cs="宋体"/>
          <w:bCs/>
          <w:color w:val="000000"/>
          <w:sz w:val="24"/>
          <w:highlight w:val="none"/>
        </w:rPr>
        <w:t>合法、合理且必要时向管理人</w:t>
      </w:r>
      <w:r>
        <w:rPr>
          <w:rFonts w:hint="eastAsia" w:ascii="宋体" w:hAnsi="宋体" w:cs="宋体"/>
          <w:bCs/>
          <w:color w:val="000000"/>
          <w:sz w:val="24"/>
          <w:szCs w:val="24"/>
          <w:highlight w:val="none"/>
        </w:rPr>
        <w:t>提供投资</w:t>
      </w:r>
      <w:r>
        <w:rPr>
          <w:rFonts w:hint="eastAsia" w:ascii="宋体" w:hAnsi="宋体" w:cs="宋体"/>
          <w:bCs/>
          <w:color w:val="000000"/>
          <w:sz w:val="24"/>
          <w:highlight w:val="none"/>
        </w:rPr>
        <w:t>者身份识别</w:t>
      </w:r>
      <w:r>
        <w:rPr>
          <w:rFonts w:hint="eastAsia" w:ascii="宋体" w:hAnsi="宋体" w:cs="宋体"/>
          <w:bCs/>
          <w:color w:val="000000"/>
          <w:sz w:val="24"/>
          <w:szCs w:val="24"/>
          <w:highlight w:val="none"/>
        </w:rPr>
        <w:t>信息（投资者身份</w:t>
      </w:r>
      <w:r>
        <w:rPr>
          <w:rFonts w:hint="eastAsia" w:ascii="宋体" w:hAnsi="宋体" w:cs="宋体"/>
          <w:bCs/>
          <w:color w:val="000000"/>
          <w:sz w:val="24"/>
          <w:highlight w:val="none"/>
        </w:rPr>
        <w:t>识别</w:t>
      </w:r>
      <w:r>
        <w:rPr>
          <w:rFonts w:hint="eastAsia" w:ascii="宋体" w:hAnsi="宋体" w:cs="宋体"/>
          <w:bCs/>
          <w:color w:val="000000"/>
          <w:sz w:val="24"/>
          <w:szCs w:val="24"/>
          <w:highlight w:val="none"/>
        </w:rPr>
        <w:t>信息包括</w:t>
      </w:r>
      <w:r>
        <w:rPr>
          <w:rFonts w:hint="eastAsia" w:ascii="宋体" w:hAnsi="宋体" w:cs="宋体"/>
          <w:bCs/>
          <w:color w:val="000000"/>
          <w:sz w:val="24"/>
          <w:highlight w:val="none"/>
        </w:rPr>
        <w:t>但不限于</w:t>
      </w:r>
      <w:r>
        <w:rPr>
          <w:rFonts w:hint="eastAsia" w:ascii="宋体" w:hAnsi="宋体" w:cs="宋体"/>
          <w:bCs/>
          <w:color w:val="000000"/>
          <w:sz w:val="24"/>
          <w:szCs w:val="24"/>
          <w:highlight w:val="none"/>
        </w:rPr>
        <w:t>：投资者的姓名、性别、国籍、职业、住所地或者工作单位地址、</w:t>
      </w:r>
      <w:r>
        <w:rPr>
          <w:rFonts w:hint="eastAsia" w:ascii="宋体" w:hAnsi="宋体" w:cs="宋体"/>
          <w:bCs/>
          <w:color w:val="000000"/>
          <w:sz w:val="24"/>
          <w:highlight w:val="none"/>
        </w:rPr>
        <w:t>常居地地址、</w:t>
      </w:r>
      <w:r>
        <w:rPr>
          <w:rFonts w:hint="eastAsia" w:ascii="宋体" w:hAnsi="宋体" w:cs="宋体"/>
          <w:bCs/>
          <w:color w:val="000000"/>
          <w:sz w:val="24"/>
          <w:szCs w:val="24"/>
          <w:highlight w:val="none"/>
        </w:rPr>
        <w:t>联系方式、身份证明文件的种类、号码和有效期限</w:t>
      </w:r>
      <w:r>
        <w:rPr>
          <w:rFonts w:hint="eastAsia" w:ascii="宋体" w:hAnsi="宋体" w:cs="宋体"/>
          <w:bCs/>
          <w:color w:val="000000"/>
          <w:sz w:val="24"/>
          <w:highlight w:val="none"/>
        </w:rPr>
        <w:t>、代理人信息、受益所有人信息</w:t>
      </w:r>
      <w:r>
        <w:rPr>
          <w:rFonts w:hint="eastAsia" w:ascii="宋体" w:hAnsi="宋体" w:cs="宋体"/>
          <w:bCs/>
          <w:color w:val="000000"/>
          <w:sz w:val="24"/>
          <w:szCs w:val="24"/>
          <w:highlight w:val="none"/>
        </w:rPr>
        <w:t>），以及</w:t>
      </w:r>
      <w:r>
        <w:rPr>
          <w:rFonts w:hint="eastAsia" w:ascii="宋体" w:hAnsi="宋体" w:cs="宋体"/>
          <w:bCs/>
          <w:color w:val="000000"/>
          <w:sz w:val="24"/>
          <w:highlight w:val="none"/>
        </w:rPr>
        <w:t>在合法、合理且必要时进一步提供</w:t>
      </w:r>
      <w:r>
        <w:rPr>
          <w:rFonts w:hint="eastAsia" w:ascii="宋体" w:hAnsi="宋体" w:cs="宋体"/>
          <w:bCs/>
          <w:color w:val="000000"/>
          <w:sz w:val="24"/>
          <w:szCs w:val="24"/>
          <w:highlight w:val="none"/>
        </w:rPr>
        <w:t>身份证明文件的复印件和影印件</w:t>
      </w:r>
      <w:r>
        <w:rPr>
          <w:rFonts w:hint="eastAsia" w:ascii="宋体" w:hAnsi="宋体" w:cs="宋体"/>
          <w:bCs/>
          <w:color w:val="000000"/>
          <w:sz w:val="24"/>
          <w:highlight w:val="none"/>
        </w:rPr>
        <w:t>以及其他必要信息</w:t>
      </w:r>
      <w:r>
        <w:rPr>
          <w:rFonts w:hint="eastAsia" w:ascii="宋体" w:hAnsi="宋体" w:cs="宋体"/>
          <w:bCs/>
          <w:color w:val="000000"/>
          <w:sz w:val="24"/>
          <w:szCs w:val="24"/>
          <w:highlight w:val="none"/>
        </w:rPr>
        <w:t>。投资者签署</w:t>
      </w:r>
      <w:r>
        <w:rPr>
          <w:rFonts w:hint="eastAsia" w:ascii="宋体" w:hAnsi="宋体" w:cs="宋体"/>
          <w:bCs/>
          <w:color w:val="000000"/>
          <w:sz w:val="24"/>
          <w:highlight w:val="none"/>
        </w:rPr>
        <w:t>后</w:t>
      </w:r>
      <w:r>
        <w:rPr>
          <w:rFonts w:hint="eastAsia" w:ascii="宋体" w:hAnsi="宋体" w:cs="宋体"/>
          <w:bCs/>
          <w:color w:val="000000"/>
          <w:sz w:val="24"/>
          <w:szCs w:val="24"/>
          <w:highlight w:val="none"/>
        </w:rPr>
        <w:t>即表示同意并配合提供前述信</w:t>
      </w:r>
      <w:r>
        <w:rPr>
          <w:rFonts w:hint="eastAsia" w:ascii="宋体" w:hAnsi="宋体" w:cs="宋体"/>
          <w:bCs/>
          <w:color w:val="000000"/>
          <w:sz w:val="24"/>
          <w:highlight w:val="none"/>
        </w:rPr>
        <w:t>息。</w:t>
      </w: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left"/>
        <w:rPr>
          <w:rFonts w:hint="eastAsia" w:ascii="宋体" w:hAnsi="宋体" w:cs="宋体"/>
          <w:bCs/>
          <w:color w:val="000000"/>
          <w:sz w:val="24"/>
          <w:highlight w:val="none"/>
        </w:rPr>
      </w:pPr>
    </w:p>
    <w:p>
      <w:pPr>
        <w:spacing w:line="360" w:lineRule="auto"/>
        <w:ind w:firstLine="480" w:firstLineChars="200"/>
        <w:jc w:val="right"/>
        <w:rPr>
          <w:rFonts w:hint="eastAsia" w:ascii="宋体" w:hAnsi="宋体" w:cs="宋体"/>
          <w:b/>
          <w:color w:val="000000"/>
          <w:highlight w:val="none"/>
        </w:rPr>
      </w:pPr>
      <w:r>
        <w:rPr>
          <w:rFonts w:hint="eastAsia" w:ascii="宋体" w:hAnsi="宋体" w:cs="宋体"/>
          <w:bCs/>
          <w:color w:val="000000"/>
          <w:sz w:val="24"/>
          <w:highlight w:val="none"/>
        </w:rPr>
        <w:t>风险提示方：杭银理财有限责任公司</w:t>
      </w:r>
    </w:p>
    <w:p>
      <w:pPr>
        <w:rPr>
          <w:rFonts w:hint="eastAsia" w:ascii="宋体" w:hAnsi="宋体" w:cs="宋体"/>
          <w:b/>
          <w:color w:val="000000"/>
          <w:highlight w:val="none"/>
        </w:rPr>
      </w:pPr>
      <w:r>
        <w:rPr>
          <w:rFonts w:hint="eastAsia" w:ascii="宋体" w:hAnsi="宋体" w:cs="宋体"/>
          <w:b/>
          <w:color w:val="000000"/>
          <w:highlight w:val="none"/>
        </w:rPr>
        <w:br w:type="page"/>
      </w:r>
    </w:p>
    <w:p>
      <w:pPr>
        <w:pStyle w:val="17"/>
        <w:pageBreakBefore/>
        <w:widowControl/>
        <w:spacing w:line="360" w:lineRule="auto"/>
        <w:ind w:left="0" w:leftChars="0"/>
        <w:jc w:val="center"/>
        <w:outlineLvl w:val="2"/>
        <w:rPr>
          <w:rFonts w:hint="eastAsia" w:ascii="宋体" w:hAnsi="宋体" w:cs="宋体"/>
          <w:b/>
          <w:color w:val="000000"/>
          <w:highlight w:val="none"/>
        </w:rPr>
      </w:pPr>
      <w:r>
        <w:rPr>
          <w:rFonts w:hint="eastAsia" w:ascii="宋体" w:hAnsi="宋体" w:cs="宋体"/>
          <w:b/>
          <w:color w:val="000000"/>
          <w:highlight w:val="none"/>
        </w:rPr>
        <w:t>投资者确认栏（个人投资者填写）</w:t>
      </w:r>
    </w:p>
    <w:p>
      <w:pPr>
        <w:pStyle w:val="17"/>
        <w:spacing w:line="360" w:lineRule="auto"/>
        <w:jc w:val="both"/>
        <w:rPr>
          <w:rFonts w:hint="eastAsia" w:ascii="宋体" w:hAnsi="宋体" w:cs="宋体"/>
          <w:b/>
          <w:color w:val="000000"/>
          <w:highlight w:val="none"/>
        </w:rPr>
      </w:pP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rPr>
        <w:t>本人经销售机构评估的风险承受能力等级为（投资者填写）：</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000000"/>
          <w:highlight w:val="none"/>
          <w:u w:val="single"/>
        </w:rPr>
      </w:pPr>
      <w:r>
        <w:rPr>
          <w:rFonts w:hint="eastAsia" w:ascii="宋体" w:hAnsi="宋体" w:cs="宋体"/>
          <w:color w:val="000000"/>
          <w:highlight w:val="none"/>
          <w:u w:val="single"/>
        </w:rPr>
        <w:t>如超过一年未进行风险承受能力评估或影响本人风险承受能力的因素发生变化，本人将于再次购买理财</w:t>
      </w:r>
      <w:r>
        <w:rPr>
          <w:rFonts w:hint="eastAsia" w:ascii="宋体" w:hAnsi="宋体" w:cs="宋体"/>
          <w:color w:val="000000"/>
          <w:highlight w:val="none"/>
          <w:u w:val="single"/>
          <w:lang w:eastAsia="zh-CN"/>
        </w:rPr>
        <w:t>计划</w:t>
      </w:r>
      <w:r>
        <w:rPr>
          <w:rFonts w:hint="eastAsia" w:ascii="宋体" w:hAnsi="宋体" w:cs="宋体"/>
          <w:color w:val="000000"/>
          <w:highlight w:val="none"/>
          <w:u w:val="single"/>
        </w:rPr>
        <w:t>时及时完成风险承受能力评估。</w:t>
      </w:r>
    </w:p>
    <w:p>
      <w:pPr>
        <w:pStyle w:val="17"/>
        <w:spacing w:line="360" w:lineRule="auto"/>
        <w:ind w:firstLine="472" w:firstLineChars="196"/>
        <w:jc w:val="both"/>
        <w:rPr>
          <w:rFonts w:hint="eastAsia" w:ascii="宋体" w:hAnsi="宋体" w:cs="宋体"/>
          <w:b/>
          <w:bCs/>
          <w:color w:val="000000"/>
          <w:highlight w:val="none"/>
          <w:u w:val="single"/>
        </w:rPr>
      </w:pPr>
      <w:r>
        <w:rPr>
          <w:rFonts w:hint="eastAsia" w:ascii="宋体" w:hAnsi="宋体" w:cs="宋体"/>
          <w:b/>
          <w:bCs/>
          <w:color w:val="000000"/>
          <w:highlight w:val="none"/>
          <w:u w:val="single"/>
        </w:rPr>
        <w:t>声明：本人已经认真阅读本风险揭示书以及《理财计划产品说明书》《投资者权益须知》《理财计划投资协议书》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000000"/>
          <w:highlight w:val="none"/>
          <w:u w:val="single"/>
          <w:lang w:eastAsia="zh-CN"/>
        </w:rPr>
        <w:t>《理财计划销售协议书》</w:t>
      </w:r>
      <w:r>
        <w:rPr>
          <w:rFonts w:hint="eastAsia" w:ascii="宋体" w:hAnsi="宋体" w:cs="宋体"/>
          <w:b/>
          <w:bCs/>
          <w:color w:val="000000"/>
          <w:highlight w:val="none"/>
          <w:u w:val="single"/>
        </w:rPr>
        <w:t>等本</w:t>
      </w:r>
      <w:r>
        <w:rPr>
          <w:rFonts w:hint="eastAsia" w:ascii="宋体" w:hAnsi="宋体" w:cs="宋体"/>
          <w:b/>
          <w:bCs/>
          <w:color w:val="000000"/>
          <w:highlight w:val="none"/>
          <w:u w:val="single"/>
          <w:lang w:eastAsia="zh-CN"/>
        </w:rPr>
        <w:t>理财计划</w:t>
      </w:r>
      <w:r>
        <w:rPr>
          <w:rFonts w:hint="eastAsia" w:ascii="宋体" w:hAnsi="宋体" w:cs="宋体"/>
          <w:b/>
          <w:bCs/>
          <w:color w:val="000000"/>
          <w:highlight w:val="none"/>
          <w:u w:val="single"/>
        </w:rPr>
        <w:t>合同全部内容，自愿且有能力承担投资本理财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的风险。</w:t>
      </w:r>
    </w:p>
    <w:p>
      <w:pPr>
        <w:pStyle w:val="17"/>
        <w:spacing w:line="360" w:lineRule="auto"/>
        <w:ind w:firstLine="472" w:firstLineChars="196"/>
        <w:jc w:val="both"/>
        <w:rPr>
          <w:rFonts w:ascii="宋体" w:hAnsi="宋体" w:cs="宋体"/>
          <w:b/>
          <w:bCs/>
          <w:color w:val="000000"/>
          <w:highlight w:val="none"/>
          <w:u w:val="single"/>
        </w:rPr>
      </w:pPr>
      <w:r>
        <w:rPr>
          <w:rFonts w:hint="eastAsia" w:ascii="宋体" w:hAnsi="宋体" w:cs="宋体"/>
          <w:b/>
          <w:bCs/>
          <w:color w:val="000000"/>
          <w:highlight w:val="none"/>
          <w:u w:val="single"/>
        </w:rPr>
        <w:t>本人购买本理财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的资金为合法自有资金，不存在使用借款、贷款等非自有资金的情形；且系为合法目的投资本理财</w:t>
      </w:r>
      <w:r>
        <w:rPr>
          <w:rFonts w:hint="eastAsia" w:ascii="宋体" w:hAnsi="宋体" w:cs="宋体"/>
          <w:b/>
          <w:bCs/>
          <w:color w:val="000000"/>
          <w:highlight w:val="none"/>
          <w:u w:val="single"/>
          <w:lang w:eastAsia="zh-CN"/>
        </w:rPr>
        <w:t>计划</w:t>
      </w:r>
      <w:r>
        <w:rPr>
          <w:rFonts w:hint="eastAsia" w:ascii="宋体" w:hAnsi="宋体" w:cs="宋体"/>
          <w:b/>
          <w:bCs/>
          <w:color w:val="000000"/>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000000"/>
          <w:highlight w:val="none"/>
        </w:rPr>
      </w:pPr>
      <w:r>
        <w:rPr>
          <w:rFonts w:hint="eastAsia" w:ascii="宋体" w:hAnsi="宋体" w:cs="宋体"/>
          <w:color w:val="000000"/>
          <w:highlight w:val="none"/>
        </w:rPr>
        <w:t>（投资者需全文抄录以下文字以完成确认：</w:t>
      </w:r>
      <w:r>
        <w:rPr>
          <w:rFonts w:hint="eastAsia" w:ascii="宋体" w:hAnsi="宋体" w:cs="宋体"/>
          <w:b/>
          <w:color w:val="000000"/>
          <w:highlight w:val="none"/>
        </w:rPr>
        <w:t>“本人已经阅读上述风险揭示，愿意承担投资风险。”</w:t>
      </w:r>
      <w:r>
        <w:rPr>
          <w:rFonts w:hint="eastAsia" w:ascii="宋体" w:hAnsi="宋体" w:cs="宋体"/>
          <w:b/>
          <w:color w:val="000000"/>
          <w:highlight w:val="none"/>
          <w:lang w:eastAsia="zh-CN"/>
        </w:rPr>
        <w:t>如通过线上渠道购买，认</w:t>
      </w:r>
      <w:r>
        <w:rPr>
          <w:rFonts w:hint="eastAsia" w:ascii="宋体" w:hAnsi="宋体" w:cs="宋体"/>
          <w:b/>
          <w:color w:val="000000"/>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000000"/>
          <w:highlight w:val="none"/>
        </w:rPr>
        <w:t xml:space="preserve">） </w:t>
      </w:r>
    </w:p>
    <w:p>
      <w:pPr>
        <w:pStyle w:val="17"/>
        <w:spacing w:line="360" w:lineRule="auto"/>
        <w:jc w:val="both"/>
        <w:rPr>
          <w:rFonts w:hint="eastAsia" w:ascii="宋体" w:hAnsi="宋体" w:cs="宋体"/>
          <w:color w:val="000000"/>
          <w:highlight w:val="none"/>
          <w:u w:val="single"/>
        </w:rPr>
      </w:pPr>
      <w:r>
        <w:rPr>
          <w:rFonts w:hint="eastAsia" w:ascii="宋体" w:hAnsi="宋体" w:cs="宋体"/>
          <w:color w:val="000000"/>
          <w:highlight w:val="none"/>
        </w:rPr>
        <w:t>本人同时确认如下：</w:t>
      </w:r>
      <w:r>
        <w:rPr>
          <w:rFonts w:hint="eastAsia" w:ascii="宋体" w:hAnsi="宋体" w:cs="宋体"/>
          <w:color w:val="000000"/>
          <w:highlight w:val="none"/>
          <w:u w:val="single"/>
        </w:rPr>
        <w:t xml:space="preserve">                                                          </w:t>
      </w:r>
    </w:p>
    <w:p>
      <w:pPr>
        <w:pStyle w:val="17"/>
        <w:spacing w:line="360" w:lineRule="auto"/>
        <w:jc w:val="both"/>
        <w:rPr>
          <w:rFonts w:hint="eastAsia" w:ascii="宋体" w:hAnsi="宋体" w:cs="宋体"/>
          <w:color w:val="000000"/>
          <w:highlight w:val="none"/>
        </w:rPr>
      </w:pPr>
      <w:r>
        <w:rPr>
          <w:rFonts w:hint="eastAsia" w:ascii="宋体" w:hAnsi="宋体" w:cs="宋体"/>
          <w:color w:val="000000"/>
          <w:highlight w:val="none"/>
          <w:u w:val="single"/>
        </w:rPr>
        <w:t xml:space="preserve">                                                                                </w:t>
      </w:r>
    </w:p>
    <w:p>
      <w:pPr>
        <w:spacing w:line="360" w:lineRule="auto"/>
        <w:rPr>
          <w:rFonts w:hint="eastAsia" w:ascii="宋体" w:hAnsi="宋体" w:cs="宋体"/>
          <w:color w:val="000000"/>
          <w:kern w:val="0"/>
          <w:sz w:val="24"/>
          <w:highlight w:val="none"/>
        </w:rPr>
      </w:pPr>
    </w:p>
    <w:p>
      <w:pPr>
        <w:spacing w:line="360" w:lineRule="auto"/>
        <w:rPr>
          <w:rFonts w:hint="eastAsia" w:ascii="宋体" w:hAnsi="宋体"/>
          <w:b/>
          <w:color w:val="000000"/>
          <w:kern w:val="0"/>
          <w:szCs w:val="21"/>
          <w:highlight w:val="none"/>
        </w:rPr>
      </w:pPr>
      <w:r>
        <w:rPr>
          <w:rFonts w:hint="eastAsia" w:ascii="宋体" w:hAnsi="宋体" w:cs="宋体"/>
          <w:color w:val="000000"/>
          <w:kern w:val="0"/>
          <w:sz w:val="24"/>
          <w:highlight w:val="none"/>
        </w:rPr>
        <w:t>确认人（签字）：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日期：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月</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日</w:t>
      </w:r>
    </w:p>
    <w:p>
      <w:pPr>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000000"/>
          <w:highlight w:val="none"/>
          <w:u w:val="none"/>
        </w:rPr>
      </w:pPr>
      <w:r>
        <w:rPr>
          <w:rFonts w:hint="eastAsia" w:ascii="宋体" w:hAnsi="宋体" w:eastAsia="宋体" w:cs="宋体"/>
          <w:b/>
          <w:bCs/>
          <w:color w:val="000000"/>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000000"/>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000000"/>
          <w:highlight w:val="none"/>
          <w:u w:val="single"/>
          <w:lang w:val="en-US" w:eastAsia="zh-CN"/>
        </w:rPr>
      </w:pPr>
      <w:r>
        <w:rPr>
          <w:rFonts w:hint="eastAsia" w:ascii="宋体" w:hAnsi="宋体" w:eastAsia="宋体" w:cs="宋体"/>
          <w:b/>
          <w:bCs/>
          <w:color w:val="000000"/>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jc w:val="both"/>
        <w:rPr>
          <w:rFonts w:hint="eastAsia" w:ascii="宋体" w:hAnsi="宋体" w:eastAsia="宋体" w:cs="宋体"/>
          <w:b w:val="0"/>
          <w:bCs w:val="0"/>
          <w:color w:val="000000"/>
          <w:highlight w:val="none"/>
          <w:u w:val="none"/>
          <w:lang w:val="en-US" w:eastAsia="zh-CN"/>
        </w:rPr>
      </w:pPr>
      <w:r>
        <w:rPr>
          <w:rFonts w:hint="eastAsia" w:ascii="宋体" w:hAnsi="宋体" w:eastAsia="宋体" w:cs="宋体"/>
          <w:b w:val="0"/>
          <w:bCs w:val="0"/>
          <w:color w:val="000000"/>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000000"/>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000000"/>
          <w:highlight w:val="none"/>
          <w:u w:val="none"/>
          <w:lang w:val="en-US" w:eastAsia="zh-CN"/>
        </w:rPr>
        <w:t>日期：</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年</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月</w:t>
      </w:r>
      <w:r>
        <w:rPr>
          <w:rFonts w:hint="eastAsia" w:ascii="宋体" w:hAnsi="宋体" w:cs="宋体"/>
          <w:color w:val="000000"/>
          <w:kern w:val="0"/>
          <w:sz w:val="24"/>
          <w:highlight w:val="none"/>
          <w:u w:val="single"/>
        </w:rPr>
        <w:t xml:space="preserve">    </w:t>
      </w:r>
      <w:r>
        <w:rPr>
          <w:rFonts w:hint="eastAsia" w:ascii="宋体" w:hAnsi="宋体" w:eastAsia="宋体" w:cs="宋体"/>
          <w:b w:val="0"/>
          <w:bCs w:val="0"/>
          <w:color w:val="000000"/>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color w:val="000000"/>
                        <w:sz w:val="18"/>
                      </w:rPr>
                      <w:instrText xml:space="preserve"> PAGE  \* MERGEFORMAT </w:instrText>
                    </w:r>
                    <w:r>
                      <w:rPr>
                        <w:rFonts w:hint="eastAsia"/>
                        <w:sz w:val="18"/>
                      </w:rPr>
                      <w:fldChar w:fldCharType="separate"/>
                    </w:r>
                    <w:r>
                      <w:rPr>
                        <w:color w:val="000000"/>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color w:val="000000"/>
      </w:rPr>
      <w:t>理财非存款 产品有风险 投资须谨慎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6A67648"/>
    <w:rsid w:val="07506656"/>
    <w:rsid w:val="089F06F0"/>
    <w:rsid w:val="08EC59C1"/>
    <w:rsid w:val="08FB2D6B"/>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B4091D"/>
    <w:rsid w:val="41F528C8"/>
    <w:rsid w:val="422D311F"/>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4C6103"/>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2860E1"/>
    <w:rsid w:val="73F5BB6D"/>
    <w:rsid w:val="73FC9A3F"/>
    <w:rsid w:val="751974A1"/>
    <w:rsid w:val="758B30E4"/>
    <w:rsid w:val="75F42331"/>
    <w:rsid w:val="761F7C3C"/>
    <w:rsid w:val="76683D2A"/>
    <w:rsid w:val="76C62D9E"/>
    <w:rsid w:val="76DF52A4"/>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84392690"/>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42203</Words>
  <Characters>46247</Characters>
  <Lines>1</Lines>
  <Paragraphs>1</Paragraphs>
  <TotalTime>4</TotalTime>
  <ScaleCrop>false</ScaleCrop>
  <LinksUpToDate>false</LinksUpToDate>
  <CharactersWithSpaces>46782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hccb</cp:lastModifiedBy>
  <dcterms:modified xsi:type="dcterms:W3CDTF">2026-06-25T03:05:52Z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2886C8A4E11EE72F4C9F176AE739E4AC_43</vt:lpwstr>
  </property>
  <property fmtid="{D5CDD505-2E9C-101B-9397-08002B2CF9AE}" pid="3" name="KSOProductBuildVer">
    <vt:lpwstr>2052-11.8.2.8411</vt:lpwstr>
  </property>
</Properties>
</file>