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276" w:lineRule="auto"/>
        <w:jc w:val="center"/>
        <w:outlineLvl w:val="0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</w:t>
      </w:r>
      <w:permStart w:id="0" w:edGrp="everyone"/>
      <w:r>
        <w:rPr>
          <w:rStyle w:val="11"/>
          <w:rFonts w:hint="eastAsia" w:ascii="黑体" w:hAnsi="黑体" w:eastAsia="黑体"/>
          <w:sz w:val="28"/>
          <w:szCs w:val="28"/>
        </w:rPr>
        <w:t>【</w:t>
      </w:r>
      <w:r>
        <w:rPr>
          <w:rFonts w:hint="eastAsia" w:ascii="黑体" w:hAnsi="黑体" w:eastAsia="黑体"/>
          <w:b/>
          <w:sz w:val="28"/>
          <w:szCs w:val="28"/>
        </w:rPr>
        <w:t>稳添利最短持有期日开固收类</w:t>
      </w:r>
      <w:r>
        <w:rPr>
          <w:rStyle w:val="11"/>
          <w:rFonts w:hint="eastAsia" w:ascii="黑体" w:hAnsi="黑体" w:eastAsia="黑体"/>
          <w:sz w:val="28"/>
          <w:szCs w:val="28"/>
        </w:rPr>
        <w:t>】</w:t>
      </w:r>
      <w:permEnd w:id="0"/>
      <w:r>
        <w:rPr>
          <w:rStyle w:val="11"/>
          <w:rFonts w:hint="eastAsia" w:ascii="黑体" w:hAnsi="黑体" w:eastAsia="黑体"/>
          <w:sz w:val="28"/>
          <w:szCs w:val="28"/>
        </w:rPr>
        <w:t>理财产品</w:t>
      </w:r>
    </w:p>
    <w:p>
      <w:pPr>
        <w:adjustRightInd w:val="0"/>
        <w:spacing w:line="276" w:lineRule="auto"/>
        <w:jc w:val="center"/>
        <w:outlineLvl w:val="0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jc w:val="center"/>
        <w:outlineLvl w:val="0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（适用于个人投资者）</w:t>
      </w:r>
    </w:p>
    <w:p>
      <w:pPr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1" w:edGrp="everyone"/>
      <w:r>
        <w:rPr>
          <w:rFonts w:hint="eastAsia" w:ascii="宋体" w:hAnsi="宋体"/>
          <w:sz w:val="18"/>
          <w:szCs w:val="18"/>
        </w:rPr>
        <w:t>【</w:t>
      </w:r>
      <w:bookmarkStart w:id="1" w:name="_GoBack"/>
      <w:bookmarkEnd w:id="1"/>
      <w:r>
        <w:rPr>
          <w:rFonts w:hint="eastAsia" w:ascii="宋体" w:hAnsi="宋体"/>
          <w:sz w:val="18"/>
          <w:szCs w:val="18"/>
        </w:rPr>
        <w:t>】</w:t>
      </w:r>
      <w:permEnd w:id="1"/>
      <w:r>
        <w:rPr>
          <w:rFonts w:hint="eastAsia" w:ascii="宋体" w:hAnsi="宋体"/>
          <w:sz w:val="18"/>
          <w:szCs w:val="18"/>
        </w:rPr>
        <w:t>以(</w:t>
      </w:r>
      <w:permStart w:id="2" w:edGrp="everyone"/>
      <w:r>
        <w:rPr>
          <w:rFonts w:hint="eastAsia" w:ascii="宋体" w:hAnsi="宋体"/>
          <w:sz w:val="18"/>
          <w:szCs w:val="18"/>
        </w:rPr>
        <w:t>□ 直销：产品管理人销售/</w:t>
      </w:r>
      <w:r>
        <w:rPr>
          <w:rFonts w:hint="eastAsia" w:ascii="宋体" w:hAnsi="宋体"/>
          <w:sz w:val="18"/>
          <w:szCs w:val="18"/>
        </w:rPr>
        <w:sym w:font="Wingdings 2" w:char="0052"/>
      </w:r>
      <w:r>
        <w:rPr>
          <w:rFonts w:hint="eastAsia" w:ascii="宋体" w:hAnsi="宋体"/>
          <w:sz w:val="18"/>
          <w:szCs w:val="18"/>
        </w:rPr>
        <w:t xml:space="preserve"> 代销：代理销售机构销售</w:t>
      </w:r>
      <w:permEnd w:id="2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</w:p>
    <w:p>
      <w:pPr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协议书》《产品说明书》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</w:t>
      </w:r>
      <w:r>
        <w:rPr>
          <w:rFonts w:ascii="宋体" w:hAnsi="宋体"/>
          <w:sz w:val="18"/>
          <w:szCs w:val="18"/>
        </w:rPr>
        <w:t>《风险揭示书》《投资者权益须知》以及其他有关文件（如有），确认已同意相关内容、充分了解相关风险并无疑问和异议后，签署相关销售文件，并办理购买手续。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>
      <w:pPr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.您购买理财产品前，应确保已完成风险承受能力评估且风险评估结果在有效期内，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bCs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2.</w:t>
      </w:r>
      <w:r>
        <w:rPr>
          <w:rFonts w:hint="eastAsia" w:ascii="宋体" w:hAnsi="宋体"/>
          <w:b/>
          <w:sz w:val="18"/>
          <w:szCs w:val="18"/>
        </w:rPr>
        <w:t>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投资者风险承受能力，个人投资者由低至高分为</w:t>
      </w:r>
      <w:permStart w:id="3" w:edGrp="everyone"/>
      <w:r>
        <w:rPr>
          <w:rFonts w:hint="eastAsia" w:ascii="宋体" w:hAnsi="宋体"/>
          <w:sz w:val="18"/>
          <w:szCs w:val="18"/>
        </w:rPr>
        <w:t>【C1至C</w:t>
      </w:r>
      <w:r>
        <w:rPr>
          <w:rFonts w:hint="eastAsia" w:ascii="宋体" w:hAnsi="宋体"/>
          <w:sz w:val="18"/>
          <w:szCs w:val="18"/>
          <w:lang w:val="en-US" w:eastAsia="zh-CN"/>
        </w:rPr>
        <w:t>6</w:t>
      </w:r>
      <w:r>
        <w:rPr>
          <w:rFonts w:ascii="宋体" w:hAnsi="宋体"/>
          <w:sz w:val="18"/>
          <w:szCs w:val="18"/>
        </w:rPr>
        <w:t>六</w:t>
      </w:r>
      <w:r>
        <w:rPr>
          <w:rFonts w:hint="eastAsia" w:ascii="宋体" w:hAnsi="宋体"/>
          <w:sz w:val="18"/>
          <w:szCs w:val="18"/>
        </w:rPr>
        <w:t>个等级】</w:t>
      </w:r>
      <w:permEnd w:id="3"/>
      <w:r>
        <w:rPr>
          <w:rFonts w:ascii="宋体" w:hAnsi="宋体"/>
          <w:sz w:val="18"/>
          <w:szCs w:val="18"/>
        </w:rPr>
        <w:t>。其中，</w:t>
      </w:r>
      <w:permStart w:id="4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hint="eastAsia" w:ascii="宋体" w:hAnsi="宋体"/>
          <w:sz w:val="18"/>
          <w:szCs w:val="18"/>
          <w:lang w:val="en-US" w:eastAsia="zh-CN"/>
        </w:rPr>
        <w:t>C1</w:t>
      </w:r>
      <w:r>
        <w:rPr>
          <w:rFonts w:hint="eastAsia" w:ascii="宋体" w:hAnsi="宋体"/>
          <w:sz w:val="18"/>
          <w:szCs w:val="18"/>
        </w:rPr>
        <w:t>】</w:t>
      </w:r>
      <w:permEnd w:id="4"/>
      <w:r>
        <w:rPr>
          <w:rFonts w:ascii="宋体" w:hAnsi="宋体"/>
          <w:sz w:val="18"/>
          <w:szCs w:val="18"/>
        </w:rPr>
        <w:t>为风险承受能力最低类别，</w:t>
      </w:r>
      <w:permStart w:id="5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hint="eastAsia" w:ascii="宋体" w:hAnsi="宋体"/>
          <w:sz w:val="18"/>
          <w:szCs w:val="18"/>
          <w:lang w:val="en-US" w:eastAsia="zh-CN"/>
        </w:rPr>
        <w:t>C6</w:t>
      </w:r>
      <w:r>
        <w:rPr>
          <w:rFonts w:hint="eastAsia" w:ascii="宋体" w:hAnsi="宋体"/>
          <w:sz w:val="18"/>
          <w:szCs w:val="18"/>
        </w:rPr>
        <w:t>】</w:t>
      </w:r>
      <w:permEnd w:id="5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860"/>
        <w:gridCol w:w="2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permStart w:id="6" w:edGrp="everyone"/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安逸型（R1）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本金风险低，产品投资目标不能实现的概率较低；或投资范围仅限于货币市场工具等风险极低的短期金融资产。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安逸型（C1）及以上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谨慎型（R2）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本金风险相对较小，收益浮动但相对较小。产品结构简单，过往业绩及净值的历史波动率低；投资标的流动性很好或为较高等级的信用主体；或者衍生品及杠杆交易对净值波动极小；估值政策清晰。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谨慎型（C2）及以上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稳健型（R3）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有一定的本金风险，收益浮动且有一定波动。产品结构简单，过往业绩及净值的历史波动率较低；投资标的流动性好或为中等及以上的信用主体；或者投资衍生品以套期保值为目的，衍生品及杠杆交易对净值波动较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稳健型（C3）及以上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增长型（R4）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较大。产品主要投资于流动性较好的投资标的，产品结构简单，但收益浮动且波动很大，过往业绩及净值的历史波动率较高；或者投资标的流动性较差或为中等以下的信用主体，但产品结构简单，且不投资于衍生品及杠杆交易；估值政策简单；或者投资衍生品以套期保值为目的，衍生品及杠杆交易对净值波动较大，估值政策较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增长型（C4）及以上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进取型（R5）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很大，收益浮动且波动很大。产品结构较复杂，过往业绩及净值的历史波动率高；或者投资标的流动性较差或为低等级的信用主体，期限较长；或者投资衍生品以追求收益为目的，衍生品及杠杆交易对净值波动很大；估值政策较复杂。投资者要作出谨慎的产品选择，积极的关注相关风险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进取型（C5）及以上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激进型（R6）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极大，收益浮动且波动极大。产品结构复杂，过往业绩及净值的历史波动率很高；或者投资标的流动性很差或为极低等级的信用主体，期限很长；或者投资衍生品以追求收益为目的，衍生品及杠杆交易对净值波动极大；估值政策非常复杂。投资者需要非常谨慎的产品选择、十分积极的关注相关风险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激进型（C6） </w:t>
            </w:r>
          </w:p>
        </w:tc>
      </w:tr>
      <w:permEnd w:id="6"/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 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ind w:firstLine="361" w:firstLineChars="200"/>
        <w:outlineLvl w:val="1"/>
        <w:rPr>
          <w:rFonts w:asciiTheme="minorEastAsia" w:hAnsiTheme="minorEastAsia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0" w:firstLineChars="200"/>
        <w:outlineLvl w:val="2"/>
        <w:rPr>
          <w:rFonts w:ascii="宋体" w:hAnsi="宋体"/>
          <w:sz w:val="18"/>
          <w:szCs w:val="18"/>
        </w:rPr>
      </w:pPr>
      <w:bookmarkStart w:id="0" w:name="_Hlk64707831"/>
      <w:r>
        <w:rPr>
          <w:rFonts w:hint="eastAsia" w:ascii="宋体" w:hAnsi="宋体"/>
          <w:sz w:val="18"/>
          <w:szCs w:val="18"/>
        </w:rPr>
        <w:t>1.产品管理人：兴银理财有限责任公司</w:t>
      </w:r>
    </w:p>
    <w:bookmarkEnd w:id="0"/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</w:p>
    <w:p>
      <w:pPr>
        <w:spacing w:line="280" w:lineRule="atLeast"/>
        <w:ind w:firstLine="360" w:firstLineChars="200"/>
        <w:outlineLvl w:val="2"/>
        <w:rPr>
          <w:rFonts w:ascii="宋体" w:hAnsi="宋体"/>
          <w:sz w:val="18"/>
          <w:szCs w:val="18"/>
        </w:rPr>
      </w:pPr>
      <w:permStart w:id="7" w:edGrp="everyone"/>
      <w:r>
        <w:rPr>
          <w:rFonts w:hint="eastAsia" w:ascii="宋体" w:hAnsi="宋体"/>
          <w:sz w:val="18"/>
          <w:szCs w:val="18"/>
        </w:rPr>
        <w:t>2.</w:t>
      </w:r>
      <w:r>
        <w:rPr>
          <w:rFonts w:ascii="宋体" w:hAnsi="宋体"/>
          <w:sz w:val="18"/>
          <w:szCs w:val="18"/>
        </w:rPr>
        <w:t>销售机构</w:t>
      </w:r>
      <w:r>
        <w:rPr>
          <w:rFonts w:hint="eastAsia" w:ascii="宋体" w:hAnsi="宋体"/>
          <w:sz w:val="18"/>
          <w:szCs w:val="18"/>
        </w:rPr>
        <w:t>：兴业银行股份有限公司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兴业银行理财经理或兴业银行各营业网点。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hint="eastAsia" w:ascii="宋体" w:hAnsi="宋体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ind w:firstLine="360" w:firstLineChars="200"/>
        <w:outlineLvl w:val="2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3.销售机构：【】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【】</w:t>
      </w:r>
    </w:p>
    <w:permEnd w:id="7"/>
    <w:p>
      <w:pPr>
        <w:autoSpaceDE w:val="0"/>
        <w:autoSpaceDN w:val="0"/>
        <w:adjustRightInd w:val="0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adjustRightInd w:val="0"/>
        <w:spacing w:line="280" w:lineRule="atLeast"/>
        <w:jc w:val="center"/>
        <w:outlineLvl w:val="0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</w:t>
      </w:r>
      <w:permStart w:id="8" w:edGrp="everyone"/>
      <w:r>
        <w:rPr>
          <w:rStyle w:val="11"/>
          <w:rFonts w:hint="eastAsia" w:ascii="黑体" w:hAnsi="黑体" w:eastAsia="黑体"/>
          <w:sz w:val="28"/>
          <w:szCs w:val="28"/>
        </w:rPr>
        <w:t>【</w:t>
      </w:r>
      <w:r>
        <w:rPr>
          <w:rFonts w:hint="eastAsia" w:ascii="黑体" w:hAnsi="黑体" w:eastAsia="黑体"/>
          <w:b/>
          <w:sz w:val="28"/>
          <w:szCs w:val="28"/>
        </w:rPr>
        <w:t>稳添利最短持有期日开固收类</w:t>
      </w:r>
      <w:r>
        <w:rPr>
          <w:rStyle w:val="11"/>
          <w:rFonts w:hint="eastAsia" w:ascii="黑体" w:hAnsi="黑体" w:eastAsia="黑体"/>
          <w:sz w:val="28"/>
          <w:szCs w:val="28"/>
        </w:rPr>
        <w:t>】</w:t>
      </w:r>
      <w:permEnd w:id="8"/>
      <w:r>
        <w:rPr>
          <w:rStyle w:val="11"/>
          <w:rFonts w:hint="eastAsia" w:ascii="黑体" w:hAnsi="黑体" w:eastAsia="黑体"/>
          <w:sz w:val="28"/>
          <w:szCs w:val="28"/>
        </w:rPr>
        <w:t>理财产品</w:t>
      </w:r>
    </w:p>
    <w:p>
      <w:pPr>
        <w:adjustRightInd w:val="0"/>
        <w:spacing w:line="280" w:lineRule="atLeast"/>
        <w:jc w:val="center"/>
        <w:outlineLvl w:val="0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spacing w:line="280" w:lineRule="atLeast"/>
        <w:jc w:val="center"/>
        <w:outlineLvl w:val="0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</w:t>
      </w:r>
      <w:permStart w:id="9" w:edGrp="everyone"/>
      <w:r>
        <w:rPr>
          <w:rFonts w:hint="eastAsia" w:hAnsi="宋体"/>
          <w:b/>
          <w:color w:val="auto"/>
          <w:sz w:val="28"/>
          <w:szCs w:val="28"/>
        </w:rPr>
        <w:t>机构投资者</w:t>
      </w:r>
      <w:permEnd w:id="9"/>
      <w:r>
        <w:rPr>
          <w:rFonts w:hint="eastAsia" w:hAnsi="宋体"/>
          <w:b/>
          <w:color w:val="auto"/>
          <w:sz w:val="28"/>
          <w:szCs w:val="28"/>
        </w:rPr>
        <w:t>）</w:t>
      </w:r>
    </w:p>
    <w:p>
      <w:pPr>
        <w:spacing w:line="280" w:lineRule="atLeast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10" w:edGrp="everyone"/>
      <w:r>
        <w:rPr>
          <w:rFonts w:hint="eastAsia" w:ascii="宋体" w:hAnsi="宋体"/>
          <w:sz w:val="18"/>
          <w:szCs w:val="18"/>
        </w:rPr>
        <w:t>【】</w:t>
      </w:r>
      <w:permEnd w:id="10"/>
      <w:r>
        <w:rPr>
          <w:rFonts w:hint="eastAsia" w:ascii="宋体" w:hAnsi="宋体"/>
          <w:sz w:val="18"/>
          <w:szCs w:val="18"/>
        </w:rPr>
        <w:t>以(</w:t>
      </w:r>
      <w:permStart w:id="11" w:edGrp="everyone"/>
      <w:r>
        <w:rPr>
          <w:rFonts w:hint="eastAsia" w:ascii="宋体" w:hAnsi="宋体"/>
          <w:sz w:val="18"/>
          <w:szCs w:val="18"/>
        </w:rPr>
        <w:t>□ 直销：产品管理人销售/□ 代销：代理销售机构销售</w:t>
      </w:r>
      <w:permEnd w:id="11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</w:p>
    <w:p>
      <w:pPr>
        <w:spacing w:line="280" w:lineRule="atLeast"/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协议书》《产品说明书》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</w:t>
      </w:r>
      <w:r>
        <w:rPr>
          <w:rFonts w:ascii="宋体" w:hAnsi="宋体"/>
          <w:sz w:val="18"/>
          <w:szCs w:val="18"/>
        </w:rPr>
        <w:t>《风险揭示书》《投资者权益须知》以及其他有关文件（如有），确认已同意相关内容、充分了解相关风险并无疑问和异议后，签署相关销售文件，并办理购买手续。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>
      <w:pPr>
        <w:spacing w:line="280" w:lineRule="atLeast"/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spacing w:line="280" w:lineRule="atLeast"/>
        <w:ind w:firstLine="360" w:firstLineChars="200"/>
        <w:rPr>
          <w:rFonts w:ascii="宋体" w:hAnsi="宋体"/>
          <w:bCs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您购买理财产品前，应确保已完成风险承受能力评估且风险评估结果在有效期内。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bCs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2</w:t>
      </w:r>
      <w:r>
        <w:rPr>
          <w:rFonts w:hint="eastAsia" w:ascii="宋体" w:hAnsi="宋体"/>
          <w:b/>
          <w:sz w:val="18"/>
          <w:szCs w:val="18"/>
        </w:rPr>
        <w:t>.投资者风险承受能力评级与理财产品风险评级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投资者风险承受能力，机构投资者由低至高分为</w:t>
      </w:r>
      <w:permStart w:id="12" w:edGrp="everyone"/>
      <w:r>
        <w:rPr>
          <w:rFonts w:hint="eastAsia" w:ascii="宋体" w:hAnsi="宋体"/>
          <w:sz w:val="18"/>
          <w:szCs w:val="18"/>
        </w:rPr>
        <w:t>【】</w:t>
      </w:r>
      <w:permEnd w:id="12"/>
      <w:r>
        <w:rPr>
          <w:rFonts w:ascii="宋体" w:hAnsi="宋体"/>
          <w:sz w:val="18"/>
          <w:szCs w:val="18"/>
        </w:rPr>
        <w:t>。其中，</w:t>
      </w:r>
      <w:permStart w:id="13" w:edGrp="everyone"/>
      <w:r>
        <w:rPr>
          <w:rFonts w:hint="eastAsia" w:ascii="宋体" w:hAnsi="宋体"/>
          <w:sz w:val="18"/>
          <w:szCs w:val="18"/>
        </w:rPr>
        <w:t>【】</w:t>
      </w:r>
      <w:permEnd w:id="13"/>
      <w:r>
        <w:rPr>
          <w:rFonts w:ascii="宋体" w:hAnsi="宋体"/>
          <w:sz w:val="18"/>
          <w:szCs w:val="18"/>
        </w:rPr>
        <w:t>为风险承受能力最低类别，</w:t>
      </w:r>
      <w:permStart w:id="14" w:edGrp="everyone"/>
      <w:r>
        <w:rPr>
          <w:rFonts w:hint="eastAsia" w:ascii="宋体" w:hAnsi="宋体"/>
          <w:sz w:val="18"/>
          <w:szCs w:val="18"/>
        </w:rPr>
        <w:t>【】</w:t>
      </w:r>
      <w:permEnd w:id="14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4840"/>
        <w:gridCol w:w="28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permStart w:id="15" w:edGrp="everyone"/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permEnd w:id="15"/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 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spacing w:line="280" w:lineRule="atLeast"/>
        <w:ind w:firstLine="361" w:firstLineChars="200"/>
        <w:outlineLvl w:val="1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spacing w:line="280" w:lineRule="atLeast"/>
        <w:ind w:firstLine="361" w:firstLineChars="200"/>
        <w:outlineLvl w:val="1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（二）联络方式：</w:t>
      </w:r>
    </w:p>
    <w:p>
      <w:pPr>
        <w:ind w:firstLine="360" w:firstLineChars="200"/>
        <w:outlineLvl w:val="2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1.产品管理人：兴银理财有限责任公司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</w:p>
    <w:p>
      <w:pPr>
        <w:spacing w:line="280" w:lineRule="atLeast"/>
        <w:ind w:firstLine="360" w:firstLineChars="200"/>
        <w:outlineLvl w:val="2"/>
        <w:rPr>
          <w:rFonts w:ascii="宋体" w:hAnsi="宋体"/>
          <w:sz w:val="18"/>
          <w:szCs w:val="18"/>
        </w:rPr>
      </w:pPr>
      <w:permStart w:id="16" w:edGrp="everyone"/>
      <w:r>
        <w:rPr>
          <w:rFonts w:hint="eastAsia" w:ascii="宋体" w:hAnsi="宋体"/>
          <w:sz w:val="18"/>
          <w:szCs w:val="18"/>
        </w:rPr>
        <w:t>2.</w:t>
      </w:r>
      <w:r>
        <w:rPr>
          <w:rFonts w:ascii="宋体" w:hAnsi="宋体"/>
          <w:sz w:val="18"/>
          <w:szCs w:val="18"/>
        </w:rPr>
        <w:t>销售机构</w:t>
      </w:r>
      <w:r>
        <w:rPr>
          <w:rFonts w:hint="eastAsia" w:ascii="宋体" w:hAnsi="宋体"/>
          <w:sz w:val="18"/>
          <w:szCs w:val="18"/>
        </w:rPr>
        <w:t>：兴业银行股份有限公司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兴业银行理财经理或兴业银行各营业网点。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hint="eastAsia" w:ascii="宋体" w:hAnsi="宋体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ind w:firstLine="360" w:firstLineChars="200"/>
        <w:outlineLvl w:val="2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3.销售机构：【】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【】</w:t>
      </w:r>
    </w:p>
    <w:permEnd w:id="16"/>
    <w:p>
      <w:pPr>
        <w:autoSpaceDE w:val="0"/>
        <w:autoSpaceDN w:val="0"/>
        <w:adjustRightInd w:val="0"/>
        <w:spacing w:line="280" w:lineRule="atLeast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widowControl/>
        <w:spacing w:line="280" w:lineRule="atLeast"/>
        <w:jc w:val="lef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567" w:footer="96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03202528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Times New Roman" w:hAnsi="Times New Roman" w:eastAsia="宋体" w:cs="Times New Roman"/>
        <w:b/>
        <w:szCs w:val="20"/>
      </w:rPr>
    </w:pPr>
    <w:r>
      <w:rPr>
        <w:rFonts w:hint="eastAsia" w:ascii="Times New Roman" w:hAnsi="Times New Roman" w:eastAsia="宋体" w:cs="Times New Roman"/>
        <w:b/>
        <w:szCs w:val="20"/>
      </w:rPr>
      <w:t>投资者权益须知</w:t>
    </w:r>
  </w:p>
  <w:p>
    <w:pPr>
      <w:pStyle w:val="6"/>
      <w:jc w:val="right"/>
      <w:rPr>
        <w:rFonts w:ascii="Times New Roman" w:hAnsi="Times New Roman" w:eastAsia="宋体" w:cs="Times New Roman"/>
        <w:b/>
        <w:szCs w:val="20"/>
      </w:rPr>
    </w:pPr>
    <w:r>
      <w:rPr>
        <w:rFonts w:hint="eastAsia" w:ascii="Times New Roman" w:hAnsi="Times New Roman" w:eastAsia="宋体" w:cs="Times New Roman"/>
        <w:b/>
        <w:szCs w:val="20"/>
      </w:rPr>
      <w:t>注：本文件由兴银理财有限责任公司统一编制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dit="readOnly" w:enforcement="1" w:cryptProviderType="rsaAES" w:cryptAlgorithmClass="hash" w:cryptAlgorithmType="typeAny" w:cryptAlgorithmSid="14" w:cryptSpinCount="100000" w:hash="GmxfW1ws+ZQDDbDuTwI+FFj6sVkfUusOcnxB5bwdcHEGuH8DW30ivZ1wqwnzLKCNutcN2DwjOuj91VYYacdF4Q==" w:salt="EZIz/KiB6JWHWUpDLGqR6A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wNTljODZlNmMxN2IxODkyNGQ0MzYwYjkyOGU4YWIifQ=="/>
  </w:docVars>
  <w:rsids>
    <w:rsidRoot w:val="00D237B3"/>
    <w:rsid w:val="00012DF8"/>
    <w:rsid w:val="00044E9D"/>
    <w:rsid w:val="000466D9"/>
    <w:rsid w:val="00052540"/>
    <w:rsid w:val="000921B4"/>
    <w:rsid w:val="000A2CB6"/>
    <w:rsid w:val="000C4846"/>
    <w:rsid w:val="000E1A5F"/>
    <w:rsid w:val="000E6147"/>
    <w:rsid w:val="00106877"/>
    <w:rsid w:val="001201EA"/>
    <w:rsid w:val="001242AF"/>
    <w:rsid w:val="00141624"/>
    <w:rsid w:val="00150670"/>
    <w:rsid w:val="00171420"/>
    <w:rsid w:val="00195672"/>
    <w:rsid w:val="001A48F9"/>
    <w:rsid w:val="001C6375"/>
    <w:rsid w:val="001E2A14"/>
    <w:rsid w:val="002462D8"/>
    <w:rsid w:val="00271331"/>
    <w:rsid w:val="00276F5A"/>
    <w:rsid w:val="00283229"/>
    <w:rsid w:val="00286FFE"/>
    <w:rsid w:val="002A6909"/>
    <w:rsid w:val="002B0017"/>
    <w:rsid w:val="002B6D4B"/>
    <w:rsid w:val="002C01C0"/>
    <w:rsid w:val="002E6656"/>
    <w:rsid w:val="002F133A"/>
    <w:rsid w:val="00376CFF"/>
    <w:rsid w:val="003B4628"/>
    <w:rsid w:val="003C3A9E"/>
    <w:rsid w:val="003D624D"/>
    <w:rsid w:val="004727B8"/>
    <w:rsid w:val="00493512"/>
    <w:rsid w:val="004A1091"/>
    <w:rsid w:val="004D586E"/>
    <w:rsid w:val="004E5B8C"/>
    <w:rsid w:val="005438C7"/>
    <w:rsid w:val="005514E2"/>
    <w:rsid w:val="00551C2F"/>
    <w:rsid w:val="00552ACB"/>
    <w:rsid w:val="00571A72"/>
    <w:rsid w:val="0058703C"/>
    <w:rsid w:val="005A0FFB"/>
    <w:rsid w:val="005A17EF"/>
    <w:rsid w:val="005D158B"/>
    <w:rsid w:val="005D405A"/>
    <w:rsid w:val="005E4F9A"/>
    <w:rsid w:val="00622E88"/>
    <w:rsid w:val="00641888"/>
    <w:rsid w:val="00661E32"/>
    <w:rsid w:val="006639A1"/>
    <w:rsid w:val="0067727A"/>
    <w:rsid w:val="006B20CA"/>
    <w:rsid w:val="006B237F"/>
    <w:rsid w:val="006E4016"/>
    <w:rsid w:val="006F690F"/>
    <w:rsid w:val="00705E58"/>
    <w:rsid w:val="00710B52"/>
    <w:rsid w:val="00776E9D"/>
    <w:rsid w:val="00781AA5"/>
    <w:rsid w:val="007B0970"/>
    <w:rsid w:val="007B0A84"/>
    <w:rsid w:val="007B231D"/>
    <w:rsid w:val="007C6A86"/>
    <w:rsid w:val="0080127B"/>
    <w:rsid w:val="00812B92"/>
    <w:rsid w:val="00820AF6"/>
    <w:rsid w:val="008A10A9"/>
    <w:rsid w:val="008A57A2"/>
    <w:rsid w:val="008C2FE9"/>
    <w:rsid w:val="008E7821"/>
    <w:rsid w:val="008E7C7D"/>
    <w:rsid w:val="00971F4B"/>
    <w:rsid w:val="009816B9"/>
    <w:rsid w:val="009B1EE5"/>
    <w:rsid w:val="009D1DC4"/>
    <w:rsid w:val="009E4DBC"/>
    <w:rsid w:val="00A112C9"/>
    <w:rsid w:val="00A21F06"/>
    <w:rsid w:val="00A646F7"/>
    <w:rsid w:val="00AA4438"/>
    <w:rsid w:val="00AB386C"/>
    <w:rsid w:val="00AC71D9"/>
    <w:rsid w:val="00B02055"/>
    <w:rsid w:val="00B314E7"/>
    <w:rsid w:val="00B507EB"/>
    <w:rsid w:val="00B75610"/>
    <w:rsid w:val="00B97EF3"/>
    <w:rsid w:val="00BE3E99"/>
    <w:rsid w:val="00BE4E6B"/>
    <w:rsid w:val="00BF7C2F"/>
    <w:rsid w:val="00C018F3"/>
    <w:rsid w:val="00C202DE"/>
    <w:rsid w:val="00C32FF7"/>
    <w:rsid w:val="00C37EB3"/>
    <w:rsid w:val="00C469CA"/>
    <w:rsid w:val="00C827C4"/>
    <w:rsid w:val="00C8683D"/>
    <w:rsid w:val="00C86FD7"/>
    <w:rsid w:val="00D01E10"/>
    <w:rsid w:val="00D237B3"/>
    <w:rsid w:val="00D56354"/>
    <w:rsid w:val="00D71983"/>
    <w:rsid w:val="00D917DB"/>
    <w:rsid w:val="00DB67D6"/>
    <w:rsid w:val="00DC481F"/>
    <w:rsid w:val="00DC6391"/>
    <w:rsid w:val="00DD5F6E"/>
    <w:rsid w:val="00E01CA3"/>
    <w:rsid w:val="00E077CB"/>
    <w:rsid w:val="00E5408F"/>
    <w:rsid w:val="00EA7D7F"/>
    <w:rsid w:val="00EF1A43"/>
    <w:rsid w:val="00F126D2"/>
    <w:rsid w:val="00F33265"/>
    <w:rsid w:val="00F47A61"/>
    <w:rsid w:val="00F55639"/>
    <w:rsid w:val="00F63C18"/>
    <w:rsid w:val="00F74AE2"/>
    <w:rsid w:val="00F81CAA"/>
    <w:rsid w:val="00FA461D"/>
    <w:rsid w:val="04AD52CA"/>
    <w:rsid w:val="0B797A95"/>
    <w:rsid w:val="0B9F34A1"/>
    <w:rsid w:val="0C5D06DA"/>
    <w:rsid w:val="15FC4C71"/>
    <w:rsid w:val="185F66D1"/>
    <w:rsid w:val="1AD57B25"/>
    <w:rsid w:val="1AD948AF"/>
    <w:rsid w:val="1F77307D"/>
    <w:rsid w:val="2BFB7161"/>
    <w:rsid w:val="335D4081"/>
    <w:rsid w:val="39ED66C8"/>
    <w:rsid w:val="3F1C6EED"/>
    <w:rsid w:val="44932583"/>
    <w:rsid w:val="52D44062"/>
    <w:rsid w:val="620D133E"/>
    <w:rsid w:val="65F638C3"/>
    <w:rsid w:val="69C60427"/>
    <w:rsid w:val="6A4C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TML Preformatted"/>
    <w:basedOn w:val="1"/>
    <w:link w:val="1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annotation reference"/>
    <w:qFormat/>
    <w:uiPriority w:val="0"/>
    <w:rPr>
      <w:sz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6">
    <w:name w:val="标题 1 Char"/>
    <w:basedOn w:val="10"/>
    <w:link w:val="2"/>
    <w:qFormat/>
    <w:uiPriority w:val="0"/>
    <w:rPr>
      <w:rFonts w:ascii="宋体" w:hAnsi="Times New Roman" w:eastAsia="宋体" w:cs="Times New Roman"/>
      <w:b/>
      <w:color w:val="000000"/>
      <w:kern w:val="0"/>
      <w:sz w:val="24"/>
      <w:szCs w:val="20"/>
    </w:rPr>
  </w:style>
  <w:style w:type="character" w:customStyle="1" w:styleId="17">
    <w:name w:val="HTML 预设格式 Char"/>
    <w:basedOn w:val="10"/>
    <w:link w:val="7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文字 Char"/>
    <w:basedOn w:val="10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文字 Char1"/>
    <w:basedOn w:val="10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0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主题 Char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paragraph" w:customStyle="1" w:styleId="2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4</Pages>
  <Words>429</Words>
  <Characters>2446</Characters>
  <Lines>20</Lines>
  <Paragraphs>5</Paragraphs>
  <TotalTime>0</TotalTime>
  <ScaleCrop>false</ScaleCrop>
  <LinksUpToDate>false</LinksUpToDate>
  <CharactersWithSpaces>2870</CharactersWithSpaces>
  <Application>WPS Office_11.8.2.10164_F1E327BC-269C-435d-A152-05C5408002CA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2024-08-28T12:47:00Z</dcterms:created>
  <dc:creator>胡骁潇</dc:creator>
  <cp:lastModifiedBy>cib</cp:lastModifiedBy>
  <dcterms:modified xsi:type="dcterms:W3CDTF">2025-10-31T09:41:15Z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2052-11.8.2.10164</vt:lpwstr>
  </property>
  <property fmtid="{D5CDD505-2E9C-101B-9397-08002B2CF9AE}" pid="3" name="ICV">
    <vt:lpwstr>F38CDB0A342847339B79C7443BD612BA</vt:lpwstr>
  </property>
</Properties>
</file>