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permStart w:id="0" w:edGrp="everyone"/>
      <w:r>
        <w:rPr>
          <w:rFonts w:hint="eastAsia" w:ascii="黑体" w:hAnsi="黑体" w:eastAsia="黑体"/>
          <w:b/>
          <w:bCs/>
          <w:sz w:val="28"/>
          <w:szCs w:val="28"/>
        </w:rPr>
        <w:t>兴银理财【稳添利最短持有期日开固收类】理财产品</w:t>
      </w:r>
      <w:permEnd w:id="0"/>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【兴银理财稳添利周盈66号(7天最短持有期)日开固收类理财产品】</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cs="仿宋_GB2312"/>
          <w:kern w:val="0"/>
          <w:sz w:val="18"/>
          <w:szCs w:val="18"/>
        </w:rPr>
        <w:t>【稳添利周盈66号C(兴普惠)】 (适用【C】类份额)
</w:t>
      </w:r>
      <w:r>
        <w:rPr>
          <w:rFonts w:hint="eastAsia" w:ascii="宋体" w:hAnsi="宋体" w:cs="仿宋_GB2312"/>
          <w:kern w:val="0"/>
          <w:sz w:val="18"/>
          <w:szCs w:val="18"/>
          <w:lang w:val="en-US" w:eastAsia="zh-CN"/>
        </w:rPr>
        <w:t xml:space="preserve"> </w:t>
      </w:r>
      <w:permEnd w:id="2"/>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【Z7002025000858】</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hint="eastAsia" w:ascii="宋体" w:hAnsi="宋体" w:cs="仿宋_GB2312"/>
          <w:kern w:val="0"/>
          <w:sz w:val="18"/>
          <w:szCs w:val="18"/>
        </w:rPr>
      </w:pPr>
      <w:permStart w:id="5" w:edGrp="everyone"/>
      <w:r>
        <w:rPr>
          <w:rFonts w:hint="eastAsia" w:ascii="宋体" w:hAnsi="宋体" w:cs="仿宋_GB2312"/>
          <w:kern w:val="0"/>
          <w:sz w:val="18"/>
          <w:szCs w:val="18"/>
        </w:rPr>
        <w:t>【□有固定期限</w:t>
      </w:r>
    </w:p>
    <w:p>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w:t>
      </w:r>
      <w:permStart w:id="6" w:edGrp="everyone"/>
      <w:r>
        <w:rPr>
          <w:rFonts w:hint="eastAsia" w:ascii="黑体" w:hAnsi="黑体" w:eastAsia="黑体" w:cs="黑体"/>
          <w:kern w:val="0"/>
          <w:sz w:val="18"/>
          <w:szCs w:val="18"/>
        </w:rPr>
        <w:t>【R2】</w:t>
      </w:r>
      <w:permEnd w:id="6"/>
      <w:r>
        <w:rPr>
          <w:rFonts w:hint="eastAsia" w:ascii="黑体" w:hAnsi="黑体" w:eastAsia="黑体" w:cs="黑体"/>
          <w:kern w:val="0"/>
          <w:sz w:val="18"/>
          <w:szCs w:val="18"/>
        </w:rPr>
        <w:t>（产品管理人定义的产品风险评级为</w:t>
      </w:r>
      <w:permStart w:id="7" w:edGrp="everyone"/>
      <w:r>
        <w:rPr>
          <w:rFonts w:hint="eastAsia" w:ascii="黑体" w:hAnsi="黑体" w:eastAsia="黑体" w:cs="黑体"/>
          <w:kern w:val="0"/>
          <w:sz w:val="18"/>
          <w:szCs w:val="18"/>
        </w:rPr>
        <w:t>【R2】</w:t>
      </w:r>
      <w:permEnd w:id="7"/>
      <w:r>
        <w:rPr>
          <w:rFonts w:hint="eastAsia" w:ascii="黑体" w:hAnsi="黑体" w:eastAsia="黑体" w:cs="黑体"/>
          <w:kern w:val="0"/>
          <w:sz w:val="18"/>
          <w:szCs w:val="18"/>
        </w:rPr>
        <w:t>；代理销售机构定义的产品风险评级为</w:t>
      </w:r>
      <w:permStart w:id="8" w:edGrp="everyone"/>
      <w:r>
        <w:rPr>
          <w:rFonts w:hint="eastAsia" w:ascii="黑体" w:hAnsi="黑体" w:eastAsia="黑体" w:cs="黑体"/>
          <w:kern w:val="0"/>
          <w:sz w:val="18"/>
          <w:szCs w:val="18"/>
        </w:rPr>
        <w:t>【R2】</w:t>
      </w:r>
      <w:permEnd w:id="8"/>
      <w:r>
        <w:rPr>
          <w:rFonts w:hint="eastAsia" w:ascii="黑体" w:hAnsi="黑体" w:eastAsia="黑体" w:cs="黑体"/>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hint="eastAsia"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 C1、■</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C2、■ C3、■ C4、■ C5</w:t>
      </w:r>
      <w:bookmarkStart w:id="0" w:name="_GoBack"/>
      <w:bookmarkEnd w:id="0"/>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 C1、■</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 xml:space="preserve"> </w:t>
      </w:r>
      <w:r>
        <w:rPr>
          <w:rFonts w:hint="eastAsia" w:asciiTheme="majorEastAsia" w:hAnsiTheme="majorEastAsia" w:eastAsiaTheme="majorEastAsia"/>
          <w:bCs/>
          <w:color w:val="000000" w:themeColor="text1"/>
          <w:sz w:val="18"/>
          <w:szCs w:val="18"/>
          <w14:textFill>
            <w14:solidFill>
              <w14:schemeClr w14:val="tx1"/>
            </w14:solidFill>
          </w14:textFill>
        </w:rPr>
        <w:t>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ind w:firstLine="360" w:firstLineChars="200"/>
        <w:rPr>
          <w:rFonts w:hint="eastAsia" w:ascii="宋体" w:hAnsi="宋体"/>
          <w:sz w:val="18"/>
          <w:szCs w:val="18"/>
        </w:rPr>
      </w:pPr>
      <w:permStart w:id="10" w:edGrp="everyone"/>
      <w:r>
        <w:rPr>
          <w:rFonts w:hint="eastAsia" w:ascii="宋体" w:hAnsi="宋体"/>
          <w:sz w:val="18"/>
          <w:szCs w:val="18"/>
          <w:lang w:eastAsia="zh-CN"/>
        </w:rPr>
        <w:t>【</w:t>
      </w:r>
      <w:r>
        <w:rPr>
          <w:rFonts w:hint="eastAsia" w:ascii="宋体" w:hAnsi="宋体"/>
          <w:sz w:val="18"/>
          <w:szCs w:val="18"/>
        </w:rPr>
        <w:t>1.拟投资市场和资产的风险：</w:t>
      </w:r>
    </w:p>
    <w:p>
      <w:pPr>
        <w:ind w:firstLine="360" w:firstLineChars="200"/>
        <w:rPr>
          <w:rFonts w:hint="eastAsia" w:ascii="宋体" w:hAnsi="宋体"/>
          <w:sz w:val="18"/>
          <w:szCs w:val="18"/>
        </w:rPr>
      </w:pPr>
      <w:r>
        <w:rPr>
          <w:rFonts w:hint="eastAsia" w:ascii="宋体" w:hAnsi="宋体"/>
          <w:sz w:val="18"/>
          <w:szCs w:val="18"/>
        </w:rPr>
        <w:t>（1）投资债权类资产的风险</w:t>
      </w:r>
    </w:p>
    <w:p>
      <w:pPr>
        <w:ind w:firstLine="360" w:firstLineChars="200"/>
        <w:rPr>
          <w:rFonts w:hint="eastAsia" w:ascii="宋体" w:hAnsi="宋体"/>
          <w:sz w:val="18"/>
          <w:szCs w:val="18"/>
        </w:rPr>
      </w:pPr>
      <w:r>
        <w:rPr>
          <w:rFonts w:hint="eastAsia" w:ascii="宋体" w:hAnsi="宋体"/>
          <w:sz w:val="18"/>
          <w:szCs w:val="18"/>
        </w:rPr>
        <w:t>1）投资标准化债权类资产的风险</w:t>
      </w:r>
    </w:p>
    <w:p>
      <w:pPr>
        <w:ind w:firstLine="360" w:firstLineChars="200"/>
        <w:rPr>
          <w:rFonts w:hint="eastAsia"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ind w:firstLine="360" w:firstLineChars="200"/>
        <w:rPr>
          <w:rFonts w:hint="eastAsia" w:ascii="宋体" w:hAnsi="宋体"/>
          <w:sz w:val="18"/>
          <w:szCs w:val="18"/>
        </w:rPr>
      </w:pPr>
      <w:r>
        <w:rPr>
          <w:rFonts w:hint="eastAsia" w:ascii="宋体" w:hAnsi="宋体"/>
          <w:sz w:val="18"/>
          <w:szCs w:val="18"/>
        </w:rPr>
        <w:t xml:space="preserve">（2）投资权益类资产的风险 </w:t>
      </w:r>
    </w:p>
    <w:p>
      <w:pPr>
        <w:ind w:firstLine="360" w:firstLineChars="200"/>
        <w:rPr>
          <w:rFonts w:hint="eastAsia" w:ascii="宋体" w:hAnsi="宋体"/>
          <w:sz w:val="18"/>
          <w:szCs w:val="18"/>
        </w:rPr>
      </w:pPr>
      <w:r>
        <w:rPr>
          <w:rFonts w:hint="eastAsia" w:ascii="宋体" w:hAnsi="宋体"/>
          <w:sz w:val="18"/>
          <w:szCs w:val="18"/>
        </w:rPr>
        <w:t>1）投资股票类资产的风险</w:t>
      </w:r>
    </w:p>
    <w:p>
      <w:pPr>
        <w:ind w:firstLine="360" w:firstLineChars="200"/>
        <w:rPr>
          <w:rFonts w:hint="eastAsia" w:ascii="宋体" w:hAnsi="宋体"/>
          <w:sz w:val="18"/>
          <w:szCs w:val="18"/>
        </w:rPr>
      </w:pPr>
      <w:r>
        <w:rPr>
          <w:rFonts w:hint="eastAsia" w:ascii="宋体" w:hAnsi="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ind w:firstLine="360" w:firstLineChars="200"/>
        <w:rPr>
          <w:rFonts w:hint="eastAsia" w:ascii="宋体" w:hAnsi="宋体"/>
          <w:sz w:val="18"/>
          <w:szCs w:val="18"/>
        </w:rPr>
      </w:pPr>
      <w:r>
        <w:rPr>
          <w:rFonts w:hint="eastAsia" w:ascii="宋体" w:hAnsi="宋体"/>
          <w:sz w:val="18"/>
          <w:szCs w:val="18"/>
        </w:rPr>
        <w:t xml:space="preserve">（3）投资商品和金融衍生品类资产的风险 </w:t>
      </w:r>
    </w:p>
    <w:p>
      <w:pPr>
        <w:ind w:firstLine="360" w:firstLineChars="200"/>
        <w:rPr>
          <w:rFonts w:hint="eastAsia"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ind w:firstLine="360" w:firstLineChars="200"/>
        <w:rPr>
          <w:rFonts w:hint="eastAsia" w:ascii="宋体" w:hAnsi="宋体"/>
          <w:sz w:val="18"/>
          <w:szCs w:val="18"/>
        </w:rPr>
      </w:pPr>
      <w:r>
        <w:rPr>
          <w:rFonts w:hint="eastAsia" w:ascii="宋体" w:hAnsi="宋体"/>
          <w:sz w:val="18"/>
          <w:szCs w:val="18"/>
        </w:rPr>
        <w:t>（4）投资可转债、可交债资产的风险</w:t>
      </w:r>
    </w:p>
    <w:p>
      <w:pPr>
        <w:ind w:firstLine="360" w:firstLineChars="200"/>
        <w:rPr>
          <w:rFonts w:ascii="宋体" w:hAnsi="宋体"/>
          <w:sz w:val="18"/>
          <w:szCs w:val="18"/>
        </w:rPr>
      </w:pPr>
      <w:r>
        <w:rPr>
          <w:rFonts w:hint="eastAsia" w:ascii="宋体" w:hAnsi="宋体"/>
          <w:sz w:val="18"/>
          <w:szCs w:val="18"/>
        </w:rPr>
        <w:t>本产品部分资金投资于可转债、可交债，需要承担可转债市场的流动性风险、由可转债对应正股股票价格波动带来的可转债价格波动风险，以及在转股期内由于可转债正股股票价格低于转股价而导致不能获得转股收益的风险等。可转债在发行时设置赎回条款，在触发赎回条件时发行人有权对转债进行赎回，一旦发行人赎回转债可能面临赎回价格低于转债市场价格的风险，并且转债被赎回后面临再投资的风险。</w:t>
      </w:r>
      <w:r>
        <w:rPr>
          <w:rFonts w:hint="eastAsia" w:ascii="宋体" w:hAnsi="宋体"/>
          <w:sz w:val="18"/>
          <w:szCs w:val="18"/>
          <w:lang w:eastAsia="zh-CN"/>
        </w:rPr>
        <w:t>】</w:t>
      </w:r>
      <w:permEnd w:id="10"/>
    </w:p>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4"/>
        <w:ind w:firstLine="426" w:firstLineChars="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hint="eastAsia" w:ascii="黑体" w:hAnsi="黑体" w:eastAsia="黑体" w:cs="黑体"/>
          <w:b/>
          <w:bCs/>
          <w:sz w:val="18"/>
          <w:szCs w:val="18"/>
        </w:rPr>
      </w:pPr>
      <w:r>
        <w:rPr>
          <w:rFonts w:hint="eastAsia" w:ascii="黑体" w:hAnsi="黑体" w:eastAsia="黑体" w:cs="黑体"/>
          <w:b/>
          <w:bCs/>
          <w:sz w:val="18"/>
          <w:szCs w:val="18"/>
        </w:rPr>
        <w:t>17.</w:t>
      </w:r>
      <w:r>
        <w:rPr>
          <w:rFonts w:hint="eastAsia" w:ascii="黑体" w:hAnsi="黑体" w:eastAsia="黑体" w:cs="仿宋_GB2312"/>
          <w:b/>
          <w:bCs/>
          <w:kern w:val="0"/>
          <w:sz w:val="18"/>
          <w:szCs w:val="18"/>
        </w:rPr>
        <w:t>★</w:t>
      </w:r>
      <w:r>
        <w:rPr>
          <w:rFonts w:hint="eastAsia" w:ascii="黑体" w:hAnsi="黑体" w:eastAsia="黑体" w:cs="黑体"/>
          <w:b/>
          <w:bCs/>
          <w:sz w:val="18"/>
          <w:szCs w:val="18"/>
        </w:rPr>
        <w:t>关联交易风险</w:t>
      </w:r>
    </w:p>
    <w:p>
      <w:pPr>
        <w:pStyle w:val="14"/>
        <w:ind w:firstLineChars="0"/>
        <w:rPr>
          <w:rFonts w:ascii="宋体" w:hAnsi="宋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五、《投资者风险承受能力评估问卷》用于评估普通投资者对金融工具及投资目标的相关风险的态度。普通投资者可根据评估结果确定所属投资者类型，购买适合的理财产品。如影响您风险承受能力的因素发生变化，请您及时重新完成风险承受能力评估。专业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bCs/>
          <w:sz w:val="18"/>
          <w:szCs w:val="18"/>
        </w:rPr>
        <w:t>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9"/>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b/>
                <w:bCs/>
                <w:kern w:val="0"/>
                <w:sz w:val="18"/>
                <w:szCs w:val="18"/>
              </w:rPr>
            </w:pPr>
            <w:r>
              <w:rPr>
                <w:rFonts w:hint="eastAsia"/>
                <w:b/>
                <w:bCs/>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9"/>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6"/>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2S9nD1xrxTMSbDGtKS6qCq5y5hQ=" w:salt="2hGtPGfGCQD84pU9gPPBH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124A4"/>
    <w:rsid w:val="00096AC8"/>
    <w:rsid w:val="000A244A"/>
    <w:rsid w:val="000B16F1"/>
    <w:rsid w:val="000B357F"/>
    <w:rsid w:val="000F0566"/>
    <w:rsid w:val="001104E8"/>
    <w:rsid w:val="00152999"/>
    <w:rsid w:val="001C5047"/>
    <w:rsid w:val="002354DB"/>
    <w:rsid w:val="00262560"/>
    <w:rsid w:val="002B4654"/>
    <w:rsid w:val="002B4BDD"/>
    <w:rsid w:val="002B63FC"/>
    <w:rsid w:val="002C604E"/>
    <w:rsid w:val="002F0B15"/>
    <w:rsid w:val="00346ED2"/>
    <w:rsid w:val="003660B4"/>
    <w:rsid w:val="00374070"/>
    <w:rsid w:val="00390D83"/>
    <w:rsid w:val="003B6DAC"/>
    <w:rsid w:val="003E1A68"/>
    <w:rsid w:val="003F1C32"/>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40FDE"/>
    <w:rsid w:val="00647B65"/>
    <w:rsid w:val="006538E1"/>
    <w:rsid w:val="00673739"/>
    <w:rsid w:val="006B4210"/>
    <w:rsid w:val="007143CD"/>
    <w:rsid w:val="0072580D"/>
    <w:rsid w:val="007303F6"/>
    <w:rsid w:val="00732C8C"/>
    <w:rsid w:val="007A4C26"/>
    <w:rsid w:val="007B017F"/>
    <w:rsid w:val="007C7189"/>
    <w:rsid w:val="0080662E"/>
    <w:rsid w:val="00836C1F"/>
    <w:rsid w:val="00894EE6"/>
    <w:rsid w:val="008A707D"/>
    <w:rsid w:val="008C1CE9"/>
    <w:rsid w:val="008D3E86"/>
    <w:rsid w:val="008E072A"/>
    <w:rsid w:val="008F2B54"/>
    <w:rsid w:val="00923A09"/>
    <w:rsid w:val="009525B5"/>
    <w:rsid w:val="00955293"/>
    <w:rsid w:val="009713C7"/>
    <w:rsid w:val="00980894"/>
    <w:rsid w:val="00981E5B"/>
    <w:rsid w:val="009B13AF"/>
    <w:rsid w:val="00A679D8"/>
    <w:rsid w:val="00A95D0C"/>
    <w:rsid w:val="00AD2AD0"/>
    <w:rsid w:val="00AE5AA3"/>
    <w:rsid w:val="00B06267"/>
    <w:rsid w:val="00B07DEF"/>
    <w:rsid w:val="00B35D81"/>
    <w:rsid w:val="00B3723D"/>
    <w:rsid w:val="00B71F84"/>
    <w:rsid w:val="00B73B8B"/>
    <w:rsid w:val="00B94B21"/>
    <w:rsid w:val="00BA3CE3"/>
    <w:rsid w:val="00BA71E5"/>
    <w:rsid w:val="00BB3A90"/>
    <w:rsid w:val="00BB513F"/>
    <w:rsid w:val="00BC1259"/>
    <w:rsid w:val="00BC2076"/>
    <w:rsid w:val="00BC398E"/>
    <w:rsid w:val="00BD36A3"/>
    <w:rsid w:val="00BE1A3A"/>
    <w:rsid w:val="00C0058E"/>
    <w:rsid w:val="00C01696"/>
    <w:rsid w:val="00C361E7"/>
    <w:rsid w:val="00C4233D"/>
    <w:rsid w:val="00CD0E2E"/>
    <w:rsid w:val="00D03CCD"/>
    <w:rsid w:val="00D268C3"/>
    <w:rsid w:val="00D3183A"/>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541A"/>
    <w:rsid w:val="00F1747E"/>
    <w:rsid w:val="00F34E57"/>
    <w:rsid w:val="00F54E02"/>
    <w:rsid w:val="00F57B20"/>
    <w:rsid w:val="00F8077D"/>
    <w:rsid w:val="00FD7473"/>
    <w:rsid w:val="02F62D9D"/>
    <w:rsid w:val="09B56D79"/>
    <w:rsid w:val="0E20418F"/>
    <w:rsid w:val="0F3144F8"/>
    <w:rsid w:val="13AB3552"/>
    <w:rsid w:val="158B6403"/>
    <w:rsid w:val="171B4C2E"/>
    <w:rsid w:val="1D545AC4"/>
    <w:rsid w:val="1D9858FD"/>
    <w:rsid w:val="23024B39"/>
    <w:rsid w:val="2F025C0E"/>
    <w:rsid w:val="36E61888"/>
    <w:rsid w:val="38895284"/>
    <w:rsid w:val="390838BE"/>
    <w:rsid w:val="3A70325E"/>
    <w:rsid w:val="488A3E72"/>
    <w:rsid w:val="4C713ADA"/>
    <w:rsid w:val="4CFA15FA"/>
    <w:rsid w:val="4EF90050"/>
    <w:rsid w:val="53863C95"/>
    <w:rsid w:val="563E373E"/>
    <w:rsid w:val="56E2588A"/>
    <w:rsid w:val="57DA6ECF"/>
    <w:rsid w:val="59250387"/>
    <w:rsid w:val="5CDE607C"/>
    <w:rsid w:val="5D3F4EA4"/>
    <w:rsid w:val="601969DF"/>
    <w:rsid w:val="614D6115"/>
    <w:rsid w:val="61FC2316"/>
    <w:rsid w:val="6600662F"/>
    <w:rsid w:val="66965880"/>
    <w:rsid w:val="6E3A25F0"/>
    <w:rsid w:val="702E2F9A"/>
    <w:rsid w:val="70330189"/>
    <w:rsid w:val="7A401DF0"/>
    <w:rsid w:val="7A7571B4"/>
    <w:rsid w:val="7C16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Indent"/>
    <w:basedOn w:val="1"/>
    <w:next w:val="1"/>
    <w:unhideWhenUsed/>
    <w:qFormat/>
    <w:uiPriority w:val="99"/>
    <w:pPr>
      <w:spacing w:after="120"/>
      <w:ind w:left="420" w:leftChars="2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10"/>
    <w:link w:val="2"/>
    <w:qFormat/>
    <w:uiPriority w:val="99"/>
    <w:rPr>
      <w:rFonts w:ascii="Calibri" w:hAnsi="Calibri" w:eastAsia="宋体" w:cs="宋体"/>
    </w:rPr>
  </w:style>
  <w:style w:type="character" w:customStyle="1" w:styleId="16">
    <w:name w:val="批注主题 Char"/>
    <w:basedOn w:val="15"/>
    <w:link w:val="7"/>
    <w:semiHidden/>
    <w:qFormat/>
    <w:uiPriority w:val="99"/>
    <w:rPr>
      <w:rFonts w:ascii="Calibri" w:hAnsi="Calibri" w:eastAsia="宋体" w:cs="宋体"/>
      <w:b/>
      <w:bCs/>
    </w:rPr>
  </w:style>
  <w:style w:type="character" w:customStyle="1" w:styleId="17">
    <w:name w:val="批注框文本 Char"/>
    <w:basedOn w:val="10"/>
    <w:link w:val="4"/>
    <w:semiHidden/>
    <w:qFormat/>
    <w:uiPriority w:val="99"/>
    <w:rPr>
      <w:rFonts w:ascii="Calibri" w:hAnsi="Calibri" w:eastAsia="宋体" w:cs="宋体"/>
      <w:sz w:val="18"/>
      <w:szCs w:val="18"/>
    </w:rPr>
  </w:style>
  <w:style w:type="paragraph" w:customStyle="1" w:styleId="18">
    <w:name w:val="修订1"/>
    <w:hidden/>
    <w:semiHidden/>
    <w:qFormat/>
    <w:uiPriority w:val="99"/>
    <w:rPr>
      <w:rFonts w:ascii="Calibri" w:hAnsi="Calibri" w:eastAsia="宋体" w:cs="宋体"/>
      <w:kern w:val="2"/>
      <w:sz w:val="21"/>
      <w:szCs w:val="22"/>
      <w:lang w:val="en-US" w:eastAsia="zh-CN" w:bidi="ar-SA"/>
    </w:rPr>
  </w:style>
  <w:style w:type="paragraph" w:customStyle="1" w:styleId="19">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685</Words>
  <Characters>3906</Characters>
  <Lines>32</Lines>
  <Paragraphs>9</Paragraphs>
  <TotalTime>1</TotalTime>
  <ScaleCrop>false</ScaleCrop>
  <LinksUpToDate>false</LinksUpToDate>
  <CharactersWithSpaces>4582</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2024-08-28T12:38:00Z</dcterms:created>
  <dc:creator>胡骁潇</dc:creator>
  <cp:lastModifiedBy>cib</cp:lastModifiedBy>
  <dcterms:modified xsi:type="dcterms:W3CDTF">2026-06-18T09:30:39Z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8C3451F4A9D547188BD69B541900499D</vt:lpwstr>
  </property>
</Properties>
</file>