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outlineLvl w:val="0"/>
        <w:rPr>
          <w:rStyle w:val="6"/>
          <w:rFonts w:ascii="黑体" w:hAnsi="黑体" w:eastAsia="黑体"/>
          <w:sz w:val="28"/>
          <w:szCs w:val="28"/>
        </w:rPr>
      </w:pPr>
      <w:r>
        <w:rPr>
          <w:rStyle w:val="6"/>
          <w:rFonts w:hint="eastAsia" w:ascii="黑体" w:hAnsi="黑体" w:eastAsia="黑体"/>
          <w:sz w:val="28"/>
          <w:szCs w:val="28"/>
        </w:rPr>
        <w:t>兴银理财</w:t>
      </w:r>
      <w:permStart w:id="0" w:edGrp="everyone"/>
      <w:r>
        <w:rPr>
          <w:rStyle w:val="6"/>
          <w:rFonts w:hint="eastAsia" w:ascii="黑体" w:hAnsi="黑体" w:eastAsia="黑体"/>
          <w:sz w:val="28"/>
          <w:szCs w:val="28"/>
        </w:rPr>
        <w:t>【稳添利日盈日开固收类】</w:t>
      </w:r>
      <w:permEnd w:id="0"/>
      <w:r>
        <w:rPr>
          <w:rStyle w:val="6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76" w:lineRule="auto"/>
        <w:jc w:val="center"/>
        <w:outlineLvl w:val="0"/>
        <w:rPr>
          <w:rStyle w:val="6"/>
          <w:rFonts w:ascii="黑体" w:hAnsi="黑体" w:eastAsia="黑体"/>
          <w:sz w:val="28"/>
          <w:szCs w:val="28"/>
        </w:rPr>
      </w:pPr>
      <w:r>
        <w:rPr>
          <w:rStyle w:val="6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9"/>
        <w:jc w:val="center"/>
        <w:outlineLvl w:val="0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</w:rPr>
        <w:t>【】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直销：产品管理人销售/■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Cs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【C1至C</w:t>
      </w:r>
      <w:r>
        <w:rPr>
          <w:rFonts w:hint="eastAsia" w:ascii="宋体" w:hAnsi="宋体"/>
          <w:sz w:val="18"/>
          <w:szCs w:val="18"/>
          <w:lang w:val="en-US" w:eastAsia="zh-CN"/>
        </w:rPr>
        <w:t>5五</w:t>
      </w:r>
      <w:r>
        <w:rPr>
          <w:rFonts w:hint="eastAsia" w:ascii="宋体" w:hAnsi="宋体"/>
          <w:sz w:val="18"/>
          <w:szCs w:val="18"/>
        </w:rPr>
        <w:t>个等级】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ascii="宋体" w:hAnsi="宋体"/>
          <w:sz w:val="18"/>
          <w:szCs w:val="18"/>
        </w:rPr>
        <w:t>C1</w:t>
      </w:r>
      <w:r>
        <w:rPr>
          <w:rFonts w:hint="eastAsia" w:ascii="宋体" w:hAnsi="宋体"/>
          <w:sz w:val="18"/>
          <w:szCs w:val="18"/>
        </w:rPr>
        <w:t>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ascii="宋体" w:hAnsi="宋体"/>
          <w:sz w:val="18"/>
          <w:szCs w:val="18"/>
        </w:rPr>
        <w:t>C</w:t>
      </w:r>
      <w:r>
        <w:rPr>
          <w:rFonts w:hint="eastAsia" w:ascii="宋体" w:hAnsi="宋体"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sz w:val="18"/>
          <w:szCs w:val="18"/>
        </w:rPr>
        <w:t>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4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86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permEnd w:id="6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outlineLvl w:val="1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bookmarkEnd w:id="0"/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sz w:val="18"/>
          <w:szCs w:val="18"/>
        </w:rPr>
        <w:t>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7"/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outlineLvl w:val="0"/>
        <w:rPr>
          <w:rStyle w:val="6"/>
          <w:rFonts w:ascii="黑体" w:hAnsi="黑体" w:eastAsia="黑体"/>
          <w:sz w:val="28"/>
          <w:szCs w:val="28"/>
        </w:rPr>
      </w:pPr>
      <w:r>
        <w:rPr>
          <w:rStyle w:val="6"/>
          <w:rFonts w:hint="eastAsia" w:ascii="黑体" w:hAnsi="黑体" w:eastAsia="黑体"/>
          <w:sz w:val="28"/>
          <w:szCs w:val="28"/>
        </w:rPr>
        <w:t>兴银理财</w:t>
      </w:r>
      <w:permStart w:id="8" w:edGrp="everyone"/>
      <w:r>
        <w:rPr>
          <w:rStyle w:val="6"/>
          <w:rFonts w:hint="eastAsia" w:ascii="黑体" w:hAnsi="黑体" w:eastAsia="黑体"/>
          <w:sz w:val="28"/>
          <w:szCs w:val="28"/>
        </w:rPr>
        <w:t>【稳添利日盈日开固收类】</w:t>
      </w:r>
      <w:permEnd w:id="8"/>
      <w:r>
        <w:rPr>
          <w:rStyle w:val="6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80" w:lineRule="atLeast"/>
        <w:jc w:val="center"/>
        <w:outlineLvl w:val="0"/>
        <w:rPr>
          <w:rStyle w:val="6"/>
          <w:rFonts w:ascii="黑体" w:hAnsi="黑体" w:eastAsia="黑体"/>
          <w:sz w:val="28"/>
          <w:szCs w:val="28"/>
        </w:rPr>
      </w:pPr>
      <w:r>
        <w:rPr>
          <w:rStyle w:val="6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9"/>
        <w:spacing w:line="280" w:lineRule="atLeast"/>
        <w:jc w:val="center"/>
        <w:outlineLvl w:val="0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</w:t>
      </w:r>
      <w:permStart w:id="9" w:edGrp="everyone"/>
      <w:r>
        <w:rPr>
          <w:rFonts w:hint="eastAsia" w:hAnsi="宋体"/>
          <w:b/>
          <w:color w:val="auto"/>
          <w:sz w:val="28"/>
          <w:szCs w:val="28"/>
        </w:rPr>
        <w:t>机构投资者</w:t>
      </w:r>
      <w:permEnd w:id="9"/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0" w:edGrp="everyone"/>
      <w:r>
        <w:rPr>
          <w:rFonts w:hint="eastAsia" w:ascii="宋体" w:hAnsi="宋体"/>
          <w:sz w:val="18"/>
          <w:szCs w:val="18"/>
        </w:rPr>
        <w:t>【】</w:t>
      </w:r>
      <w:permEnd w:id="10"/>
      <w:r>
        <w:rPr>
          <w:rFonts w:hint="eastAsia" w:ascii="宋体" w:hAnsi="宋体"/>
          <w:sz w:val="18"/>
          <w:szCs w:val="18"/>
        </w:rPr>
        <w:t>以(</w:t>
      </w:r>
      <w:permStart w:id="11" w:edGrp="everyone"/>
      <w:r>
        <w:rPr>
          <w:rFonts w:hint="eastAsia" w:ascii="宋体" w:hAnsi="宋体"/>
          <w:sz w:val="18"/>
          <w:szCs w:val="18"/>
        </w:rPr>
        <w:t>□ 直销：产品管理人销售/□ 代销：代理销售机构销售</w:t>
      </w:r>
      <w:permEnd w:id="11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outlineLvl w:val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outlineLvl w:val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Cs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2" w:edGrp="everyone"/>
      <w:r>
        <w:rPr>
          <w:rFonts w:hint="eastAsia" w:ascii="宋体" w:hAnsi="宋体"/>
          <w:sz w:val="18"/>
          <w:szCs w:val="18"/>
        </w:rPr>
        <w:t>【】</w:t>
      </w:r>
      <w:permEnd w:id="12"/>
      <w:r>
        <w:rPr>
          <w:rFonts w:ascii="宋体" w:hAnsi="宋体"/>
          <w:sz w:val="18"/>
          <w:szCs w:val="18"/>
        </w:rPr>
        <w:t>。其中，</w:t>
      </w:r>
      <w:permStart w:id="13" w:edGrp="everyone"/>
      <w:r>
        <w:rPr>
          <w:rFonts w:hint="eastAsia" w:ascii="宋体" w:hAnsi="宋体"/>
          <w:sz w:val="18"/>
          <w:szCs w:val="18"/>
        </w:rPr>
        <w:t>【】</w:t>
      </w:r>
      <w:permEnd w:id="13"/>
      <w:r>
        <w:rPr>
          <w:rFonts w:ascii="宋体" w:hAnsi="宋体"/>
          <w:sz w:val="18"/>
          <w:szCs w:val="18"/>
        </w:rPr>
        <w:t>为风险承受能力最低类别，</w:t>
      </w:r>
      <w:permStart w:id="14" w:edGrp="everyone"/>
      <w:r>
        <w:rPr>
          <w:rFonts w:hint="eastAsia" w:ascii="宋体" w:hAnsi="宋体"/>
          <w:sz w:val="18"/>
          <w:szCs w:val="18"/>
        </w:rPr>
        <w:t>【】</w:t>
      </w:r>
      <w:permEnd w:id="14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4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15" w:edGrp="everyone"/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permEnd w:id="15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outlineLvl w:val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1" w:firstLineChars="200"/>
        <w:outlineLvl w:val="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outlineLvl w:val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ind w:firstLine="360" w:firstLineChars="200"/>
        <w:outlineLvl w:val="1"/>
        <w:rPr>
          <w:rFonts w:ascii="宋体" w:hAnsi="宋体"/>
          <w:sz w:val="18"/>
          <w:szCs w:val="18"/>
        </w:rPr>
      </w:pPr>
      <w:permStart w:id="16" w:edGrp="everyone"/>
      <w:r>
        <w:rPr>
          <w:rFonts w:hint="eastAsia" w:ascii="宋体" w:hAnsi="宋体"/>
          <w:sz w:val="18"/>
          <w:szCs w:val="18"/>
          <w:lang w:val="en-US" w:eastAsia="zh-CN"/>
        </w:rPr>
        <w:t>2</w:t>
      </w:r>
      <w:bookmarkStart w:id="1" w:name="_GoBack"/>
      <w:bookmarkEnd w:id="1"/>
      <w:r>
        <w:rPr>
          <w:rFonts w:hint="eastAsia" w:ascii="宋体" w:hAnsi="宋体"/>
          <w:sz w:val="18"/>
          <w:szCs w:val="18"/>
        </w:rPr>
        <w:t>.销售机构：【 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16"/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spacing w:line="280" w:lineRule="atLeast"/>
        <w:jc w:val="left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>
    <w:pPr>
      <w:pStyle w:val="3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3lTXpawx85HUa5IViZ6M1BqRN7BSyIBBPQEqRtVWiSK0LnptoIW/A8d2ztSz9tFYyrPhEeTpzmkkqCKEgASkcQ==" w:salt="ihFY/Xd5hTr24Ip5FrERt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09"/>
    <w:rsid w:val="003D2920"/>
    <w:rsid w:val="00491E7C"/>
    <w:rsid w:val="00C16209"/>
    <w:rsid w:val="00CF737F"/>
    <w:rsid w:val="00DE450C"/>
    <w:rsid w:val="11745E05"/>
    <w:rsid w:val="174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429</Words>
  <Characters>2448</Characters>
  <Lines>20</Lines>
  <Paragraphs>5</Paragraphs>
  <TotalTime>0</TotalTime>
  <ScaleCrop>false</ScaleCrop>
  <LinksUpToDate>false</LinksUpToDate>
  <CharactersWithSpaces>2872</CharactersWithSpaces>
  <Application>WPS Office_11.8.2.10164_F1E327BC-269C-435d-A152-05C5408002CA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2025-01-24T12:01:00Z</dcterms:created>
  <dc:creator>兴银理财法务002</dc:creator>
  <cp:lastModifiedBy>cib</cp:lastModifiedBy>
  <dcterms:modified xsi:type="dcterms:W3CDTF">2026-06-17T10:37:49Z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2052-11.8.2.10164</vt:lpwstr>
  </property>
</Properties>
</file>