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0EE60">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14:paraId="4091C6C9">
      <w:pPr>
        <w:adjustRightInd w:val="0"/>
        <w:spacing w:line="360" w:lineRule="auto"/>
        <w:jc w:val="center"/>
        <w:rPr>
          <w:rStyle w:val="27"/>
          <w:rFonts w:ascii="宋体" w:hAnsi="宋体"/>
          <w:sz w:val="32"/>
          <w:szCs w:val="32"/>
        </w:rPr>
      </w:pPr>
    </w:p>
    <w:p w14:paraId="219ED53A">
      <w:pPr>
        <w:adjustRightInd w:val="0"/>
        <w:spacing w:line="360" w:lineRule="auto"/>
        <w:jc w:val="center"/>
        <w:rPr>
          <w:rStyle w:val="27"/>
          <w:rFonts w:ascii="宋体" w:hAnsi="宋体"/>
          <w:sz w:val="32"/>
          <w:szCs w:val="32"/>
        </w:rPr>
      </w:pPr>
    </w:p>
    <w:p w14:paraId="02A7AADD">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3A6EAC2">
      <w:pPr>
        <w:adjustRightInd w:val="0"/>
        <w:spacing w:line="360" w:lineRule="auto"/>
        <w:jc w:val="center"/>
        <w:rPr>
          <w:rStyle w:val="27"/>
          <w:rFonts w:ascii="宋体" w:hAnsi="宋体"/>
          <w:sz w:val="32"/>
          <w:szCs w:val="32"/>
        </w:rPr>
      </w:pPr>
    </w:p>
    <w:p w14:paraId="7F322A5B">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【稳添利日盈日开固收类】</w:t>
      </w:r>
      <w:permEnd w:id="0"/>
      <w:r>
        <w:rPr>
          <w:rStyle w:val="27"/>
          <w:rFonts w:hint="eastAsia" w:ascii="黑体" w:hAnsi="黑体" w:eastAsia="黑体"/>
          <w:sz w:val="44"/>
          <w:szCs w:val="44"/>
        </w:rPr>
        <w:t>理财产品</w:t>
      </w:r>
    </w:p>
    <w:p w14:paraId="70B25C04">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14:paraId="784AC837">
      <w:pPr>
        <w:adjustRightInd w:val="0"/>
        <w:spacing w:line="360" w:lineRule="auto"/>
        <w:jc w:val="center"/>
        <w:rPr>
          <w:rStyle w:val="27"/>
          <w:rFonts w:ascii="宋体" w:hAnsi="宋体"/>
          <w:sz w:val="32"/>
          <w:szCs w:val="32"/>
        </w:rPr>
      </w:pPr>
    </w:p>
    <w:p w14:paraId="07191EB2">
      <w:pPr>
        <w:adjustRightInd w:val="0"/>
        <w:spacing w:line="360" w:lineRule="auto"/>
        <w:jc w:val="center"/>
        <w:rPr>
          <w:rStyle w:val="27"/>
          <w:rFonts w:ascii="黑体" w:hAnsi="黑体" w:eastAsia="黑体"/>
          <w:bCs w:val="0"/>
          <w:sz w:val="28"/>
          <w:szCs w:val="28"/>
        </w:rPr>
      </w:pPr>
    </w:p>
    <w:p w14:paraId="01B115D8">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14:paraId="4C41BF00">
      <w:pPr>
        <w:adjustRightInd w:val="0"/>
        <w:spacing w:line="360" w:lineRule="auto"/>
        <w:jc w:val="center"/>
        <w:rPr>
          <w:rStyle w:val="27"/>
          <w:rFonts w:ascii="宋体" w:hAnsi="宋体"/>
          <w:sz w:val="32"/>
          <w:szCs w:val="32"/>
        </w:rPr>
      </w:pPr>
    </w:p>
    <w:p w14:paraId="61078EA3">
      <w:pPr>
        <w:adjustRightInd w:val="0"/>
        <w:spacing w:line="360" w:lineRule="auto"/>
        <w:jc w:val="center"/>
        <w:rPr>
          <w:rStyle w:val="27"/>
          <w:rFonts w:ascii="宋体" w:hAnsi="宋体"/>
          <w:sz w:val="32"/>
          <w:szCs w:val="32"/>
        </w:rPr>
      </w:pPr>
    </w:p>
    <w:p w14:paraId="140A5210">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color w:val="auto"/>
          <w:sz w:val="32"/>
          <w:szCs w:val="32"/>
        </w:rPr>
        <w:t>【</w:t>
      </w:r>
      <w:r>
        <w:rPr>
          <w:rStyle w:val="27"/>
          <w:rFonts w:hint="eastAsia" w:ascii="宋体" w:hAnsi="宋体" w:cs="Times New Roman"/>
          <w:color w:val="auto"/>
          <w:sz w:val="32"/>
          <w:szCs w:val="32"/>
          <w:lang w:val="en-US" w:eastAsia="zh-CN"/>
        </w:rPr>
        <w:t>11</w:t>
      </w:r>
      <w:r>
        <w:rPr>
          <w:rStyle w:val="27"/>
          <w:rFonts w:hint="eastAsia" w:ascii="宋体" w:hAnsi="宋体" w:cs="Times New Roman"/>
          <w:sz w:val="32"/>
          <w:szCs w:val="32"/>
        </w:rPr>
        <w:t>】月</w:t>
      </w:r>
      <w:permEnd w:id="1"/>
    </w:p>
    <w:p w14:paraId="0D06B46B">
      <w:pPr>
        <w:rPr>
          <w:rStyle w:val="27"/>
          <w:rFonts w:ascii="宋体" w:hAnsi="宋体"/>
          <w:sz w:val="32"/>
          <w:szCs w:val="32"/>
        </w:rPr>
      </w:pPr>
      <w:r>
        <w:rPr>
          <w:rStyle w:val="27"/>
          <w:rFonts w:ascii="宋体" w:hAnsi="宋体"/>
          <w:sz w:val="32"/>
          <w:szCs w:val="32"/>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69C433A4">
          <w:pPr>
            <w:pStyle w:val="48"/>
            <w:spacing w:line="360" w:lineRule="auto"/>
            <w:jc w:val="center"/>
          </w:pPr>
          <w:permStart w:id="2" w:edGrp="everyone"/>
          <w:bookmarkStart w:id="0" w:name="_Toc78276587"/>
          <w:r>
            <w:rPr>
              <w:lang w:val="zh-CN"/>
            </w:rPr>
            <w:t>目录</w:t>
          </w:r>
        </w:p>
        <w:p w14:paraId="28EC18DF">
          <w:pPr>
            <w:pStyle w:val="16"/>
            <w:tabs>
              <w:tab w:val="right" w:leader="dot" w:pos="8306"/>
            </w:tabs>
          </w:pPr>
          <w:r>
            <w:fldChar w:fldCharType="begin"/>
          </w:r>
          <w:r>
            <w:instrText xml:space="preserve"> TOC \o "1-3" \h \z \u </w:instrText>
          </w:r>
          <w:r>
            <w:fldChar w:fldCharType="separate"/>
          </w:r>
          <w:r>
            <w:fldChar w:fldCharType="begin"/>
          </w:r>
          <w:r>
            <w:instrText xml:space="preserve"> HYPERLINK \l "_Toc11639" </w:instrText>
          </w:r>
          <w:r>
            <w:fldChar w:fldCharType="separate"/>
          </w:r>
          <w:r>
            <w:rPr>
              <w:rFonts w:ascii="Times New Roman"/>
            </w:rPr>
            <w:t>第</w:t>
          </w:r>
          <w:r>
            <w:rPr>
              <w:rFonts w:hint="eastAsia" w:ascii="Times New Roman"/>
            </w:rPr>
            <w:t xml:space="preserve">一条 </w:t>
          </w:r>
          <w:r>
            <w:rPr>
              <w:rFonts w:ascii="Times New Roman"/>
            </w:rPr>
            <w:t xml:space="preserve"> 释义</w:t>
          </w:r>
          <w:r>
            <w:tab/>
          </w:r>
          <w:r>
            <w:fldChar w:fldCharType="begin"/>
          </w:r>
          <w:r>
            <w:instrText xml:space="preserve"> PAGEREF _Toc11639 \h </w:instrText>
          </w:r>
          <w:r>
            <w:fldChar w:fldCharType="separate"/>
          </w:r>
          <w:r>
            <w:t>3</w:t>
          </w:r>
          <w:r>
            <w:fldChar w:fldCharType="end"/>
          </w:r>
          <w:r>
            <w:fldChar w:fldCharType="end"/>
          </w:r>
        </w:p>
        <w:p w14:paraId="199E489C">
          <w:pPr>
            <w:pStyle w:val="16"/>
            <w:tabs>
              <w:tab w:val="right" w:leader="dot" w:pos="8306"/>
            </w:tabs>
          </w:pPr>
          <w:r>
            <w:fldChar w:fldCharType="begin"/>
          </w:r>
          <w:r>
            <w:instrText xml:space="preserve"> HYPERLINK \l "_Toc662" </w:instrText>
          </w:r>
          <w:r>
            <w:fldChar w:fldCharType="separate"/>
          </w:r>
          <w:r>
            <w:rPr>
              <w:rFonts w:hint="eastAsia" w:hAnsi="宋体"/>
              <w:szCs w:val="28"/>
            </w:rPr>
            <w:t xml:space="preserve">第二条  理财产品基本情况 </w:t>
          </w:r>
          <w:r>
            <w:tab/>
          </w:r>
          <w:r>
            <w:fldChar w:fldCharType="begin"/>
          </w:r>
          <w:r>
            <w:instrText xml:space="preserve"> PAGEREF _Toc662 \h </w:instrText>
          </w:r>
          <w:r>
            <w:fldChar w:fldCharType="separate"/>
          </w:r>
          <w:r>
            <w:t>8</w:t>
          </w:r>
          <w:r>
            <w:fldChar w:fldCharType="end"/>
          </w:r>
          <w:r>
            <w:fldChar w:fldCharType="end"/>
          </w:r>
        </w:p>
        <w:p w14:paraId="799A40B9">
          <w:pPr>
            <w:pStyle w:val="16"/>
            <w:tabs>
              <w:tab w:val="right" w:leader="dot" w:pos="8306"/>
            </w:tabs>
          </w:pPr>
          <w:r>
            <w:fldChar w:fldCharType="begin"/>
          </w:r>
          <w:r>
            <w:instrText xml:space="preserve"> HYPERLINK \l "_Toc26096" </w:instrText>
          </w:r>
          <w:r>
            <w:fldChar w:fldCharType="separate"/>
          </w:r>
          <w:r>
            <w:rPr>
              <w:rFonts w:ascii="Times New Roman"/>
            </w:rPr>
            <w:t>第</w:t>
          </w:r>
          <w:r>
            <w:rPr>
              <w:rFonts w:hint="eastAsia" w:ascii="Times New Roman"/>
            </w:rPr>
            <w:t>三条</w:t>
          </w:r>
          <w:r>
            <w:rPr>
              <w:rFonts w:ascii="Times New Roman"/>
            </w:rPr>
            <w:t xml:space="preserve">  </w:t>
          </w:r>
          <w:r>
            <w:rPr>
              <w:rFonts w:hint="eastAsia" w:ascii="Times New Roman"/>
            </w:rPr>
            <w:t>理财产品的认购</w:t>
          </w:r>
          <w:r>
            <w:tab/>
          </w:r>
          <w:r>
            <w:fldChar w:fldCharType="begin"/>
          </w:r>
          <w:r>
            <w:instrText xml:space="preserve"> PAGEREF _Toc26096 \h </w:instrText>
          </w:r>
          <w:r>
            <w:fldChar w:fldCharType="separate"/>
          </w:r>
          <w:r>
            <w:t>15</w:t>
          </w:r>
          <w:r>
            <w:fldChar w:fldCharType="end"/>
          </w:r>
          <w:r>
            <w:fldChar w:fldCharType="end"/>
          </w:r>
        </w:p>
        <w:p w14:paraId="6D42E569">
          <w:pPr>
            <w:pStyle w:val="16"/>
            <w:tabs>
              <w:tab w:val="right" w:leader="dot" w:pos="8306"/>
            </w:tabs>
          </w:pPr>
          <w:r>
            <w:fldChar w:fldCharType="begin"/>
          </w:r>
          <w:r>
            <w:instrText xml:space="preserve"> HYPERLINK \l "_Toc16237" </w:instrText>
          </w:r>
          <w:r>
            <w:fldChar w:fldCharType="separate"/>
          </w:r>
          <w:r>
            <w:rPr>
              <w:rFonts w:hint="eastAsia" w:ascii="Times New Roman"/>
            </w:rPr>
            <w:t xml:space="preserve">第四条 </w:t>
          </w:r>
          <w:r>
            <w:rPr>
              <w:rFonts w:ascii="Times New Roman"/>
            </w:rPr>
            <w:t xml:space="preserve"> </w:t>
          </w:r>
          <w:r>
            <w:rPr>
              <w:rFonts w:hint="eastAsia" w:ascii="Times New Roman"/>
            </w:rPr>
            <w:t>理财产品的申购与赎回</w:t>
          </w:r>
          <w:r>
            <w:tab/>
          </w:r>
          <w:r>
            <w:fldChar w:fldCharType="begin"/>
          </w:r>
          <w:r>
            <w:instrText xml:space="preserve"> PAGEREF _Toc16237 \h </w:instrText>
          </w:r>
          <w:r>
            <w:fldChar w:fldCharType="separate"/>
          </w:r>
          <w:r>
            <w:t>17</w:t>
          </w:r>
          <w:r>
            <w:fldChar w:fldCharType="end"/>
          </w:r>
          <w:r>
            <w:fldChar w:fldCharType="end"/>
          </w:r>
        </w:p>
        <w:p w14:paraId="492339E2">
          <w:pPr>
            <w:pStyle w:val="16"/>
            <w:tabs>
              <w:tab w:val="right" w:leader="dot" w:pos="8306"/>
            </w:tabs>
          </w:pPr>
          <w:r>
            <w:fldChar w:fldCharType="begin"/>
          </w:r>
          <w:r>
            <w:instrText xml:space="preserve"> HYPERLINK \l "_Toc25928" </w:instrText>
          </w:r>
          <w:r>
            <w:fldChar w:fldCharType="separate"/>
          </w:r>
          <w:r>
            <w:rPr>
              <w:rFonts w:ascii="Times New Roman"/>
            </w:rPr>
            <w:t>第</w:t>
          </w:r>
          <w:r>
            <w:rPr>
              <w:rFonts w:hint="eastAsia" w:ascii="Times New Roman"/>
            </w:rPr>
            <w:t>五条</w:t>
          </w:r>
          <w:r>
            <w:rPr>
              <w:rFonts w:ascii="Times New Roman"/>
            </w:rPr>
            <w:t xml:space="preserve">  </w:t>
          </w:r>
          <w:r>
            <w:rPr>
              <w:rFonts w:hint="eastAsia" w:ascii="Times New Roman"/>
            </w:rPr>
            <w:t>理财产品的投资</w:t>
          </w:r>
          <w:r>
            <w:tab/>
          </w:r>
          <w:r>
            <w:fldChar w:fldCharType="begin"/>
          </w:r>
          <w:r>
            <w:instrText xml:space="preserve"> PAGEREF _Toc25928 \h </w:instrText>
          </w:r>
          <w:r>
            <w:fldChar w:fldCharType="separate"/>
          </w:r>
          <w:r>
            <w:t>21</w:t>
          </w:r>
          <w:r>
            <w:fldChar w:fldCharType="end"/>
          </w:r>
          <w:r>
            <w:fldChar w:fldCharType="end"/>
          </w:r>
        </w:p>
        <w:p w14:paraId="65F61751">
          <w:pPr>
            <w:pStyle w:val="16"/>
            <w:tabs>
              <w:tab w:val="right" w:leader="dot" w:pos="8306"/>
            </w:tabs>
          </w:pPr>
          <w:r>
            <w:fldChar w:fldCharType="begin"/>
          </w:r>
          <w:r>
            <w:instrText xml:space="preserve"> HYPERLINK \l "_Toc26100" </w:instrText>
          </w:r>
          <w:r>
            <w:fldChar w:fldCharType="separate"/>
          </w:r>
          <w:r>
            <w:rPr>
              <w:rFonts w:ascii="Times New Roman"/>
            </w:rPr>
            <w:t>第</w:t>
          </w:r>
          <w:r>
            <w:rPr>
              <w:rFonts w:hint="eastAsia" w:ascii="Times New Roman"/>
            </w:rPr>
            <w:t>六条</w:t>
          </w:r>
          <w:r>
            <w:rPr>
              <w:rFonts w:ascii="Times New Roman"/>
            </w:rPr>
            <w:t xml:space="preserve">  </w:t>
          </w:r>
          <w:r>
            <w:rPr>
              <w:rFonts w:hint="eastAsia" w:ascii="Times New Roman"/>
            </w:rPr>
            <w:t>理财产品的资产</w:t>
          </w:r>
          <w:r>
            <w:tab/>
          </w:r>
          <w:r>
            <w:fldChar w:fldCharType="begin"/>
          </w:r>
          <w:r>
            <w:instrText xml:space="preserve"> PAGEREF _Toc26100 \h </w:instrText>
          </w:r>
          <w:r>
            <w:fldChar w:fldCharType="separate"/>
          </w:r>
          <w:r>
            <w:t>24</w:t>
          </w:r>
          <w:r>
            <w:fldChar w:fldCharType="end"/>
          </w:r>
          <w:r>
            <w:fldChar w:fldCharType="end"/>
          </w:r>
        </w:p>
        <w:p w14:paraId="369BEC17">
          <w:pPr>
            <w:pStyle w:val="16"/>
            <w:tabs>
              <w:tab w:val="right" w:leader="dot" w:pos="8306"/>
            </w:tabs>
          </w:pPr>
          <w:r>
            <w:fldChar w:fldCharType="begin"/>
          </w:r>
          <w:r>
            <w:instrText xml:space="preserve"> HYPERLINK \l "_Toc12709" </w:instrText>
          </w:r>
          <w:r>
            <w:fldChar w:fldCharType="separate"/>
          </w:r>
          <w:r>
            <w:rPr>
              <w:rFonts w:hint="eastAsia" w:ascii="Times New Roman"/>
              <w:szCs w:val="28"/>
            </w:rPr>
            <w:t>第七条</w:t>
          </w:r>
          <w:r>
            <w:rPr>
              <w:rFonts w:ascii="Times New Roman"/>
              <w:szCs w:val="28"/>
            </w:rPr>
            <w:t xml:space="preserve">  </w:t>
          </w:r>
          <w:r>
            <w:rPr>
              <w:rFonts w:hint="eastAsia" w:ascii="Times New Roman"/>
              <w:szCs w:val="28"/>
            </w:rPr>
            <w:t>理财产品项下资产的估值</w:t>
          </w:r>
          <w:r>
            <w:tab/>
          </w:r>
          <w:r>
            <w:fldChar w:fldCharType="begin"/>
          </w:r>
          <w:r>
            <w:instrText xml:space="preserve"> PAGEREF _Toc12709 \h </w:instrText>
          </w:r>
          <w:r>
            <w:fldChar w:fldCharType="separate"/>
          </w:r>
          <w:r>
            <w:t>25</w:t>
          </w:r>
          <w:r>
            <w:fldChar w:fldCharType="end"/>
          </w:r>
          <w:r>
            <w:fldChar w:fldCharType="end"/>
          </w:r>
        </w:p>
        <w:p w14:paraId="42FF15E8">
          <w:pPr>
            <w:pStyle w:val="16"/>
            <w:tabs>
              <w:tab w:val="right" w:leader="dot" w:pos="8306"/>
            </w:tabs>
          </w:pPr>
          <w:r>
            <w:fldChar w:fldCharType="begin"/>
          </w:r>
          <w:r>
            <w:instrText xml:space="preserve"> HYPERLINK \l "_Toc14373" </w:instrText>
          </w:r>
          <w:r>
            <w:fldChar w:fldCharType="separate"/>
          </w:r>
          <w:r>
            <w:rPr>
              <w:rFonts w:ascii="Times New Roman"/>
            </w:rPr>
            <w:t>第</w:t>
          </w:r>
          <w:r>
            <w:rPr>
              <w:rFonts w:hint="eastAsia" w:ascii="Times New Roman"/>
            </w:rPr>
            <w:t>八条</w:t>
          </w:r>
          <w:r>
            <w:rPr>
              <w:rFonts w:ascii="Times New Roman"/>
            </w:rPr>
            <w:t xml:space="preserve">  </w:t>
          </w:r>
          <w:r>
            <w:rPr>
              <w:rFonts w:hint="eastAsia" w:ascii="Times New Roman"/>
            </w:rPr>
            <w:t>理财产品的利益分配</w:t>
          </w:r>
          <w:r>
            <w:tab/>
          </w:r>
          <w:r>
            <w:fldChar w:fldCharType="begin"/>
          </w:r>
          <w:r>
            <w:instrText xml:space="preserve"> PAGEREF _Toc14373 \h </w:instrText>
          </w:r>
          <w:r>
            <w:fldChar w:fldCharType="separate"/>
          </w:r>
          <w:r>
            <w:t>29</w:t>
          </w:r>
          <w:r>
            <w:fldChar w:fldCharType="end"/>
          </w:r>
          <w:r>
            <w:fldChar w:fldCharType="end"/>
          </w:r>
        </w:p>
        <w:p w14:paraId="06E4E7B5">
          <w:pPr>
            <w:pStyle w:val="16"/>
            <w:tabs>
              <w:tab w:val="right" w:leader="dot" w:pos="8306"/>
            </w:tabs>
          </w:pPr>
          <w:r>
            <w:fldChar w:fldCharType="begin"/>
          </w:r>
          <w:r>
            <w:instrText xml:space="preserve"> HYPERLINK \l "_Toc12257" </w:instrText>
          </w:r>
          <w:r>
            <w:fldChar w:fldCharType="separate"/>
          </w:r>
          <w:r>
            <w:rPr>
              <w:rFonts w:ascii="Times New Roman"/>
            </w:rPr>
            <w:t>第</w:t>
          </w:r>
          <w:r>
            <w:rPr>
              <w:rFonts w:hint="eastAsia" w:ascii="Times New Roman"/>
            </w:rPr>
            <w:t>九条</w:t>
          </w:r>
          <w:r>
            <w:rPr>
              <w:rFonts w:ascii="Times New Roman"/>
            </w:rPr>
            <w:t xml:space="preserve">  </w:t>
          </w:r>
          <w:r>
            <w:rPr>
              <w:rFonts w:hint="eastAsia" w:ascii="Times New Roman"/>
            </w:rPr>
            <w:t>理财产品的费用与税收</w:t>
          </w:r>
          <w:r>
            <w:tab/>
          </w:r>
          <w:r>
            <w:fldChar w:fldCharType="begin"/>
          </w:r>
          <w:r>
            <w:instrText xml:space="preserve"> PAGEREF _Toc12257 \h </w:instrText>
          </w:r>
          <w:r>
            <w:fldChar w:fldCharType="separate"/>
          </w:r>
          <w:r>
            <w:t>30</w:t>
          </w:r>
          <w:r>
            <w:fldChar w:fldCharType="end"/>
          </w:r>
          <w:r>
            <w:fldChar w:fldCharType="end"/>
          </w:r>
        </w:p>
        <w:p w14:paraId="66DF9F3E">
          <w:pPr>
            <w:pStyle w:val="16"/>
            <w:tabs>
              <w:tab w:val="right" w:leader="dot" w:pos="8306"/>
            </w:tabs>
          </w:pPr>
          <w:r>
            <w:fldChar w:fldCharType="begin"/>
          </w:r>
          <w:r>
            <w:instrText xml:space="preserve"> HYPERLINK \l "_Toc3880" </w:instrText>
          </w:r>
          <w:r>
            <w:fldChar w:fldCharType="separate"/>
          </w:r>
          <w:r>
            <w:rPr>
              <w:rFonts w:hint="eastAsia"/>
            </w:rPr>
            <w:t>第十条</w:t>
          </w:r>
          <w:r>
            <w:t xml:space="preserve">  </w:t>
          </w:r>
          <w:r>
            <w:rPr>
              <w:rFonts w:hint="eastAsia"/>
            </w:rPr>
            <w:t>理财产品的终止与清算</w:t>
          </w:r>
          <w:r>
            <w:tab/>
          </w:r>
          <w:r>
            <w:fldChar w:fldCharType="begin"/>
          </w:r>
          <w:r>
            <w:instrText xml:space="preserve"> PAGEREF _Toc3880 \h </w:instrText>
          </w:r>
          <w:r>
            <w:fldChar w:fldCharType="separate"/>
          </w:r>
          <w:r>
            <w:t>32</w:t>
          </w:r>
          <w:r>
            <w:fldChar w:fldCharType="end"/>
          </w:r>
          <w:r>
            <w:fldChar w:fldCharType="end"/>
          </w:r>
        </w:p>
        <w:p w14:paraId="7DDF50CB">
          <w:pPr>
            <w:pStyle w:val="16"/>
            <w:tabs>
              <w:tab w:val="right" w:leader="dot" w:pos="8306"/>
            </w:tabs>
          </w:pPr>
          <w:r>
            <w:fldChar w:fldCharType="begin"/>
          </w:r>
          <w:r>
            <w:instrText xml:space="preserve"> HYPERLINK \l "_Toc9552" </w:instrText>
          </w:r>
          <w:r>
            <w:fldChar w:fldCharType="separate"/>
          </w:r>
          <w:r>
            <w:rPr>
              <w:rFonts w:hint="eastAsia" w:ascii="Times New Roman"/>
              <w:szCs w:val="28"/>
            </w:rPr>
            <w:t>第十一条</w:t>
          </w:r>
          <w:r>
            <w:rPr>
              <w:rFonts w:ascii="Times New Roman"/>
              <w:szCs w:val="28"/>
            </w:rPr>
            <w:t xml:space="preserve">  </w:t>
          </w:r>
          <w:r>
            <w:rPr>
              <w:rFonts w:hint="eastAsia" w:ascii="Times New Roman"/>
              <w:szCs w:val="28"/>
            </w:rPr>
            <w:t>理财产品的信息披露</w:t>
          </w:r>
          <w:r>
            <w:tab/>
          </w:r>
          <w:r>
            <w:fldChar w:fldCharType="begin"/>
          </w:r>
          <w:r>
            <w:instrText xml:space="preserve"> PAGEREF _Toc9552 \h </w:instrText>
          </w:r>
          <w:r>
            <w:fldChar w:fldCharType="separate"/>
          </w:r>
          <w:r>
            <w:t>34</w:t>
          </w:r>
          <w:r>
            <w:fldChar w:fldCharType="end"/>
          </w:r>
          <w:r>
            <w:fldChar w:fldCharType="end"/>
          </w:r>
        </w:p>
        <w:p w14:paraId="2304DFCE">
          <w:pPr>
            <w:pStyle w:val="16"/>
            <w:tabs>
              <w:tab w:val="right" w:leader="dot" w:pos="8306"/>
            </w:tabs>
          </w:pPr>
          <w:r>
            <w:fldChar w:fldCharType="begin"/>
          </w:r>
          <w:r>
            <w:instrText xml:space="preserve"> HYPERLINK \l "_Toc28813" </w:instrText>
          </w:r>
          <w:r>
            <w:fldChar w:fldCharType="separate"/>
          </w:r>
          <w:r>
            <w:rPr>
              <w:rFonts w:hint="eastAsia" w:ascii="Times New Roman"/>
            </w:rPr>
            <w:t>第十二条</w:t>
          </w:r>
          <w:r>
            <w:rPr>
              <w:rFonts w:ascii="Times New Roman"/>
            </w:rPr>
            <w:t xml:space="preserve">  </w:t>
          </w:r>
          <w:r>
            <w:rPr>
              <w:rFonts w:hint="eastAsia" w:ascii="Times New Roman"/>
            </w:rPr>
            <w:t>理财产品</w:t>
          </w:r>
          <w:r>
            <w:rPr>
              <w:rFonts w:ascii="Times New Roman"/>
            </w:rPr>
            <w:t>的风险揭示</w:t>
          </w:r>
          <w:r>
            <w:tab/>
          </w:r>
          <w:r>
            <w:fldChar w:fldCharType="begin"/>
          </w:r>
          <w:r>
            <w:instrText xml:space="preserve"> PAGEREF _Toc28813 \h </w:instrText>
          </w:r>
          <w:r>
            <w:fldChar w:fldCharType="separate"/>
          </w:r>
          <w:r>
            <w:t>36</w:t>
          </w:r>
          <w:r>
            <w:fldChar w:fldCharType="end"/>
          </w:r>
          <w:r>
            <w:fldChar w:fldCharType="end"/>
          </w:r>
        </w:p>
        <w:p w14:paraId="517B2DB8">
          <w:pPr>
            <w:spacing w:line="360" w:lineRule="auto"/>
          </w:pPr>
          <w:r>
            <w:fldChar w:fldCharType="end"/>
          </w:r>
        </w:p>
      </w:sdtContent>
    </w:sdt>
    <w:permEnd w:id="2"/>
    <w:p w14:paraId="5A601C4C">
      <w:pPr>
        <w:rPr>
          <w:rFonts w:ascii="Times New Roman"/>
          <w:sz w:val="30"/>
        </w:rPr>
      </w:pPr>
    </w:p>
    <w:p w14:paraId="7B6AB108">
      <w:pPr>
        <w:rPr>
          <w:rFonts w:ascii="Times New Roman"/>
          <w:sz w:val="30"/>
        </w:rPr>
      </w:pPr>
      <w:r>
        <w:rPr>
          <w:rFonts w:ascii="Times New Roman"/>
          <w:sz w:val="30"/>
        </w:rPr>
        <w:br w:type="page"/>
      </w:r>
    </w:p>
    <w:p w14:paraId="3CB5B623">
      <w:pPr>
        <w:pStyle w:val="2"/>
        <w:spacing w:before="0" w:after="0" w:line="360" w:lineRule="auto"/>
        <w:jc w:val="center"/>
        <w:rPr>
          <w:rFonts w:ascii="Times New Roman"/>
          <w:sz w:val="30"/>
        </w:rPr>
      </w:pPr>
      <w:bookmarkStart w:id="1" w:name="_Toc11639"/>
      <w:bookmarkStart w:id="2" w:name="_Toc19573"/>
      <w:bookmarkStart w:id="3" w:name="_Toc15989"/>
      <w:bookmarkStart w:id="4" w:name="_Toc103260528"/>
      <w:bookmarkStart w:id="5" w:name="_Toc92377130"/>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bookmarkEnd w:id="3"/>
      <w:bookmarkEnd w:id="4"/>
      <w:bookmarkEnd w:id="5"/>
    </w:p>
    <w:p w14:paraId="2261645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001D01EF">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556B7CD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4C43C51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14:paraId="3250CCA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31D163B7">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0501C908">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w:t>
      </w:r>
      <w:r>
        <w:rPr>
          <w:rFonts w:hint="eastAsia" w:hAnsi="宋体"/>
          <w:bCs/>
          <w:kern w:val="2"/>
          <w:sz w:val="18"/>
          <w:szCs w:val="18"/>
          <w:lang w:bidi="ar"/>
        </w:rPr>
        <w:t>自然人、法人或者依法成立的其他组织</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p>
    <w:p w14:paraId="226EB6A4">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7AD8AC08">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75E786A0">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7E035CE5">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1A8B058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14:paraId="71D05EC4">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24978D94">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【稳添利日盈日开固收类】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2CBD0FBC">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【稳添利日盈日开固收类】</w:t>
      </w:r>
      <w:permEnd w:id="5"/>
      <w:r>
        <w:rPr>
          <w:rFonts w:hint="eastAsia" w:asciiTheme="majorEastAsia" w:hAnsiTheme="majorEastAsia" w:eastAsiaTheme="majorEastAsia"/>
          <w:bCs/>
          <w:sz w:val="18"/>
          <w:szCs w:val="18"/>
        </w:rPr>
        <w:t>理财产品投资协议书》，以及对该文件的有效修改或补充。</w:t>
      </w:r>
    </w:p>
    <w:p w14:paraId="042624AE">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【稳添利日盈日开固收类】</w:t>
      </w:r>
      <w:permEnd w:id="6"/>
      <w:r>
        <w:rPr>
          <w:rFonts w:hint="eastAsia" w:asciiTheme="majorEastAsia" w:hAnsiTheme="majorEastAsia" w:eastAsiaTheme="majorEastAsia"/>
          <w:bCs/>
          <w:sz w:val="18"/>
          <w:szCs w:val="18"/>
        </w:rPr>
        <w:t>理财产品产品说明书》，以及对该文件的有效修改或补充。</w:t>
      </w:r>
    </w:p>
    <w:p w14:paraId="391A9E6E">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【稳添利日盈日开固收类】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【稳添利日盈日开固收类】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14:paraId="1391DA1C">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【稳添利日盈日开固收类】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【稳添利日盈日开固收类】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14:paraId="2D4A4EB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【稳添利日盈日开固收类】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【稳添利日盈日开固收类】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14:paraId="049A316A">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36B95A5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215DBDE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155E7DB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，为每类份额类别</w:t>
      </w:r>
      <w:r>
        <w:rPr>
          <w:rFonts w:asciiTheme="majorEastAsia" w:hAnsiTheme="majorEastAsia" w:eastAsiaTheme="majorEastAsia"/>
          <w:bCs/>
          <w:color w:val="auto"/>
          <w:sz w:val="18"/>
          <w:szCs w:val="18"/>
        </w:rPr>
        <w:t>设置</w:t>
      </w:r>
      <w:r>
        <w:rPr>
          <w:rFonts w:hint="eastAsia" w:asciiTheme="majorEastAsia" w:hAnsiTheme="majorEastAsia" w:eastAsiaTheme="majorEastAsia"/>
          <w:bCs/>
          <w:color w:val="auto"/>
          <w:sz w:val="18"/>
          <w:szCs w:val="18"/>
        </w:rPr>
        <w:t>的唯一性内部识别码。若本款理财产品不设置差异化产品份额类别，理财产品代码即为理财产品销售代码。</w:t>
      </w:r>
    </w:p>
    <w:p w14:paraId="7EDFFF52">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75CBAF4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32499C6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14:paraId="746C0CA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2402C4F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79ED187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2FE2A94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3F99E20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14:paraId="31599FA0">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5F54EAF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14A134E1">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08F0E51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456BD2F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10</w:t>
      </w:r>
      <w:r>
        <w:rPr>
          <w:rFonts w:hint="eastAsia" w:asciiTheme="majorEastAsia" w:hAnsiTheme="majorEastAsia" w:eastAsiaTheme="majorEastAsia"/>
          <w:bCs/>
          <w:color w:val="auto"/>
          <w:sz w:val="18"/>
          <w:szCs w:val="18"/>
        </w:rPr>
        <w:t>）理财产品估值：指计算评估理财产品资产和理财产品负债的价值，以确定理财产品份额净值的过程。</w:t>
      </w:r>
    </w:p>
    <w:p w14:paraId="049EE792">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14:paraId="2C83E6BA">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224FC1F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13</w:t>
      </w:r>
      <w:r>
        <w:rPr>
          <w:rFonts w:hint="eastAsia" w:asciiTheme="majorEastAsia" w:hAnsiTheme="majorEastAsia" w:eastAsiaTheme="majorEastAsia"/>
          <w:bCs/>
          <w:color w:val="auto"/>
          <w:sz w:val="18"/>
          <w:szCs w:val="18"/>
        </w:rPr>
        <w:t>）理财产品利益/理财利益：指投资者因持有理财产品份额，按照销售文件约定取得或有权取得的理财产品管理人分配的理财产品资产。</w:t>
      </w:r>
    </w:p>
    <w:p w14:paraId="1E26F7A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14）利益分配：指产品管理人向投资者进行理财产品利益分配。 </w:t>
      </w:r>
    </w:p>
    <w:p w14:paraId="368D723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15）期间分配：指在理财产品终止日（不含当日）前的理财产品利益分配。 </w:t>
      </w:r>
    </w:p>
    <w:p w14:paraId="2A50A30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16）终止分配：指在理财产品终止日当日及之后的理财产品利益分配。</w:t>
      </w:r>
    </w:p>
    <w:p w14:paraId="5E77E75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17</w:t>
      </w:r>
      <w:r>
        <w:rPr>
          <w:rFonts w:hint="eastAsia" w:asciiTheme="majorEastAsia" w:hAnsiTheme="majorEastAsia" w:eastAsiaTheme="majorEastAsia"/>
          <w:bCs/>
          <w:color w:val="auto"/>
          <w:sz w:val="18"/>
          <w:szCs w:val="18"/>
        </w:rPr>
        <w:t>）认购：指投资者根据本销售文件约定在认购期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397C4B48">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14:paraId="72175E59">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1A4C0BDB">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0D9421C1">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30F0BAF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14:paraId="225C879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14:paraId="2619577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14:paraId="64FFE1C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14:paraId="189AA716">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1BF36CC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4AE5205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4D7696C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14:paraId="5771EF99">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14:paraId="46B15003">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14:paraId="11AA32DE">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0E046122">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14:paraId="10415D7E">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1E272181">
      <w:pPr>
        <w:pStyle w:val="34"/>
        <w:spacing w:line="360" w:lineRule="auto"/>
        <w:ind w:firstLine="360" w:firstLineChars="200"/>
        <w:rPr>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273FC3F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53A2EFB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14:paraId="6B9B312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14:paraId="1B2995B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14:paraId="78B2A06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14:paraId="2F1054E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14:paraId="2D078F0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749F9F2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w:t>
      </w:r>
      <w:r>
        <w:rPr>
          <w:rFonts w:asciiTheme="majorEastAsia" w:hAnsiTheme="majorEastAsia" w:eastAsiaTheme="majorEastAsia"/>
          <w:bCs/>
          <w:color w:val="auto"/>
          <w:sz w:val="18"/>
          <w:szCs w:val="18"/>
        </w:rPr>
        <w:t>申请有效性</w:t>
      </w:r>
      <w:r>
        <w:rPr>
          <w:rFonts w:hint="eastAsia" w:asciiTheme="majorEastAsia" w:hAnsiTheme="majorEastAsia" w:eastAsiaTheme="majorEastAsia"/>
          <w:bCs/>
          <w:color w:val="auto"/>
          <w:sz w:val="18"/>
          <w:szCs w:val="18"/>
        </w:rPr>
        <w:t>的当日。</w:t>
      </w:r>
    </w:p>
    <w:p w14:paraId="361A0C2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14:paraId="13289E8C">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10B65D24">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539360FA">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14:paraId="624F57A7">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14:paraId="4C381BB6">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14:paraId="66CB7A60">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0F89D3F1">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16B15A58">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41E132FA">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192E9E5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3F3F0D41">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14:paraId="7929D1F2">
      <w:pPr>
        <w:widowControl/>
        <w:spacing w:line="360" w:lineRule="auto"/>
        <w:jc w:val="left"/>
        <w:rPr>
          <w:rFonts w:ascii="宋体" w:hAnsi="宋体"/>
          <w:color w:val="000000"/>
          <w:kern w:val="0"/>
          <w:sz w:val="28"/>
          <w:szCs w:val="28"/>
        </w:rPr>
      </w:pPr>
      <w:r>
        <w:rPr>
          <w:rFonts w:hAnsi="宋体"/>
          <w:sz w:val="28"/>
          <w:szCs w:val="28"/>
        </w:rPr>
        <w:br w:type="page"/>
      </w:r>
    </w:p>
    <w:p w14:paraId="5587EB22">
      <w:pPr>
        <w:pStyle w:val="2"/>
        <w:spacing w:before="0" w:after="0" w:line="360" w:lineRule="auto"/>
        <w:jc w:val="center"/>
        <w:rPr>
          <w:rFonts w:hAnsi="宋体"/>
          <w:sz w:val="28"/>
          <w:szCs w:val="28"/>
        </w:rPr>
      </w:pPr>
      <w:bookmarkStart w:id="6" w:name="_Toc92377131"/>
      <w:bookmarkStart w:id="7" w:name="_Toc103260529"/>
      <w:bookmarkStart w:id="8" w:name="_Toc79154665"/>
      <w:bookmarkStart w:id="9" w:name="_Toc3887"/>
      <w:bookmarkStart w:id="10" w:name="_Toc32003"/>
      <w:bookmarkStart w:id="11" w:name="_Toc662"/>
      <w:r>
        <w:rPr>
          <w:rFonts w:hint="eastAsia" w:hAnsi="宋体"/>
          <w:sz w:val="28"/>
          <w:szCs w:val="28"/>
        </w:rPr>
        <w:t>第二条  理财产品基本情况</w:t>
      </w:r>
      <w:bookmarkEnd w:id="6"/>
      <w:bookmarkEnd w:id="7"/>
      <w:bookmarkEnd w:id="8"/>
      <w:bookmarkEnd w:id="9"/>
      <w:r>
        <w:rPr>
          <w:rFonts w:hint="eastAsia" w:hAnsi="宋体"/>
          <w:sz w:val="28"/>
          <w:szCs w:val="28"/>
        </w:rPr>
        <w:t xml:space="preserve"> </w:t>
      </w:r>
      <w:bookmarkEnd w:id="10"/>
      <w:bookmarkEnd w:id="11"/>
    </w:p>
    <w:tbl>
      <w:tblPr>
        <w:tblStyle w:val="24"/>
        <w:tblW w:w="96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704"/>
      </w:tblGrid>
      <w:tr w14:paraId="0E0EB5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45" w:type="dxa"/>
            <w:shd w:val="solid" w:color="FFFFFF" w:fill="FFFFFF"/>
          </w:tcPr>
          <w:p w14:paraId="3C15947A">
            <w:pPr>
              <w:spacing w:line="360" w:lineRule="auto"/>
              <w:jc w:val="left"/>
              <w:rPr>
                <w:rFonts w:ascii="宋体" w:hAnsi="宋体"/>
                <w:b/>
                <w:bCs/>
                <w:color w:val="auto"/>
                <w:sz w:val="18"/>
                <w:szCs w:val="18"/>
              </w:rPr>
            </w:pPr>
            <w:permStart w:id="13" w:edGrp="everyone"/>
            <w:r>
              <w:rPr>
                <w:rFonts w:hint="eastAsia" w:hAnsi="宋体"/>
                <w:color w:val="auto"/>
                <w:sz w:val="18"/>
                <w:szCs w:val="18"/>
              </w:rPr>
              <w:t>★</w:t>
            </w:r>
            <w:r>
              <w:rPr>
                <w:rFonts w:hint="eastAsia" w:ascii="宋体" w:hAnsi="宋体"/>
                <w:b/>
                <w:bCs/>
                <w:color w:val="auto"/>
                <w:sz w:val="18"/>
                <w:szCs w:val="18"/>
              </w:rPr>
              <w:t>理财产品名称</w:t>
            </w:r>
          </w:p>
        </w:tc>
        <w:tc>
          <w:tcPr>
            <w:tcW w:w="7704" w:type="dxa"/>
            <w:shd w:val="solid" w:color="FFFFFF" w:fill="FFFFFF"/>
            <w:vAlign w:val="top"/>
          </w:tcPr>
          <w:p w14:paraId="4129C2E9">
            <w:pPr>
              <w:spacing w:line="360" w:lineRule="auto"/>
              <w:jc w:val="left"/>
              <w:rPr>
                <w:rFonts w:hint="eastAsia" w:hAnsi="宋体"/>
                <w:color w:val="auto"/>
                <w:sz w:val="18"/>
                <w:szCs w:val="18"/>
              </w:rPr>
            </w:pPr>
            <w:r>
              <w:rPr>
                <w:rFonts w:hint="eastAsia" w:ascii="宋体" w:hAnsi="宋体"/>
                <w:bCs/>
                <w:color w:val="auto"/>
                <w:sz w:val="18"/>
                <w:szCs w:val="18"/>
              </w:rPr>
              <w:t>【兴银理财稳添利日盈131号日开固收类理财产品】</w:t>
            </w:r>
          </w:p>
        </w:tc>
      </w:tr>
      <w:tr w14:paraId="25D6AA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14:paraId="48FD0F35">
            <w:pPr>
              <w:spacing w:line="360" w:lineRule="auto"/>
              <w:jc w:val="left"/>
              <w:rPr>
                <w:rFonts w:ascii="宋体" w:hAnsi="宋体"/>
                <w:b/>
                <w:bCs/>
                <w:color w:val="auto"/>
                <w:sz w:val="18"/>
                <w:szCs w:val="18"/>
              </w:rPr>
            </w:pPr>
            <w:r>
              <w:rPr>
                <w:rFonts w:hint="eastAsia" w:hAnsi="宋体"/>
                <w:color w:val="auto"/>
                <w:sz w:val="18"/>
                <w:szCs w:val="18"/>
              </w:rPr>
              <w:t>★</w:t>
            </w:r>
            <w:r>
              <w:rPr>
                <w:rFonts w:hint="eastAsia" w:ascii="宋体" w:hAnsi="宋体"/>
                <w:b/>
                <w:bCs/>
                <w:color w:val="auto"/>
                <w:sz w:val="18"/>
                <w:szCs w:val="18"/>
              </w:rPr>
              <w:t>产品销售名称</w:t>
            </w:r>
          </w:p>
        </w:tc>
        <w:tc>
          <w:tcPr>
            <w:tcW w:w="7704" w:type="dxa"/>
            <w:shd w:val="solid" w:color="FFFFFF" w:fill="FFFFFF"/>
            <w:vAlign w:val="center"/>
          </w:tcPr>
          <w:p w14:paraId="15314F34">
            <w:pPr>
              <w:spacing w:line="360" w:lineRule="auto"/>
              <w:jc w:val="left"/>
              <w:rPr>
                <w:rFonts w:hint="eastAsia" w:hAnsi="宋体"/>
                <w:color w:val="auto"/>
                <w:sz w:val="18"/>
                <w:szCs w:val="18"/>
              </w:rPr>
            </w:pPr>
            <w:r>
              <w:rPr>
                <w:rFonts w:hint="eastAsia" w:ascii="宋体" w:hAnsi="宋体"/>
                <w:bCs/>
                <w:color w:val="auto"/>
                <w:sz w:val="18"/>
                <w:szCs w:val="18"/>
              </w:rPr>
              <w:t>【兴银稳添利日盈131号</w:t>
            </w:r>
            <w:r>
              <w:rPr>
                <w:rFonts w:hint="eastAsia" w:ascii="宋体" w:hAnsi="宋体"/>
                <w:bCs/>
                <w:color w:val="auto"/>
                <w:sz w:val="18"/>
                <w:szCs w:val="18"/>
                <w:lang w:val="en-US" w:eastAsia="zh-CN"/>
              </w:rPr>
              <w:t>F</w:t>
            </w:r>
            <w:r>
              <w:rPr>
                <w:rFonts w:hint="eastAsia" w:ascii="宋体" w:hAnsi="宋体"/>
                <w:bCs/>
                <w:color w:val="auto"/>
                <w:sz w:val="18"/>
                <w:szCs w:val="18"/>
              </w:rPr>
              <w:t>】（适用【</w:t>
            </w:r>
            <w:bookmarkStart w:id="206" w:name="_GoBack"/>
            <w:bookmarkEnd w:id="206"/>
            <w:r>
              <w:rPr>
                <w:rFonts w:hint="eastAsia" w:ascii="宋体" w:hAnsi="宋体"/>
                <w:bCs/>
                <w:color w:val="auto"/>
                <w:sz w:val="18"/>
                <w:szCs w:val="18"/>
                <w:lang w:val="en-US" w:eastAsia="zh-CN"/>
              </w:rPr>
              <w:t>F】</w:t>
            </w:r>
            <w:r>
              <w:rPr>
                <w:rFonts w:hint="eastAsia" w:ascii="宋体" w:hAnsi="宋体"/>
                <w:bCs/>
                <w:color w:val="auto"/>
                <w:sz w:val="18"/>
                <w:szCs w:val="18"/>
              </w:rPr>
              <w:t>类份额）</w:t>
            </w:r>
          </w:p>
        </w:tc>
      </w:tr>
      <w:tr w14:paraId="60EC06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14:paraId="3B863A5C">
            <w:pPr>
              <w:spacing w:line="360" w:lineRule="auto"/>
              <w:jc w:val="left"/>
              <w:rPr>
                <w:rFonts w:ascii="宋体" w:hAnsi="宋体"/>
                <w:b/>
                <w:bCs/>
                <w:color w:val="auto"/>
                <w:sz w:val="18"/>
                <w:szCs w:val="18"/>
              </w:rPr>
            </w:pPr>
            <w:r>
              <w:rPr>
                <w:rFonts w:hint="eastAsia" w:hAnsi="宋体"/>
                <w:color w:val="auto"/>
                <w:sz w:val="18"/>
                <w:szCs w:val="18"/>
              </w:rPr>
              <w:t>★</w:t>
            </w:r>
            <w:r>
              <w:rPr>
                <w:rFonts w:hint="eastAsia" w:ascii="宋体" w:hAnsi="宋体"/>
                <w:b/>
                <w:bCs/>
                <w:color w:val="auto"/>
                <w:sz w:val="18"/>
                <w:szCs w:val="18"/>
              </w:rPr>
              <w:t>产品登记编码</w:t>
            </w:r>
          </w:p>
        </w:tc>
        <w:tc>
          <w:tcPr>
            <w:tcW w:w="7704" w:type="dxa"/>
            <w:shd w:val="solid" w:color="FFFFFF" w:fill="FFFFFF"/>
            <w:vAlign w:val="center"/>
          </w:tcPr>
          <w:p w14:paraId="1DC924AF">
            <w:pPr>
              <w:spacing w:line="360" w:lineRule="auto"/>
              <w:jc w:val="left"/>
              <w:rPr>
                <w:rFonts w:hint="eastAsia" w:hAnsi="宋体"/>
                <w:color w:val="auto"/>
                <w:sz w:val="18"/>
                <w:szCs w:val="18"/>
              </w:rPr>
            </w:pPr>
            <w:r>
              <w:rPr>
                <w:rFonts w:hint="eastAsia" w:hAnsi="宋体"/>
                <w:color w:val="auto"/>
                <w:sz w:val="18"/>
                <w:szCs w:val="18"/>
              </w:rPr>
              <w:t>【Z7002025001939】投资者可依据理财产品登记编码在中国理财网(www.chinawealth.com.cn）查询产品信息。</w:t>
            </w:r>
          </w:p>
        </w:tc>
      </w:tr>
      <w:tr w14:paraId="5CAF88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78EA9785">
            <w:pPr>
              <w:spacing w:line="360" w:lineRule="auto"/>
              <w:jc w:val="left"/>
              <w:rPr>
                <w:rFonts w:ascii="宋体" w:hAnsi="宋体"/>
                <w:b/>
                <w:bCs/>
                <w:color w:val="auto"/>
                <w:sz w:val="18"/>
                <w:szCs w:val="18"/>
              </w:rPr>
            </w:pPr>
            <w:r>
              <w:rPr>
                <w:rFonts w:hint="eastAsia" w:hAnsi="宋体"/>
                <w:color w:val="auto"/>
                <w:sz w:val="18"/>
                <w:szCs w:val="18"/>
              </w:rPr>
              <w:t>★</w:t>
            </w:r>
            <w:r>
              <w:rPr>
                <w:rFonts w:hint="eastAsia" w:ascii="宋体" w:hAnsi="宋体"/>
                <w:b/>
                <w:bCs/>
                <w:color w:val="auto"/>
                <w:sz w:val="18"/>
                <w:szCs w:val="18"/>
              </w:rPr>
              <w:t>产品代码</w:t>
            </w:r>
          </w:p>
        </w:tc>
        <w:tc>
          <w:tcPr>
            <w:tcW w:w="7704" w:type="dxa"/>
            <w:shd w:val="solid" w:color="FFFFFF" w:fill="FFFFFF"/>
            <w:vAlign w:val="center"/>
          </w:tcPr>
          <w:p w14:paraId="1A6A5585">
            <w:pPr>
              <w:spacing w:line="360" w:lineRule="auto"/>
              <w:jc w:val="left"/>
              <w:rPr>
                <w:rFonts w:hint="eastAsia" w:hAnsi="宋体"/>
                <w:color w:val="auto"/>
                <w:sz w:val="18"/>
                <w:szCs w:val="18"/>
              </w:rPr>
            </w:pPr>
            <w:r>
              <w:rPr>
                <w:rFonts w:hint="eastAsia" w:ascii="宋体" w:hAnsi="宋体"/>
                <w:bCs/>
                <w:color w:val="auto"/>
                <w:sz w:val="18"/>
                <w:szCs w:val="18"/>
              </w:rPr>
              <w:t>【</w:t>
            </w:r>
            <w:r>
              <w:rPr>
                <w:rFonts w:hint="eastAsia" w:ascii="宋体" w:hAnsi="宋体"/>
                <w:bCs/>
                <w:color w:val="auto"/>
                <w:sz w:val="18"/>
                <w:szCs w:val="18"/>
                <w:lang w:eastAsia="zh-CN"/>
              </w:rPr>
              <w:t>9K922310</w:t>
            </w:r>
            <w:r>
              <w:rPr>
                <w:rFonts w:hint="eastAsia" w:ascii="宋体" w:hAnsi="宋体"/>
                <w:bCs/>
                <w:color w:val="auto"/>
                <w:sz w:val="18"/>
                <w:szCs w:val="18"/>
              </w:rPr>
              <w:t>】</w:t>
            </w:r>
          </w:p>
        </w:tc>
      </w:tr>
      <w:tr w14:paraId="2E0571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14:paraId="1BFE2B76">
            <w:pPr>
              <w:spacing w:line="360" w:lineRule="auto"/>
              <w:jc w:val="left"/>
              <w:rPr>
                <w:rFonts w:hAnsi="宋体"/>
                <w:b/>
                <w:color w:val="auto"/>
                <w:sz w:val="18"/>
                <w:szCs w:val="18"/>
              </w:rPr>
            </w:pPr>
            <w:r>
              <w:rPr>
                <w:rFonts w:hint="eastAsia" w:hAnsi="宋体"/>
                <w:b/>
                <w:color w:val="auto"/>
                <w:sz w:val="18"/>
                <w:szCs w:val="18"/>
              </w:rPr>
              <w:t>★销售代码</w:t>
            </w:r>
          </w:p>
        </w:tc>
        <w:tc>
          <w:tcPr>
            <w:tcW w:w="7704" w:type="dxa"/>
            <w:shd w:val="solid" w:color="FFFFFF" w:fill="FFFFFF"/>
            <w:vAlign w:val="center"/>
          </w:tcPr>
          <w:p w14:paraId="435B297D">
            <w:pPr>
              <w:spacing w:line="360" w:lineRule="auto"/>
              <w:jc w:val="left"/>
              <w:rPr>
                <w:rFonts w:hint="eastAsia" w:hAnsi="宋体"/>
                <w:color w:val="auto"/>
                <w:sz w:val="18"/>
                <w:szCs w:val="18"/>
              </w:rPr>
            </w:pPr>
            <w:r>
              <w:rPr>
                <w:rFonts w:hint="eastAsia" w:ascii="宋体" w:hAnsi="宋体"/>
                <w:bCs/>
                <w:color w:val="auto"/>
                <w:sz w:val="18"/>
                <w:szCs w:val="18"/>
              </w:rPr>
              <w:t>【</w:t>
            </w:r>
            <w:r>
              <w:rPr>
                <w:rFonts w:hint="eastAsia" w:ascii="宋体" w:hAnsi="宋体"/>
                <w:bCs/>
                <w:color w:val="auto"/>
                <w:sz w:val="18"/>
                <w:szCs w:val="18"/>
                <w:lang w:eastAsia="zh-CN"/>
              </w:rPr>
              <w:t>9K92231F】</w:t>
            </w:r>
            <w:r>
              <w:rPr>
                <w:rFonts w:hint="eastAsia" w:ascii="宋体" w:hAnsi="宋体"/>
                <w:bCs/>
                <w:color w:val="auto"/>
                <w:sz w:val="18"/>
                <w:szCs w:val="18"/>
              </w:rPr>
              <w:t>（适用【</w:t>
            </w:r>
            <w:r>
              <w:rPr>
                <w:rFonts w:hint="eastAsia" w:ascii="宋体" w:hAnsi="宋体"/>
                <w:bCs/>
                <w:color w:val="auto"/>
                <w:sz w:val="18"/>
                <w:szCs w:val="18"/>
                <w:lang w:val="en-US" w:eastAsia="zh-CN"/>
              </w:rPr>
              <w:t>F】</w:t>
            </w:r>
            <w:r>
              <w:rPr>
                <w:rFonts w:hint="eastAsia" w:ascii="宋体" w:hAnsi="宋体"/>
                <w:bCs/>
                <w:color w:val="auto"/>
                <w:sz w:val="18"/>
                <w:szCs w:val="18"/>
              </w:rPr>
              <w:t>类份额）</w:t>
            </w:r>
          </w:p>
        </w:tc>
      </w:tr>
      <w:tr w14:paraId="130D81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14:paraId="08E5C552">
            <w:pPr>
              <w:spacing w:line="360" w:lineRule="auto"/>
              <w:jc w:val="left"/>
              <w:rPr>
                <w:rFonts w:hAnsi="宋体"/>
                <w:color w:val="auto"/>
                <w:sz w:val="18"/>
                <w:szCs w:val="18"/>
              </w:rPr>
            </w:pPr>
            <w:r>
              <w:rPr>
                <w:rFonts w:hint="eastAsia" w:hAnsi="宋体"/>
                <w:color w:val="auto"/>
                <w:sz w:val="18"/>
                <w:szCs w:val="18"/>
              </w:rPr>
              <w:t>★</w:t>
            </w:r>
            <w:r>
              <w:rPr>
                <w:rFonts w:hint="eastAsia" w:hAnsi="宋体"/>
                <w:b/>
                <w:color w:val="auto"/>
                <w:sz w:val="18"/>
                <w:szCs w:val="18"/>
              </w:rPr>
              <w:t>产品</w:t>
            </w:r>
            <w:r>
              <w:rPr>
                <w:rFonts w:hAnsi="宋体"/>
                <w:b/>
                <w:color w:val="auto"/>
                <w:sz w:val="18"/>
                <w:szCs w:val="18"/>
              </w:rPr>
              <w:t>份额类别</w:t>
            </w:r>
          </w:p>
        </w:tc>
        <w:tc>
          <w:tcPr>
            <w:tcW w:w="7704" w:type="dxa"/>
            <w:shd w:val="solid" w:color="FFFFFF" w:fill="FFFFFF"/>
            <w:vAlign w:val="center"/>
          </w:tcPr>
          <w:p w14:paraId="271464B9">
            <w:pPr>
              <w:spacing w:line="360" w:lineRule="auto"/>
              <w:rPr>
                <w:rFonts w:ascii="宋体" w:hAnsi="宋体"/>
                <w:bCs/>
                <w:color w:val="auto"/>
                <w:sz w:val="18"/>
                <w:szCs w:val="18"/>
              </w:rPr>
            </w:pPr>
            <w:r>
              <w:rPr>
                <w:rFonts w:ascii="宋体" w:hAnsi="宋体"/>
                <w:bCs/>
                <w:color w:val="auto"/>
                <w:sz w:val="18"/>
                <w:szCs w:val="18"/>
              </w:rPr>
              <w:t>1</w:t>
            </w:r>
            <w:r>
              <w:rPr>
                <w:rFonts w:hint="eastAsia" w:ascii="宋体" w:hAnsi="宋体"/>
                <w:bCs/>
                <w:color w:val="auto"/>
                <w:sz w:val="18"/>
                <w:szCs w:val="18"/>
              </w:rPr>
              <w:t>.本产品根据投资者购买理财产品的金额、</w:t>
            </w:r>
            <w:r>
              <w:rPr>
                <w:rFonts w:ascii="宋体" w:hAnsi="宋体"/>
                <w:bCs/>
                <w:color w:val="auto"/>
                <w:sz w:val="18"/>
                <w:szCs w:val="18"/>
              </w:rPr>
              <w:t>投资者</w:t>
            </w:r>
            <w:r>
              <w:rPr>
                <w:rFonts w:hint="eastAsia" w:ascii="宋体" w:hAnsi="宋体"/>
                <w:bCs/>
                <w:color w:val="auto"/>
                <w:sz w:val="18"/>
                <w:szCs w:val="18"/>
              </w:rPr>
              <w:t>类型、</w:t>
            </w:r>
            <w:r>
              <w:rPr>
                <w:rFonts w:ascii="宋体" w:hAnsi="宋体"/>
                <w:bCs/>
                <w:color w:val="auto"/>
                <w:sz w:val="18"/>
                <w:szCs w:val="18"/>
              </w:rPr>
              <w:t>销售渠道</w:t>
            </w:r>
            <w:r>
              <w:rPr>
                <w:rFonts w:hint="eastAsia" w:ascii="宋体" w:hAnsi="宋体"/>
                <w:bCs/>
                <w:color w:val="auto"/>
                <w:sz w:val="18"/>
                <w:szCs w:val="18"/>
              </w:rPr>
              <w:t>等因素，对投资者所持有的理财产品份额设置不同的理财产品份额类别。</w:t>
            </w:r>
          </w:p>
          <w:p w14:paraId="4AF19388">
            <w:pPr>
              <w:spacing w:line="360" w:lineRule="auto"/>
              <w:rPr>
                <w:rFonts w:ascii="宋体" w:hAnsi="宋体"/>
                <w:bCs/>
                <w:color w:val="auto"/>
                <w:sz w:val="18"/>
                <w:szCs w:val="18"/>
              </w:rPr>
            </w:pPr>
            <w:r>
              <w:rPr>
                <w:rFonts w:ascii="宋体" w:hAnsi="宋体"/>
                <w:bCs/>
                <w:color w:val="auto"/>
                <w:sz w:val="18"/>
                <w:szCs w:val="18"/>
              </w:rPr>
              <w:t>2</w:t>
            </w:r>
            <w:r>
              <w:rPr>
                <w:rFonts w:hint="eastAsia" w:ascii="宋体" w:hAnsi="宋体"/>
                <w:bCs/>
                <w:color w:val="auto"/>
                <w:sz w:val="18"/>
                <w:szCs w:val="18"/>
              </w:rPr>
              <w:t>.本产品设置不同的理财产品份额，每类理财产品份额以下内容可能单独设置：</w:t>
            </w:r>
          </w:p>
          <w:p w14:paraId="3FAED74E">
            <w:pPr>
              <w:spacing w:line="360" w:lineRule="auto"/>
              <w:rPr>
                <w:rFonts w:ascii="宋体" w:hAnsi="宋体"/>
                <w:bCs/>
                <w:color w:val="auto"/>
                <w:sz w:val="18"/>
                <w:szCs w:val="18"/>
              </w:rPr>
            </w:pPr>
            <w:r>
              <w:rPr>
                <w:rFonts w:hint="eastAsia" w:ascii="宋体" w:hAnsi="宋体"/>
                <w:bCs/>
                <w:color w:val="auto"/>
                <w:sz w:val="18"/>
                <w:szCs w:val="18"/>
              </w:rPr>
              <w:t>（1）销售名称</w:t>
            </w:r>
          </w:p>
          <w:p w14:paraId="28EDA306">
            <w:pPr>
              <w:spacing w:line="360" w:lineRule="auto"/>
              <w:rPr>
                <w:rFonts w:ascii="宋体" w:hAnsi="宋体"/>
                <w:bCs/>
                <w:color w:val="auto"/>
                <w:sz w:val="18"/>
                <w:szCs w:val="18"/>
              </w:rPr>
            </w:pPr>
            <w:r>
              <w:rPr>
                <w:rFonts w:hint="eastAsia" w:ascii="宋体" w:hAnsi="宋体"/>
                <w:bCs/>
                <w:color w:val="auto"/>
                <w:sz w:val="18"/>
                <w:szCs w:val="18"/>
              </w:rPr>
              <w:t>（2）收费方式</w:t>
            </w:r>
          </w:p>
          <w:p w14:paraId="3A32ABB0">
            <w:pPr>
              <w:spacing w:line="360" w:lineRule="auto"/>
              <w:rPr>
                <w:rFonts w:ascii="宋体" w:hAnsi="宋体"/>
                <w:bCs/>
                <w:color w:val="auto"/>
                <w:sz w:val="18"/>
                <w:szCs w:val="18"/>
              </w:rPr>
            </w:pPr>
            <w:r>
              <w:rPr>
                <w:rFonts w:hint="eastAsia" w:ascii="宋体" w:hAnsi="宋体"/>
                <w:bCs/>
                <w:color w:val="auto"/>
                <w:sz w:val="18"/>
                <w:szCs w:val="18"/>
              </w:rPr>
              <w:t>（3）销售服务费</w:t>
            </w:r>
          </w:p>
          <w:p w14:paraId="6C0F652E">
            <w:pPr>
              <w:spacing w:line="360" w:lineRule="auto"/>
              <w:rPr>
                <w:rFonts w:ascii="宋体" w:hAnsi="宋体"/>
                <w:bCs/>
                <w:color w:val="auto"/>
                <w:sz w:val="18"/>
                <w:szCs w:val="18"/>
              </w:rPr>
            </w:pPr>
            <w:r>
              <w:rPr>
                <w:rFonts w:hint="eastAsia" w:ascii="宋体" w:hAnsi="宋体"/>
                <w:bCs/>
                <w:color w:val="auto"/>
                <w:sz w:val="18"/>
                <w:szCs w:val="18"/>
              </w:rPr>
              <w:t>（4）销售代码</w:t>
            </w:r>
          </w:p>
          <w:p w14:paraId="49801949">
            <w:pPr>
              <w:spacing w:line="360" w:lineRule="auto"/>
              <w:rPr>
                <w:rFonts w:ascii="宋体" w:hAnsi="宋体"/>
                <w:bCs/>
                <w:color w:val="auto"/>
                <w:sz w:val="18"/>
                <w:szCs w:val="18"/>
              </w:rPr>
            </w:pPr>
            <w:r>
              <w:rPr>
                <w:rFonts w:hint="eastAsia" w:ascii="宋体" w:hAnsi="宋体"/>
                <w:bCs/>
                <w:color w:val="auto"/>
                <w:sz w:val="18"/>
                <w:szCs w:val="18"/>
              </w:rPr>
              <w:t>（5）销售对象</w:t>
            </w:r>
          </w:p>
          <w:p w14:paraId="02ABEBC4">
            <w:pPr>
              <w:spacing w:line="360" w:lineRule="auto"/>
              <w:rPr>
                <w:rFonts w:ascii="宋体" w:hAnsi="宋体"/>
                <w:bCs/>
                <w:color w:val="auto"/>
                <w:sz w:val="18"/>
                <w:szCs w:val="18"/>
              </w:rPr>
            </w:pPr>
            <w:r>
              <w:rPr>
                <w:rFonts w:hint="eastAsia" w:ascii="宋体" w:hAnsi="宋体"/>
                <w:bCs/>
                <w:color w:val="auto"/>
                <w:sz w:val="18"/>
                <w:szCs w:val="18"/>
              </w:rPr>
              <w:t>（6）销售起点金额（认购、申购的起点金额）</w:t>
            </w:r>
          </w:p>
          <w:p w14:paraId="6528D4D9">
            <w:pPr>
              <w:spacing w:line="360" w:lineRule="auto"/>
              <w:rPr>
                <w:rFonts w:ascii="宋体" w:hAnsi="宋体"/>
                <w:bCs/>
                <w:color w:val="auto"/>
                <w:sz w:val="18"/>
                <w:szCs w:val="18"/>
              </w:rPr>
            </w:pPr>
            <w:r>
              <w:rPr>
                <w:rFonts w:hint="eastAsia" w:ascii="宋体" w:hAnsi="宋体"/>
                <w:bCs/>
                <w:color w:val="auto"/>
                <w:sz w:val="18"/>
                <w:szCs w:val="18"/>
              </w:rPr>
              <w:t>（7）投资者认购、申购和赎回的数量限制</w:t>
            </w:r>
          </w:p>
          <w:p w14:paraId="74D2DBEF">
            <w:pPr>
              <w:spacing w:line="360" w:lineRule="auto"/>
              <w:rPr>
                <w:rFonts w:ascii="宋体" w:hAnsi="宋体"/>
                <w:bCs/>
                <w:color w:val="auto"/>
                <w:sz w:val="18"/>
                <w:szCs w:val="18"/>
              </w:rPr>
            </w:pPr>
            <w:r>
              <w:rPr>
                <w:rFonts w:hint="eastAsia" w:ascii="宋体" w:hAnsi="宋体"/>
                <w:bCs/>
                <w:color w:val="auto"/>
                <w:sz w:val="18"/>
                <w:szCs w:val="18"/>
              </w:rPr>
              <w:t>（8）投资者</w:t>
            </w:r>
            <w:r>
              <w:rPr>
                <w:rFonts w:hint="eastAsia" w:asciiTheme="minorEastAsia" w:hAnsiTheme="minorEastAsia"/>
                <w:bCs/>
                <w:color w:val="auto"/>
                <w:sz w:val="18"/>
                <w:szCs w:val="18"/>
              </w:rPr>
              <w:t>持有本产品的最高限额、最低限额</w:t>
            </w:r>
          </w:p>
          <w:p w14:paraId="2791CBD9">
            <w:pPr>
              <w:spacing w:line="360" w:lineRule="auto"/>
              <w:rPr>
                <w:rFonts w:ascii="宋体" w:hAnsi="宋体"/>
                <w:bCs/>
                <w:color w:val="auto"/>
                <w:sz w:val="18"/>
                <w:szCs w:val="18"/>
              </w:rPr>
            </w:pPr>
            <w:r>
              <w:rPr>
                <w:rFonts w:hint="eastAsia" w:ascii="宋体" w:hAnsi="宋体"/>
                <w:bCs/>
                <w:color w:val="auto"/>
                <w:sz w:val="18"/>
                <w:szCs w:val="18"/>
              </w:rPr>
              <w:t>（9）分别计算和公告产品份额净值</w:t>
            </w:r>
          </w:p>
          <w:p w14:paraId="0FD03D71">
            <w:pPr>
              <w:spacing w:line="360" w:lineRule="auto"/>
              <w:rPr>
                <w:rFonts w:ascii="宋体" w:hAnsi="宋体"/>
                <w:bCs/>
                <w:color w:val="auto"/>
                <w:sz w:val="18"/>
                <w:szCs w:val="18"/>
              </w:rPr>
            </w:pPr>
            <w:r>
              <w:rPr>
                <w:rFonts w:ascii="宋体" w:hAnsi="宋体"/>
                <w:bCs/>
                <w:color w:val="auto"/>
                <w:sz w:val="18"/>
                <w:szCs w:val="18"/>
              </w:rPr>
              <w:t>3</w:t>
            </w:r>
            <w:r>
              <w:rPr>
                <w:rFonts w:hint="eastAsia" w:ascii="宋体" w:hAnsi="宋体"/>
                <w:bCs/>
                <w:color w:val="auto"/>
                <w:sz w:val="18"/>
                <w:szCs w:val="18"/>
              </w:rPr>
              <w:t>.投资者可根据实际情况自行选择认购的产品份额类别。</w:t>
            </w:r>
          </w:p>
          <w:p w14:paraId="0E149AF9">
            <w:pPr>
              <w:spacing w:line="360" w:lineRule="auto"/>
              <w:rPr>
                <w:rFonts w:ascii="宋体" w:hAnsi="宋体"/>
                <w:b/>
                <w:bCs/>
                <w:color w:val="auto"/>
                <w:sz w:val="18"/>
                <w:szCs w:val="18"/>
              </w:rPr>
            </w:pPr>
            <w:r>
              <w:rPr>
                <w:rFonts w:hint="eastAsia" w:ascii="黑体" w:hAnsi="黑体" w:eastAsia="黑体"/>
                <w:color w:val="auto"/>
                <w:sz w:val="18"/>
                <w:szCs w:val="18"/>
              </w:rPr>
              <w:t>注：本产品说明书所列示产品份额类别仅为本产品项下某一类产品份额。其他类别的产品份额情况以产品管理人披露为准。</w:t>
            </w:r>
          </w:p>
        </w:tc>
      </w:tr>
      <w:tr w14:paraId="7EABA1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3955593">
            <w:pPr>
              <w:spacing w:line="360" w:lineRule="auto"/>
              <w:jc w:val="left"/>
              <w:rPr>
                <w:rFonts w:hAnsi="宋体"/>
                <w:color w:val="auto"/>
                <w:sz w:val="18"/>
                <w:szCs w:val="18"/>
              </w:rPr>
            </w:pPr>
            <w:r>
              <w:rPr>
                <w:rFonts w:hint="eastAsia" w:hAnsi="宋体"/>
                <w:color w:val="auto"/>
                <w:sz w:val="18"/>
                <w:szCs w:val="18"/>
              </w:rPr>
              <w:t>★</w:t>
            </w:r>
            <w:r>
              <w:rPr>
                <w:rFonts w:hint="eastAsia" w:asciiTheme="majorEastAsia" w:hAnsiTheme="majorEastAsia" w:eastAsiaTheme="majorEastAsia"/>
                <w:b/>
                <w:color w:val="auto"/>
                <w:sz w:val="18"/>
                <w:szCs w:val="18"/>
              </w:rPr>
              <w:t>产品基本类型</w:t>
            </w:r>
          </w:p>
        </w:tc>
        <w:tc>
          <w:tcPr>
            <w:tcW w:w="7704" w:type="dxa"/>
            <w:shd w:val="solid" w:color="FFFFFF" w:fill="FFFFFF"/>
            <w:vAlign w:val="center"/>
          </w:tcPr>
          <w:p w14:paraId="42A3556D">
            <w:pPr>
              <w:adjustRightInd w:val="0"/>
              <w:snapToGrid w:val="0"/>
              <w:spacing w:line="276" w:lineRule="auto"/>
              <w:rPr>
                <w:rFonts w:ascii="黑体" w:hAnsi="黑体" w:eastAsia="黑体"/>
                <w:bCs/>
                <w:color w:val="auto"/>
                <w:sz w:val="18"/>
                <w:szCs w:val="18"/>
              </w:rPr>
            </w:pPr>
            <w:r>
              <w:rPr>
                <w:rFonts w:hint="eastAsia" w:ascii="黑体" w:hAnsi="黑体" w:eastAsia="黑体"/>
                <w:color w:val="auto"/>
                <w:sz w:val="18"/>
                <w:szCs w:val="18"/>
              </w:rPr>
              <w:t>公募</w:t>
            </w:r>
            <w:r>
              <w:rPr>
                <w:rFonts w:hint="eastAsia" w:ascii="黑体" w:hAnsi="黑体" w:eastAsia="黑体"/>
                <w:bCs/>
                <w:color w:val="auto"/>
                <w:sz w:val="18"/>
                <w:szCs w:val="18"/>
              </w:rPr>
              <w:t>、开放式、固定收益类、非保本浮动</w:t>
            </w:r>
            <w:r>
              <w:rPr>
                <w:rFonts w:ascii="黑体" w:hAnsi="黑体" w:eastAsia="黑体"/>
                <w:bCs/>
                <w:color w:val="auto"/>
                <w:sz w:val="18"/>
                <w:szCs w:val="18"/>
              </w:rPr>
              <w:t>收益</w:t>
            </w:r>
            <w:r>
              <w:rPr>
                <w:rFonts w:hint="eastAsia" w:ascii="黑体" w:hAnsi="黑体" w:eastAsia="黑体"/>
                <w:bCs/>
                <w:color w:val="auto"/>
                <w:sz w:val="18"/>
                <w:szCs w:val="18"/>
              </w:rPr>
              <w:t>、净值型</w:t>
            </w:r>
          </w:p>
        </w:tc>
      </w:tr>
      <w:tr w14:paraId="317562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7F696FEB">
            <w:pPr>
              <w:spacing w:line="360" w:lineRule="auto"/>
              <w:jc w:val="left"/>
              <w:rPr>
                <w:rFonts w:ascii="宋体" w:hAnsi="宋体"/>
                <w:b/>
                <w:bCs/>
                <w:color w:val="auto"/>
                <w:sz w:val="18"/>
                <w:szCs w:val="18"/>
              </w:rPr>
            </w:pPr>
            <w:r>
              <w:rPr>
                <w:rFonts w:hint="eastAsia" w:asciiTheme="majorEastAsia" w:hAnsiTheme="majorEastAsia" w:eastAsiaTheme="majorEastAsia"/>
                <w:b/>
                <w:color w:val="auto"/>
                <w:sz w:val="18"/>
                <w:szCs w:val="18"/>
              </w:rPr>
              <w:t>产品募集方式</w:t>
            </w:r>
          </w:p>
        </w:tc>
        <w:tc>
          <w:tcPr>
            <w:tcW w:w="7704" w:type="dxa"/>
            <w:shd w:val="solid" w:color="FFFFFF" w:fill="FFFFFF"/>
            <w:vAlign w:val="center"/>
          </w:tcPr>
          <w:p w14:paraId="3B50D8CC">
            <w:pPr>
              <w:spacing w:line="360" w:lineRule="auto"/>
              <w:rPr>
                <w:rFonts w:ascii="宋体" w:hAnsi="宋体"/>
                <w:bCs/>
                <w:color w:val="auto"/>
                <w:sz w:val="18"/>
                <w:szCs w:val="18"/>
              </w:rPr>
            </w:pPr>
            <w:r>
              <w:rPr>
                <w:rFonts w:hint="eastAsia" w:asciiTheme="majorEastAsia" w:hAnsiTheme="majorEastAsia" w:eastAsiaTheme="majorEastAsia"/>
                <w:color w:val="auto"/>
                <w:sz w:val="18"/>
                <w:szCs w:val="18"/>
              </w:rPr>
              <w:t>公募</w:t>
            </w:r>
          </w:p>
        </w:tc>
      </w:tr>
      <w:tr w14:paraId="79EE31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AF9F3E1">
            <w:pPr>
              <w:spacing w:line="360" w:lineRule="auto"/>
              <w:jc w:val="left"/>
              <w:rPr>
                <w:rFonts w:ascii="宋体" w:hAnsi="宋体"/>
                <w:b/>
                <w:bCs/>
                <w:color w:val="auto"/>
                <w:sz w:val="18"/>
                <w:szCs w:val="18"/>
              </w:rPr>
            </w:pPr>
            <w:r>
              <w:rPr>
                <w:rFonts w:hint="eastAsia" w:asciiTheme="majorEastAsia" w:hAnsiTheme="majorEastAsia" w:eastAsiaTheme="majorEastAsia"/>
                <w:b/>
                <w:color w:val="auto"/>
                <w:sz w:val="18"/>
                <w:szCs w:val="18"/>
              </w:rPr>
              <w:t>产品运作方式</w:t>
            </w:r>
          </w:p>
        </w:tc>
        <w:tc>
          <w:tcPr>
            <w:tcW w:w="7704" w:type="dxa"/>
            <w:shd w:val="solid" w:color="FFFFFF" w:fill="FFFFFF"/>
            <w:vAlign w:val="center"/>
          </w:tcPr>
          <w:p w14:paraId="5BBF61B7">
            <w:pPr>
              <w:spacing w:line="360" w:lineRule="auto"/>
              <w:rPr>
                <w:rFonts w:ascii="宋体" w:hAnsi="宋体"/>
                <w:bCs/>
                <w:color w:val="auto"/>
                <w:sz w:val="18"/>
                <w:szCs w:val="18"/>
              </w:rPr>
            </w:pPr>
            <w:r>
              <w:rPr>
                <w:rFonts w:hint="eastAsia" w:ascii="宋体" w:hAnsi="宋体"/>
                <w:bCs/>
                <w:color w:val="auto"/>
                <w:sz w:val="18"/>
                <w:szCs w:val="18"/>
              </w:rPr>
              <w:t>开放式</w:t>
            </w:r>
          </w:p>
        </w:tc>
      </w:tr>
      <w:tr w14:paraId="717FAB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29810DD">
            <w:pPr>
              <w:spacing w:line="360" w:lineRule="auto"/>
              <w:jc w:val="left"/>
              <w:rPr>
                <w:rFonts w:ascii="宋体" w:hAnsi="宋体"/>
                <w:b/>
                <w:bCs/>
                <w:color w:val="auto"/>
                <w:sz w:val="18"/>
                <w:szCs w:val="18"/>
              </w:rPr>
            </w:pPr>
            <w:r>
              <w:rPr>
                <w:rFonts w:hint="eastAsia" w:hAnsi="宋体"/>
                <w:color w:val="auto"/>
                <w:sz w:val="18"/>
                <w:szCs w:val="18"/>
              </w:rPr>
              <w:t>★</w:t>
            </w:r>
            <w:r>
              <w:rPr>
                <w:rFonts w:hint="eastAsia" w:asciiTheme="majorEastAsia" w:hAnsiTheme="majorEastAsia" w:eastAsiaTheme="majorEastAsia"/>
                <w:b/>
                <w:color w:val="auto"/>
                <w:sz w:val="18"/>
                <w:szCs w:val="18"/>
              </w:rPr>
              <w:t>产品投资性质</w:t>
            </w:r>
          </w:p>
        </w:tc>
        <w:tc>
          <w:tcPr>
            <w:tcW w:w="7704" w:type="dxa"/>
            <w:shd w:val="solid" w:color="FFFFFF" w:fill="FFFFFF"/>
            <w:vAlign w:val="center"/>
          </w:tcPr>
          <w:p w14:paraId="282E8079">
            <w:pPr>
              <w:adjustRightInd w:val="0"/>
              <w:snapToGrid w:val="0"/>
              <w:spacing w:line="360" w:lineRule="auto"/>
              <w:rPr>
                <w:rFonts w:ascii="黑体" w:hAnsi="黑体" w:eastAsia="黑体"/>
                <w:bCs/>
                <w:color w:val="auto"/>
                <w:sz w:val="18"/>
                <w:szCs w:val="18"/>
              </w:rPr>
            </w:pPr>
            <w:r>
              <w:rPr>
                <w:rFonts w:hint="eastAsia" w:ascii="黑体" w:hAnsi="黑体" w:eastAsia="黑体"/>
                <w:bCs/>
                <w:color w:val="auto"/>
                <w:sz w:val="18"/>
                <w:szCs w:val="18"/>
              </w:rPr>
              <w:t>固定收益类</w:t>
            </w:r>
          </w:p>
          <w:p w14:paraId="0E65080E">
            <w:pPr>
              <w:adjustRightInd w:val="0"/>
              <w:snapToGrid w:val="0"/>
              <w:spacing w:line="360" w:lineRule="auto"/>
              <w:rPr>
                <w:rFonts w:ascii="黑体" w:hAnsi="黑体" w:eastAsia="黑体"/>
                <w:bCs/>
                <w:color w:val="auto"/>
                <w:sz w:val="18"/>
                <w:szCs w:val="18"/>
              </w:rPr>
            </w:pPr>
            <w:r>
              <w:rPr>
                <w:rFonts w:hint="eastAsia" w:ascii="黑体" w:hAnsi="黑体" w:eastAsia="黑体"/>
                <w:bCs/>
                <w:color w:val="auto"/>
                <w:sz w:val="18"/>
                <w:szCs w:val="18"/>
              </w:rPr>
              <w:t>固定</w:t>
            </w:r>
            <w:r>
              <w:rPr>
                <w:rFonts w:ascii="黑体" w:hAnsi="黑体" w:eastAsia="黑体"/>
                <w:bCs/>
                <w:color w:val="auto"/>
                <w:sz w:val="18"/>
                <w:szCs w:val="18"/>
              </w:rPr>
              <w:t>收益</w:t>
            </w:r>
            <w:r>
              <w:rPr>
                <w:rFonts w:hint="eastAsia" w:ascii="黑体" w:hAnsi="黑体" w:eastAsia="黑体"/>
                <w:bCs/>
                <w:color w:val="auto"/>
                <w:sz w:val="18"/>
                <w:szCs w:val="18"/>
              </w:rPr>
              <w:t>类</w:t>
            </w:r>
            <w:r>
              <w:rPr>
                <w:rFonts w:ascii="黑体" w:hAnsi="黑体" w:eastAsia="黑体"/>
                <w:bCs/>
                <w:color w:val="auto"/>
                <w:sz w:val="18"/>
                <w:szCs w:val="18"/>
              </w:rPr>
              <w:t>产品是指根据监管</w:t>
            </w:r>
            <w:r>
              <w:rPr>
                <w:rFonts w:hint="eastAsia" w:ascii="黑体" w:hAnsi="黑体" w:eastAsia="黑体"/>
                <w:bCs/>
                <w:color w:val="auto"/>
                <w:sz w:val="18"/>
                <w:szCs w:val="18"/>
              </w:rPr>
              <w:t>相关规定</w:t>
            </w:r>
            <w:r>
              <w:rPr>
                <w:rFonts w:ascii="黑体" w:hAnsi="黑体" w:eastAsia="黑体"/>
                <w:bCs/>
                <w:color w:val="auto"/>
                <w:sz w:val="18"/>
                <w:szCs w:val="18"/>
              </w:rPr>
              <w:t>，投资于债权类资产的</w:t>
            </w:r>
            <w:r>
              <w:rPr>
                <w:rFonts w:hint="eastAsia" w:ascii="黑体" w:hAnsi="黑体" w:eastAsia="黑体"/>
                <w:bCs/>
                <w:color w:val="auto"/>
                <w:sz w:val="18"/>
                <w:szCs w:val="18"/>
              </w:rPr>
              <w:t>比例</w:t>
            </w:r>
            <w:r>
              <w:rPr>
                <w:rFonts w:ascii="黑体" w:hAnsi="黑体" w:eastAsia="黑体"/>
                <w:bCs/>
                <w:color w:val="auto"/>
                <w:sz w:val="18"/>
                <w:szCs w:val="18"/>
              </w:rPr>
              <w:t>不低于80%的产品</w:t>
            </w:r>
            <w:r>
              <w:rPr>
                <w:rFonts w:hint="eastAsia" w:ascii="黑体" w:hAnsi="黑体" w:eastAsia="黑体"/>
                <w:bCs/>
                <w:color w:val="auto"/>
                <w:sz w:val="18"/>
                <w:szCs w:val="18"/>
              </w:rPr>
              <w:t>。</w:t>
            </w:r>
          </w:p>
        </w:tc>
      </w:tr>
      <w:tr w14:paraId="27E40B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CFA4C6C">
            <w:pPr>
              <w:spacing w:line="360" w:lineRule="auto"/>
              <w:jc w:val="left"/>
              <w:rPr>
                <w:rFonts w:asciiTheme="majorEastAsia" w:hAnsiTheme="majorEastAsia" w:eastAsiaTheme="majorEastAsia"/>
                <w:b/>
                <w:color w:val="auto"/>
                <w:sz w:val="18"/>
                <w:szCs w:val="18"/>
              </w:rPr>
            </w:pPr>
            <w:r>
              <w:rPr>
                <w:rFonts w:hint="eastAsia" w:hAnsi="宋体"/>
                <w:color w:val="auto"/>
                <w:sz w:val="18"/>
                <w:szCs w:val="18"/>
              </w:rPr>
              <w:t>★</w:t>
            </w:r>
            <w:r>
              <w:rPr>
                <w:rFonts w:hint="eastAsia" w:asciiTheme="majorEastAsia" w:hAnsiTheme="majorEastAsia" w:eastAsiaTheme="majorEastAsia"/>
                <w:b/>
                <w:color w:val="auto"/>
                <w:sz w:val="18"/>
                <w:szCs w:val="18"/>
              </w:rPr>
              <w:t>产品</w:t>
            </w:r>
            <w:r>
              <w:rPr>
                <w:rFonts w:asciiTheme="majorEastAsia" w:hAnsiTheme="majorEastAsia" w:eastAsiaTheme="majorEastAsia"/>
                <w:b/>
                <w:color w:val="auto"/>
                <w:sz w:val="18"/>
                <w:szCs w:val="18"/>
              </w:rPr>
              <w:t>收益特征</w:t>
            </w:r>
          </w:p>
        </w:tc>
        <w:tc>
          <w:tcPr>
            <w:tcW w:w="7704" w:type="dxa"/>
            <w:shd w:val="solid" w:color="FFFFFF" w:fill="FFFFFF"/>
            <w:vAlign w:val="center"/>
          </w:tcPr>
          <w:p w14:paraId="334AAAC5">
            <w:pPr>
              <w:adjustRightInd w:val="0"/>
              <w:snapToGrid w:val="0"/>
              <w:spacing w:line="360" w:lineRule="auto"/>
              <w:rPr>
                <w:rFonts w:ascii="黑体" w:hAnsi="黑体" w:eastAsia="黑体" w:cs="黑体"/>
                <w:bCs/>
                <w:color w:val="auto"/>
                <w:sz w:val="18"/>
                <w:szCs w:val="18"/>
              </w:rPr>
            </w:pPr>
            <w:r>
              <w:rPr>
                <w:rFonts w:hint="eastAsia" w:ascii="黑体" w:hAnsi="黑体" w:eastAsia="黑体" w:cs="黑体"/>
                <w:bCs/>
                <w:color w:val="auto"/>
                <w:sz w:val="18"/>
                <w:szCs w:val="18"/>
              </w:rPr>
              <w:t>非保本浮动收益</w:t>
            </w:r>
          </w:p>
          <w:p w14:paraId="322F2437">
            <w:pPr>
              <w:adjustRightInd w:val="0"/>
              <w:snapToGrid w:val="0"/>
              <w:spacing w:line="360" w:lineRule="auto"/>
              <w:rPr>
                <w:rFonts w:ascii="黑体" w:hAnsi="黑体" w:eastAsia="黑体" w:cs="黑体"/>
                <w:bCs/>
                <w:color w:val="auto"/>
                <w:sz w:val="18"/>
                <w:szCs w:val="18"/>
              </w:rPr>
            </w:pPr>
            <w:r>
              <w:rPr>
                <w:rFonts w:hint="eastAsia" w:ascii="黑体" w:hAnsi="黑体" w:eastAsia="黑体" w:cs="黑体"/>
                <w:bCs/>
                <w:color w:val="auto"/>
                <w:sz w:val="18"/>
                <w:szCs w:val="18"/>
              </w:rPr>
              <w:t>本产品不保证本金且不保证收益。本产品的收益随投资收益浮动，投资者可能会因市场变动而蒙受损失。</w:t>
            </w:r>
          </w:p>
          <w:p w14:paraId="0A6DA8B5">
            <w:pPr>
              <w:adjustRightInd w:val="0"/>
              <w:snapToGrid w:val="0"/>
              <w:spacing w:line="360" w:lineRule="auto"/>
              <w:rPr>
                <w:rFonts w:ascii="黑体" w:hAnsi="黑体" w:eastAsia="黑体" w:cs="黑体"/>
                <w:bCs/>
                <w:color w:val="auto"/>
                <w:sz w:val="18"/>
                <w:szCs w:val="18"/>
              </w:rPr>
            </w:pPr>
            <w:r>
              <w:rPr>
                <w:rFonts w:hint="eastAsia" w:ascii="黑体" w:hAnsi="黑体" w:eastAsia="黑体" w:cs="黑体"/>
                <w:bCs/>
                <w:color w:val="auto"/>
                <w:sz w:val="18"/>
                <w:szCs w:val="18"/>
              </w:rPr>
              <w:t>产品管理人对本产品的本金并不提供保证，也不承诺任何固定收益。</w:t>
            </w:r>
          </w:p>
        </w:tc>
      </w:tr>
      <w:tr w14:paraId="37AC4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A9A95DC">
            <w:pPr>
              <w:spacing w:line="360" w:lineRule="auto"/>
              <w:jc w:val="left"/>
              <w:rPr>
                <w:rFonts w:ascii="宋体" w:hAnsi="宋体"/>
                <w:b/>
                <w:bCs/>
                <w:color w:val="auto"/>
                <w:sz w:val="18"/>
                <w:szCs w:val="18"/>
              </w:rPr>
            </w:pPr>
            <w:r>
              <w:rPr>
                <w:rFonts w:hint="eastAsia" w:asciiTheme="majorEastAsia" w:hAnsiTheme="majorEastAsia" w:eastAsiaTheme="majorEastAsia"/>
                <w:b/>
                <w:color w:val="auto"/>
                <w:sz w:val="18"/>
                <w:szCs w:val="18"/>
              </w:rPr>
              <w:t>理财币种</w:t>
            </w:r>
          </w:p>
        </w:tc>
        <w:tc>
          <w:tcPr>
            <w:tcW w:w="7704" w:type="dxa"/>
            <w:shd w:val="solid" w:color="FFFFFF" w:fill="FFFFFF"/>
            <w:vAlign w:val="center"/>
          </w:tcPr>
          <w:p w14:paraId="265B52BB">
            <w:pPr>
              <w:spacing w:line="360" w:lineRule="auto"/>
              <w:rPr>
                <w:rFonts w:ascii="宋体" w:hAnsi="宋体"/>
                <w:bCs/>
                <w:color w:val="auto"/>
                <w:sz w:val="18"/>
                <w:szCs w:val="18"/>
              </w:rPr>
            </w:pPr>
            <w:r>
              <w:rPr>
                <w:rFonts w:hint="eastAsia" w:asciiTheme="majorEastAsia" w:hAnsiTheme="majorEastAsia" w:eastAsiaTheme="majorEastAsia"/>
                <w:color w:val="auto"/>
                <w:sz w:val="18"/>
                <w:szCs w:val="18"/>
              </w:rPr>
              <w:t>人民币</w:t>
            </w:r>
          </w:p>
        </w:tc>
      </w:tr>
      <w:tr w14:paraId="533B5D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6C066B4">
            <w:pPr>
              <w:spacing w:line="360" w:lineRule="auto"/>
              <w:jc w:val="left"/>
              <w:rPr>
                <w:rFonts w:ascii="宋体" w:hAnsi="宋体"/>
                <w:b/>
                <w:bCs/>
                <w:color w:val="auto"/>
                <w:sz w:val="18"/>
                <w:szCs w:val="18"/>
              </w:rPr>
            </w:pPr>
            <w:r>
              <w:rPr>
                <w:rFonts w:hint="eastAsia" w:hAnsi="宋体"/>
                <w:color w:val="auto"/>
                <w:sz w:val="18"/>
                <w:szCs w:val="18"/>
              </w:rPr>
              <w:t>★</w:t>
            </w:r>
            <w:r>
              <w:rPr>
                <w:rFonts w:hint="eastAsia" w:asciiTheme="majorEastAsia" w:hAnsiTheme="majorEastAsia" w:eastAsiaTheme="majorEastAsia"/>
                <w:b/>
                <w:bCs/>
                <w:color w:val="auto"/>
                <w:sz w:val="18"/>
                <w:szCs w:val="18"/>
              </w:rPr>
              <w:t>产品风险评级</w:t>
            </w:r>
          </w:p>
        </w:tc>
        <w:tc>
          <w:tcPr>
            <w:tcW w:w="7704" w:type="dxa"/>
            <w:shd w:val="solid" w:color="FFFFFF" w:fill="FFFFFF"/>
          </w:tcPr>
          <w:p w14:paraId="7ED5D844">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本产品属于【■ </w:t>
            </w:r>
            <w:r>
              <w:rPr>
                <w:rFonts w:asciiTheme="majorEastAsia" w:hAnsiTheme="majorEastAsia" w:eastAsiaTheme="majorEastAsia"/>
                <w:bCs/>
                <w:color w:val="auto"/>
                <w:sz w:val="18"/>
                <w:szCs w:val="18"/>
              </w:rPr>
              <w:t>R1、</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 R2、</w:t>
            </w:r>
            <w:r>
              <w:rPr>
                <w:rFonts w:hint="eastAsia" w:asciiTheme="majorEastAsia" w:hAnsiTheme="majorEastAsia" w:eastAsiaTheme="majorEastAsia"/>
                <w:bCs/>
                <w:color w:val="auto"/>
                <w:sz w:val="18"/>
                <w:szCs w:val="18"/>
              </w:rPr>
              <w:t xml:space="preserve">□ </w:t>
            </w:r>
            <w:r>
              <w:rPr>
                <w:rFonts w:asciiTheme="majorEastAsia" w:hAnsiTheme="majorEastAsia" w:eastAsiaTheme="majorEastAsia"/>
                <w:bCs/>
                <w:color w:val="auto"/>
                <w:sz w:val="18"/>
                <w:szCs w:val="18"/>
              </w:rPr>
              <w:t>R3、</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 R4、</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 xml:space="preserve"> R5】理财产品</w:t>
            </w:r>
            <w:r>
              <w:rPr>
                <w:rFonts w:hint="eastAsia" w:asciiTheme="majorEastAsia" w:hAnsiTheme="majorEastAsia" w:eastAsiaTheme="majorEastAsia"/>
                <w:bCs/>
                <w:color w:val="auto"/>
                <w:sz w:val="18"/>
                <w:szCs w:val="18"/>
              </w:rPr>
              <w:t>。</w:t>
            </w:r>
          </w:p>
          <w:p w14:paraId="360F2747">
            <w:pPr>
              <w:spacing w:line="360" w:lineRule="auto"/>
              <w:rPr>
                <w:rFonts w:ascii="黑体" w:hAnsi="黑体" w:eastAsia="黑体"/>
                <w:color w:val="auto"/>
                <w:sz w:val="18"/>
                <w:szCs w:val="18"/>
              </w:rPr>
            </w:pPr>
            <w:r>
              <w:rPr>
                <w:rFonts w:hint="eastAsia" w:ascii="黑体" w:hAnsi="黑体" w:eastAsia="黑体"/>
                <w:color w:val="auto"/>
                <w:sz w:val="18"/>
                <w:szCs w:val="18"/>
              </w:rPr>
              <w:t>本评级为理财产品管理人内部评级，仅供参考。</w:t>
            </w:r>
          </w:p>
          <w:p w14:paraId="13FDB07F">
            <w:pPr>
              <w:spacing w:line="360" w:lineRule="auto"/>
              <w:rPr>
                <w:rFonts w:ascii="宋体" w:hAnsi="宋体"/>
                <w:b/>
                <w:bCs/>
                <w:color w:val="auto"/>
                <w:sz w:val="18"/>
                <w:szCs w:val="18"/>
              </w:rPr>
            </w:pPr>
            <w:r>
              <w:rPr>
                <w:rFonts w:hint="eastAsia" w:ascii="黑体" w:hAnsi="黑体" w:eastAsia="黑体"/>
                <w:bCs/>
                <w:color w:val="auto"/>
                <w:sz w:val="18"/>
                <w:szCs w:val="18"/>
              </w:rPr>
              <w:t>注</w:t>
            </w:r>
            <w:r>
              <w:rPr>
                <w:rFonts w:ascii="黑体" w:hAnsi="黑体" w:eastAsia="黑体"/>
                <w:bCs/>
                <w:color w:val="auto"/>
                <w:sz w:val="18"/>
                <w:szCs w:val="18"/>
              </w:rPr>
              <w:t>：</w:t>
            </w:r>
            <w:r>
              <w:rPr>
                <w:rFonts w:hint="eastAsia" w:ascii="黑体" w:hAnsi="黑体" w:eastAsia="黑体"/>
                <w:bCs/>
                <w:color w:val="auto"/>
                <w:sz w:val="18"/>
                <w:szCs w:val="18"/>
              </w:rPr>
              <w:t>若本</w:t>
            </w:r>
            <w:r>
              <w:rPr>
                <w:rFonts w:ascii="黑体" w:hAnsi="黑体" w:eastAsia="黑体"/>
                <w:bCs/>
                <w:color w:val="auto"/>
                <w:sz w:val="18"/>
                <w:szCs w:val="18"/>
              </w:rPr>
              <w:t>产品通过代理销售机构销售的，</w:t>
            </w:r>
            <w:r>
              <w:rPr>
                <w:rFonts w:hint="eastAsia" w:ascii="黑体" w:hAnsi="黑体" w:eastAsia="黑体"/>
                <w:bCs/>
                <w:color w:val="auto"/>
                <w:sz w:val="18"/>
                <w:szCs w:val="18"/>
              </w:rPr>
              <w:t>理财产品</w:t>
            </w:r>
            <w:r>
              <w:rPr>
                <w:rFonts w:ascii="黑体" w:hAnsi="黑体" w:eastAsia="黑体"/>
                <w:bCs/>
                <w:color w:val="auto"/>
                <w:sz w:val="18"/>
                <w:szCs w:val="18"/>
              </w:rPr>
              <w:t>评级</w:t>
            </w:r>
            <w:r>
              <w:rPr>
                <w:rFonts w:hint="eastAsia" w:ascii="黑体" w:hAnsi="黑体" w:eastAsia="黑体"/>
                <w:bCs/>
                <w:color w:val="auto"/>
                <w:sz w:val="18"/>
                <w:szCs w:val="18"/>
              </w:rPr>
              <w:t>以</w:t>
            </w:r>
            <w:r>
              <w:rPr>
                <w:rFonts w:ascii="黑体" w:hAnsi="黑体" w:eastAsia="黑体"/>
                <w:bCs/>
                <w:color w:val="auto"/>
                <w:sz w:val="18"/>
                <w:szCs w:val="18"/>
              </w:rPr>
              <w:t>代理销售机构最终披露的评级结果为准。</w:t>
            </w:r>
          </w:p>
        </w:tc>
      </w:tr>
      <w:tr w14:paraId="116A04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F419B11">
            <w:pPr>
              <w:spacing w:line="360" w:lineRule="auto"/>
              <w:jc w:val="left"/>
              <w:rPr>
                <w:rFonts w:hAnsi="宋体"/>
                <w:color w:val="auto"/>
                <w:sz w:val="18"/>
                <w:szCs w:val="18"/>
              </w:rPr>
            </w:pPr>
            <w:r>
              <w:rPr>
                <w:rFonts w:hint="eastAsia" w:hAnsi="宋体"/>
                <w:color w:val="auto"/>
                <w:sz w:val="18"/>
                <w:szCs w:val="18"/>
              </w:rPr>
              <w:t>★</w:t>
            </w:r>
            <w:r>
              <w:rPr>
                <w:rFonts w:hint="eastAsia" w:asciiTheme="majorEastAsia" w:hAnsiTheme="majorEastAsia" w:eastAsiaTheme="majorEastAsia"/>
                <w:b/>
                <w:bCs/>
                <w:color w:val="auto"/>
                <w:sz w:val="18"/>
                <w:szCs w:val="18"/>
              </w:rPr>
              <w:t>销售对象</w:t>
            </w:r>
          </w:p>
        </w:tc>
        <w:tc>
          <w:tcPr>
            <w:tcW w:w="7704" w:type="dxa"/>
            <w:shd w:val="solid" w:color="FFFFFF" w:fill="FFFFFF"/>
            <w:vAlign w:val="bottom"/>
          </w:tcPr>
          <w:p w14:paraId="287BDECF">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本产品</w:t>
            </w:r>
            <w:r>
              <w:rPr>
                <w:rFonts w:asciiTheme="majorEastAsia" w:hAnsiTheme="majorEastAsia" w:eastAsiaTheme="majorEastAsia"/>
                <w:bCs/>
                <w:color w:val="auto"/>
                <w:sz w:val="18"/>
                <w:szCs w:val="18"/>
              </w:rPr>
              <w:t>适合以下类型投资者：</w:t>
            </w:r>
          </w:p>
          <w:p w14:paraId="07D00D53">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■个人投资者</w:t>
            </w:r>
          </w:p>
          <w:p w14:paraId="48117B74">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■机构投资者</w:t>
            </w:r>
          </w:p>
        </w:tc>
      </w:tr>
      <w:tr w14:paraId="15AC8B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A573B26">
            <w:pPr>
              <w:spacing w:line="360" w:lineRule="auto"/>
              <w:jc w:val="left"/>
              <w:rPr>
                <w:rFonts w:hAnsi="宋体"/>
                <w:color w:val="auto"/>
                <w:sz w:val="18"/>
                <w:szCs w:val="18"/>
              </w:rPr>
            </w:pPr>
            <w:r>
              <w:rPr>
                <w:rFonts w:hint="eastAsia" w:hAnsi="宋体"/>
                <w:color w:val="auto"/>
                <w:sz w:val="18"/>
                <w:szCs w:val="18"/>
              </w:rPr>
              <w:t>★</w:t>
            </w:r>
            <w:r>
              <w:rPr>
                <w:rFonts w:hint="eastAsia" w:asciiTheme="majorEastAsia" w:hAnsiTheme="majorEastAsia" w:eastAsiaTheme="majorEastAsia"/>
                <w:b/>
                <w:bCs/>
                <w:color w:val="auto"/>
                <w:sz w:val="18"/>
                <w:szCs w:val="18"/>
              </w:rPr>
              <w:t>销售场景</w:t>
            </w:r>
          </w:p>
        </w:tc>
        <w:tc>
          <w:tcPr>
            <w:tcW w:w="7704" w:type="dxa"/>
            <w:shd w:val="solid" w:color="FFFFFF" w:fill="FFFFFF"/>
            <w:vAlign w:val="center"/>
          </w:tcPr>
          <w:p w14:paraId="7CCF4900">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本产品可在销售机构线上渠道和线下渠道等场景进行销售。</w:t>
            </w:r>
          </w:p>
          <w:p w14:paraId="2B674B0F">
            <w:pPr>
              <w:spacing w:line="360" w:lineRule="auto"/>
              <w:rPr>
                <w:rFonts w:asciiTheme="majorEastAsia" w:hAnsiTheme="majorEastAsia" w:eastAsiaTheme="majorEastAsia"/>
                <w:b/>
                <w:bCs/>
                <w:color w:val="auto"/>
                <w:sz w:val="18"/>
                <w:szCs w:val="18"/>
              </w:rPr>
            </w:pPr>
            <w:r>
              <w:rPr>
                <w:rFonts w:hint="eastAsia" w:ascii="黑体" w:hAnsi="黑体" w:eastAsia="黑体"/>
                <w:color w:val="auto"/>
                <w:sz w:val="18"/>
                <w:szCs w:val="18"/>
              </w:rPr>
              <w:t>注：当销售机构销售产品风险评级为</w:t>
            </w:r>
            <w:r>
              <w:rPr>
                <w:rFonts w:ascii="黑体" w:hAnsi="黑体" w:eastAsia="黑体"/>
                <w:color w:val="auto"/>
                <w:sz w:val="18"/>
                <w:szCs w:val="18"/>
              </w:rPr>
              <w:t>R4</w:t>
            </w:r>
            <w:r>
              <w:rPr>
                <w:rFonts w:hint="eastAsia" w:ascii="黑体" w:hAnsi="黑体" w:eastAsia="黑体"/>
                <w:color w:val="auto"/>
                <w:sz w:val="18"/>
                <w:szCs w:val="18"/>
              </w:rPr>
              <w:t>及</w:t>
            </w:r>
            <w:r>
              <w:rPr>
                <w:rFonts w:ascii="黑体" w:hAnsi="黑体" w:eastAsia="黑体"/>
                <w:color w:val="auto"/>
                <w:sz w:val="18"/>
                <w:szCs w:val="18"/>
              </w:rPr>
              <w:t>以上</w:t>
            </w:r>
            <w:r>
              <w:rPr>
                <w:rFonts w:hint="eastAsia" w:ascii="黑体" w:hAnsi="黑体" w:eastAsia="黑体"/>
                <w:color w:val="auto"/>
                <w:sz w:val="18"/>
                <w:szCs w:val="18"/>
              </w:rPr>
              <w:t>的理财产品时，可在销售机构的营业网点进行，也可依据销售机构的政策在营业网点之外的其他场景进行（具体政策以销售机构公布执行的为准）。</w:t>
            </w:r>
          </w:p>
        </w:tc>
      </w:tr>
      <w:tr w14:paraId="41AAA6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737C383">
            <w:pPr>
              <w:spacing w:line="360" w:lineRule="auto"/>
              <w:jc w:val="left"/>
              <w:rPr>
                <w:rFonts w:hAnsi="宋体"/>
                <w:color w:val="auto"/>
                <w:sz w:val="18"/>
                <w:szCs w:val="18"/>
              </w:rPr>
            </w:pPr>
            <w:r>
              <w:rPr>
                <w:rFonts w:hint="eastAsia" w:asciiTheme="majorEastAsia" w:hAnsiTheme="majorEastAsia" w:eastAsiaTheme="majorEastAsia"/>
                <w:b/>
                <w:color w:val="auto"/>
                <w:sz w:val="18"/>
                <w:szCs w:val="18"/>
              </w:rPr>
              <w:t>销售机构</w:t>
            </w:r>
          </w:p>
        </w:tc>
        <w:tc>
          <w:tcPr>
            <w:tcW w:w="7704" w:type="dxa"/>
            <w:shd w:val="solid" w:color="FFFFFF" w:fill="FFFFFF"/>
            <w:vAlign w:val="center"/>
          </w:tcPr>
          <w:p w14:paraId="473CDDDD">
            <w:pPr>
              <w:spacing w:line="360" w:lineRule="auto"/>
              <w:jc w:val="left"/>
              <w:rPr>
                <w:rFonts w:ascii="宋体" w:hAnsi="宋体"/>
                <w:color w:val="auto"/>
                <w:sz w:val="18"/>
                <w:szCs w:val="18"/>
              </w:rPr>
            </w:pPr>
            <w:r>
              <w:rPr>
                <w:rFonts w:hint="eastAsia" w:ascii="宋体" w:hAnsi="宋体"/>
                <w:color w:val="auto"/>
                <w:sz w:val="18"/>
                <w:szCs w:val="18"/>
              </w:rPr>
              <w:t>□ 直销适用</w:t>
            </w:r>
          </w:p>
          <w:p w14:paraId="1E16C6B1">
            <w:pPr>
              <w:spacing w:line="360" w:lineRule="auto"/>
              <w:jc w:val="left"/>
              <w:rPr>
                <w:rFonts w:ascii="宋体" w:hAnsi="宋体"/>
                <w:color w:val="auto"/>
                <w:sz w:val="18"/>
                <w:szCs w:val="18"/>
              </w:rPr>
            </w:pPr>
            <w:r>
              <w:rPr>
                <w:rFonts w:hint="eastAsia" w:ascii="宋体" w:hAnsi="宋体"/>
                <w:color w:val="auto"/>
                <w:sz w:val="18"/>
                <w:szCs w:val="18"/>
              </w:rPr>
              <w:t>本产品由产品管理人销售。</w:t>
            </w:r>
          </w:p>
          <w:p w14:paraId="36D095BE">
            <w:pPr>
              <w:spacing w:line="360" w:lineRule="auto"/>
              <w:jc w:val="left"/>
              <w:rPr>
                <w:rFonts w:ascii="宋体" w:hAnsi="宋体"/>
                <w:color w:val="auto"/>
                <w:sz w:val="18"/>
                <w:szCs w:val="18"/>
              </w:rPr>
            </w:pPr>
            <w:r>
              <w:rPr>
                <w:rFonts w:hint="eastAsia" w:asciiTheme="majorEastAsia" w:hAnsiTheme="majorEastAsia" w:eastAsiaTheme="majorEastAsia"/>
                <w:bCs/>
                <w:color w:val="auto"/>
                <w:sz w:val="18"/>
                <w:szCs w:val="18"/>
              </w:rPr>
              <w:t>■</w:t>
            </w:r>
            <w:r>
              <w:rPr>
                <w:rFonts w:hint="eastAsia" w:ascii="宋体" w:hAnsi="宋体"/>
                <w:color w:val="auto"/>
                <w:sz w:val="18"/>
                <w:szCs w:val="18"/>
              </w:rPr>
              <w:t xml:space="preserve"> 代销适用</w:t>
            </w:r>
          </w:p>
          <w:p w14:paraId="4883D7FE">
            <w:pPr>
              <w:spacing w:line="360" w:lineRule="auto"/>
              <w:jc w:val="left"/>
              <w:rPr>
                <w:rFonts w:ascii="宋体" w:hAnsi="宋体"/>
                <w:color w:val="auto"/>
                <w:sz w:val="18"/>
                <w:szCs w:val="18"/>
              </w:rPr>
            </w:pPr>
            <w:r>
              <w:rPr>
                <w:rFonts w:hint="eastAsia" w:ascii="宋体" w:hAnsi="宋体"/>
                <w:color w:val="auto"/>
                <w:sz w:val="18"/>
                <w:szCs w:val="18"/>
              </w:rPr>
              <w:t>本产品由代理销售机构</w:t>
            </w:r>
            <w:r>
              <w:rPr>
                <w:rFonts w:ascii="宋体" w:hAnsi="宋体"/>
                <w:color w:val="auto"/>
                <w:sz w:val="18"/>
                <w:szCs w:val="18"/>
              </w:rPr>
              <w:t>销售</w:t>
            </w:r>
            <w:r>
              <w:rPr>
                <w:rFonts w:hint="eastAsia" w:ascii="宋体" w:hAnsi="宋体"/>
                <w:color w:val="auto"/>
                <w:sz w:val="18"/>
                <w:szCs w:val="18"/>
              </w:rPr>
              <w:t>。</w:t>
            </w:r>
          </w:p>
          <w:p w14:paraId="49EA6B2B">
            <w:pPr>
              <w:spacing w:line="360" w:lineRule="auto"/>
              <w:rPr>
                <w:rFonts w:asciiTheme="majorEastAsia" w:hAnsiTheme="majorEastAsia" w:eastAsiaTheme="majorEastAsia"/>
                <w:bCs/>
                <w:color w:val="auto"/>
                <w:sz w:val="18"/>
                <w:szCs w:val="18"/>
              </w:rPr>
            </w:pPr>
            <w:r>
              <w:rPr>
                <w:rFonts w:hint="eastAsia" w:ascii="宋体" w:hAnsi="宋体"/>
                <w:color w:val="auto"/>
                <w:sz w:val="18"/>
                <w:szCs w:val="18"/>
              </w:rPr>
              <w:t>代理销售</w:t>
            </w:r>
            <w:r>
              <w:rPr>
                <w:rFonts w:ascii="宋体" w:hAnsi="宋体"/>
                <w:color w:val="auto"/>
                <w:sz w:val="18"/>
                <w:szCs w:val="18"/>
              </w:rPr>
              <w:t>机构</w:t>
            </w:r>
            <w:r>
              <w:rPr>
                <w:rFonts w:hint="eastAsia" w:ascii="宋体" w:hAnsi="宋体"/>
                <w:color w:val="auto"/>
                <w:sz w:val="18"/>
                <w:szCs w:val="18"/>
              </w:rPr>
              <w:t>合作业务</w:t>
            </w:r>
            <w:r>
              <w:rPr>
                <w:rFonts w:ascii="宋体" w:hAnsi="宋体"/>
                <w:color w:val="auto"/>
                <w:sz w:val="18"/>
                <w:szCs w:val="18"/>
              </w:rPr>
              <w:t>情况</w:t>
            </w:r>
            <w:r>
              <w:rPr>
                <w:rFonts w:hint="eastAsia" w:ascii="宋体" w:hAnsi="宋体"/>
                <w:color w:val="auto"/>
                <w:sz w:val="18"/>
                <w:szCs w:val="18"/>
              </w:rPr>
              <w:t>以</w:t>
            </w:r>
            <w:r>
              <w:rPr>
                <w:rFonts w:ascii="宋体" w:hAnsi="宋体"/>
                <w:color w:val="auto"/>
                <w:sz w:val="18"/>
                <w:szCs w:val="18"/>
              </w:rPr>
              <w:t>产品管理人</w:t>
            </w:r>
            <w:r>
              <w:rPr>
                <w:rFonts w:hint="eastAsia" w:ascii="宋体" w:hAnsi="宋体"/>
                <w:color w:val="auto"/>
                <w:sz w:val="18"/>
                <w:szCs w:val="18"/>
              </w:rPr>
              <w:t>公告为准，</w:t>
            </w:r>
            <w:r>
              <w:rPr>
                <w:rFonts w:ascii="宋体" w:hAnsi="宋体"/>
                <w:color w:val="auto"/>
                <w:sz w:val="18"/>
                <w:szCs w:val="18"/>
              </w:rPr>
              <w:t>具体代理</w:t>
            </w:r>
            <w:r>
              <w:rPr>
                <w:rFonts w:hint="eastAsia" w:ascii="宋体" w:hAnsi="宋体"/>
                <w:color w:val="auto"/>
                <w:sz w:val="18"/>
                <w:szCs w:val="18"/>
              </w:rPr>
              <w:t>销售机构</w:t>
            </w:r>
            <w:r>
              <w:rPr>
                <w:rFonts w:ascii="宋体" w:hAnsi="宋体"/>
                <w:color w:val="auto"/>
                <w:sz w:val="18"/>
                <w:szCs w:val="18"/>
              </w:rPr>
              <w:t>以《</w:t>
            </w:r>
            <w:r>
              <w:rPr>
                <w:rFonts w:hint="eastAsia" w:ascii="宋体" w:hAnsi="宋体"/>
                <w:color w:val="auto"/>
                <w:sz w:val="18"/>
                <w:szCs w:val="18"/>
              </w:rPr>
              <w:t>（代理）</w:t>
            </w:r>
            <w:r>
              <w:rPr>
                <w:rFonts w:ascii="宋体" w:hAnsi="宋体"/>
                <w:color w:val="auto"/>
                <w:sz w:val="18"/>
                <w:szCs w:val="18"/>
              </w:rPr>
              <w:t>销售协议书》</w:t>
            </w:r>
            <w:r>
              <w:rPr>
                <w:rFonts w:hint="eastAsia" w:ascii="宋体" w:hAnsi="宋体"/>
                <w:color w:val="auto"/>
                <w:sz w:val="18"/>
                <w:szCs w:val="18"/>
              </w:rPr>
              <w:t>为准</w:t>
            </w:r>
            <w:r>
              <w:rPr>
                <w:rFonts w:ascii="宋体" w:hAnsi="宋体"/>
                <w:color w:val="auto"/>
                <w:sz w:val="18"/>
                <w:szCs w:val="18"/>
              </w:rPr>
              <w:t>。</w:t>
            </w:r>
          </w:p>
        </w:tc>
      </w:tr>
      <w:tr w14:paraId="1542BF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6EC8663">
            <w:pPr>
              <w:spacing w:line="360" w:lineRule="auto"/>
              <w:jc w:val="left"/>
              <w:rPr>
                <w:rFonts w:hAnsi="宋体"/>
                <w:color w:val="auto"/>
                <w:sz w:val="18"/>
                <w:szCs w:val="18"/>
              </w:rPr>
            </w:pPr>
            <w:r>
              <w:rPr>
                <w:rFonts w:hint="eastAsia" w:asciiTheme="majorEastAsia" w:hAnsiTheme="majorEastAsia" w:eastAsiaTheme="majorEastAsia"/>
                <w:b/>
                <w:bCs/>
                <w:color w:val="auto"/>
                <w:sz w:val="18"/>
                <w:szCs w:val="18"/>
              </w:rPr>
              <w:t>理财产品</w:t>
            </w:r>
            <w:r>
              <w:rPr>
                <w:rFonts w:asciiTheme="majorEastAsia" w:hAnsiTheme="majorEastAsia" w:eastAsiaTheme="majorEastAsia"/>
                <w:b/>
                <w:bCs/>
                <w:color w:val="auto"/>
                <w:sz w:val="18"/>
                <w:szCs w:val="18"/>
              </w:rPr>
              <w:t>管理人</w:t>
            </w:r>
          </w:p>
        </w:tc>
        <w:tc>
          <w:tcPr>
            <w:tcW w:w="7704" w:type="dxa"/>
            <w:shd w:val="solid" w:color="FFFFFF" w:fill="FFFFFF"/>
            <w:vAlign w:val="center"/>
          </w:tcPr>
          <w:p w14:paraId="18B3EB23">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兴银理财有限责任公司</w:t>
            </w:r>
          </w:p>
        </w:tc>
      </w:tr>
      <w:tr w14:paraId="157D71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4D73848">
            <w:pPr>
              <w:spacing w:line="360" w:lineRule="auto"/>
              <w:jc w:val="left"/>
              <w:rPr>
                <w:rFonts w:hAnsi="宋体"/>
                <w:color w:val="auto"/>
                <w:sz w:val="18"/>
                <w:szCs w:val="18"/>
              </w:rPr>
            </w:pPr>
            <w:r>
              <w:rPr>
                <w:rFonts w:hint="eastAsia" w:asciiTheme="majorEastAsia" w:hAnsiTheme="majorEastAsia" w:eastAsiaTheme="majorEastAsia"/>
                <w:b/>
                <w:bCs/>
                <w:color w:val="auto"/>
                <w:sz w:val="18"/>
                <w:szCs w:val="18"/>
              </w:rPr>
              <w:t>理财产品托管人</w:t>
            </w:r>
          </w:p>
        </w:tc>
        <w:tc>
          <w:tcPr>
            <w:tcW w:w="7704" w:type="dxa"/>
            <w:shd w:val="solid" w:color="FFFFFF" w:fill="FFFFFF"/>
            <w:vAlign w:val="center"/>
          </w:tcPr>
          <w:p w14:paraId="634B49DB">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兴业银行股份有限公司</w:t>
            </w:r>
          </w:p>
        </w:tc>
      </w:tr>
      <w:tr w14:paraId="31A759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2FB8A7D6">
            <w:pPr>
              <w:spacing w:line="360" w:lineRule="auto"/>
              <w:jc w:val="left"/>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产品规模</w:t>
            </w:r>
          </w:p>
        </w:tc>
        <w:tc>
          <w:tcPr>
            <w:tcW w:w="7704" w:type="dxa"/>
            <w:shd w:val="solid" w:color="FFFFFF" w:fill="FFFFFF"/>
            <w:vAlign w:val="center"/>
          </w:tcPr>
          <w:p w14:paraId="582DFC89">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1.本产品计划初始</w:t>
            </w:r>
            <w:r>
              <w:rPr>
                <w:rFonts w:asciiTheme="majorEastAsia" w:hAnsiTheme="majorEastAsia" w:eastAsiaTheme="majorEastAsia"/>
                <w:bCs/>
                <w:color w:val="auto"/>
                <w:sz w:val="18"/>
                <w:szCs w:val="18"/>
              </w:rPr>
              <w:t>募集</w:t>
            </w:r>
            <w:r>
              <w:rPr>
                <w:rFonts w:hint="eastAsia" w:asciiTheme="majorEastAsia" w:hAnsiTheme="majorEastAsia" w:eastAsiaTheme="majorEastAsia"/>
                <w:bCs/>
                <w:color w:val="auto"/>
                <w:sz w:val="18"/>
                <w:szCs w:val="18"/>
              </w:rPr>
              <w:t>规模为【</w:t>
            </w:r>
            <w:r>
              <w:rPr>
                <w:rFonts w:hint="eastAsia" w:asciiTheme="majorEastAsia" w:hAnsiTheme="majorEastAsia" w:eastAsiaTheme="majorEastAsia"/>
                <w:bCs/>
                <w:color w:val="auto"/>
                <w:sz w:val="18"/>
                <w:szCs w:val="18"/>
                <w:lang w:val="en-US" w:eastAsia="zh-CN"/>
              </w:rPr>
              <w:t>0.8</w:t>
            </w:r>
            <w:r>
              <w:rPr>
                <w:rFonts w:hint="eastAsia" w:asciiTheme="majorEastAsia" w:hAnsiTheme="majorEastAsia" w:eastAsiaTheme="majorEastAsia"/>
                <w:bCs/>
                <w:color w:val="auto"/>
                <w:sz w:val="18"/>
                <w:szCs w:val="18"/>
              </w:rPr>
              <w:t>】亿元，最小成立规模为【</w:t>
            </w:r>
            <w:r>
              <w:rPr>
                <w:rFonts w:hint="eastAsia" w:asciiTheme="majorEastAsia" w:hAnsiTheme="majorEastAsia" w:eastAsiaTheme="majorEastAsia"/>
                <w:bCs/>
                <w:color w:val="auto"/>
                <w:sz w:val="18"/>
                <w:szCs w:val="18"/>
                <w:lang w:val="en-US" w:eastAsia="zh-CN"/>
              </w:rPr>
              <w:t>/</w:t>
            </w:r>
            <w:r>
              <w:rPr>
                <w:rFonts w:hint="eastAsia" w:asciiTheme="majorEastAsia" w:hAnsiTheme="majorEastAsia" w:eastAsiaTheme="majorEastAsia"/>
                <w:bCs/>
                <w:color w:val="auto"/>
                <w:sz w:val="18"/>
                <w:szCs w:val="18"/>
              </w:rPr>
              <w:t>】亿元。</w:t>
            </w:r>
          </w:p>
          <w:p w14:paraId="24FE1DFF">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2.产品管理人</w:t>
            </w:r>
            <w:r>
              <w:rPr>
                <w:rFonts w:asciiTheme="majorEastAsia" w:hAnsiTheme="majorEastAsia" w:eastAsiaTheme="majorEastAsia"/>
                <w:bCs/>
                <w:color w:val="auto"/>
                <w:sz w:val="18"/>
                <w:szCs w:val="18"/>
              </w:rPr>
              <w:t>有权根据实际需要对产品规模进行调整，产品最终规模以</w:t>
            </w:r>
            <w:r>
              <w:rPr>
                <w:rFonts w:hint="eastAsia" w:asciiTheme="majorEastAsia" w:hAnsiTheme="majorEastAsia" w:eastAsiaTheme="majorEastAsia"/>
                <w:bCs/>
                <w:color w:val="auto"/>
                <w:sz w:val="18"/>
                <w:szCs w:val="18"/>
              </w:rPr>
              <w:t>产品管理人</w:t>
            </w:r>
            <w:r>
              <w:rPr>
                <w:rFonts w:asciiTheme="majorEastAsia" w:hAnsiTheme="majorEastAsia" w:eastAsiaTheme="majorEastAsia"/>
                <w:bCs/>
                <w:color w:val="auto"/>
                <w:sz w:val="18"/>
                <w:szCs w:val="18"/>
              </w:rPr>
              <w:t>实际募集/管理的</w:t>
            </w:r>
            <w:r>
              <w:rPr>
                <w:rFonts w:hint="eastAsia" w:asciiTheme="majorEastAsia" w:hAnsiTheme="majorEastAsia" w:eastAsiaTheme="majorEastAsia"/>
                <w:bCs/>
                <w:color w:val="auto"/>
                <w:sz w:val="18"/>
                <w:szCs w:val="18"/>
              </w:rPr>
              <w:t>金</w:t>
            </w:r>
            <w:r>
              <w:rPr>
                <w:rFonts w:asciiTheme="majorEastAsia" w:hAnsiTheme="majorEastAsia" w:eastAsiaTheme="majorEastAsia"/>
                <w:bCs/>
                <w:color w:val="auto"/>
                <w:sz w:val="18"/>
                <w:szCs w:val="18"/>
              </w:rPr>
              <w:t>额为准。</w:t>
            </w:r>
          </w:p>
        </w:tc>
      </w:tr>
      <w:tr w14:paraId="739922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50C4273">
            <w:pPr>
              <w:spacing w:line="360" w:lineRule="auto"/>
              <w:jc w:val="left"/>
              <w:rPr>
                <w:rFonts w:asciiTheme="majorEastAsia" w:hAnsiTheme="majorEastAsia" w:eastAsiaTheme="majorEastAsia"/>
                <w:b/>
                <w:bCs/>
                <w:color w:val="auto"/>
                <w:sz w:val="18"/>
                <w:szCs w:val="18"/>
              </w:rPr>
            </w:pPr>
            <w:r>
              <w:rPr>
                <w:rFonts w:hint="eastAsia" w:asciiTheme="majorEastAsia" w:hAnsiTheme="majorEastAsia" w:eastAsiaTheme="majorEastAsia"/>
                <w:b/>
                <w:color w:val="auto"/>
                <w:sz w:val="18"/>
                <w:szCs w:val="18"/>
              </w:rPr>
              <w:t>产品期限</w:t>
            </w:r>
          </w:p>
        </w:tc>
        <w:tc>
          <w:tcPr>
            <w:tcW w:w="7704" w:type="dxa"/>
            <w:shd w:val="solid" w:color="FFFFFF" w:fill="FFFFFF"/>
            <w:vAlign w:val="center"/>
          </w:tcPr>
          <w:p w14:paraId="52E24E26">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□有固定期限：【】</w:t>
            </w:r>
          </w:p>
          <w:p w14:paraId="3F05C678">
            <w:pPr>
              <w:spacing w:line="360" w:lineRule="auto"/>
              <w:rPr>
                <w:rFonts w:cs="仿宋_GB2312" w:asciiTheme="majorEastAsia" w:hAnsiTheme="majorEastAsia" w:eastAsiaTheme="majorEastAsia"/>
                <w:color w:val="auto"/>
                <w:kern w:val="0"/>
                <w:sz w:val="18"/>
                <w:szCs w:val="18"/>
              </w:rPr>
            </w:pPr>
            <w:r>
              <w:rPr>
                <w:rFonts w:hint="eastAsia" w:asciiTheme="majorEastAsia" w:hAnsiTheme="majorEastAsia" w:eastAsiaTheme="majorEastAsia"/>
                <w:bCs/>
                <w:color w:val="auto"/>
                <w:sz w:val="18"/>
                <w:szCs w:val="18"/>
              </w:rPr>
              <w:t>■</w:t>
            </w:r>
            <w:r>
              <w:rPr>
                <w:rFonts w:hint="eastAsia" w:cs="仿宋_GB2312" w:asciiTheme="majorEastAsia" w:hAnsiTheme="majorEastAsia" w:eastAsiaTheme="majorEastAsia"/>
                <w:color w:val="auto"/>
                <w:kern w:val="0"/>
                <w:sz w:val="18"/>
                <w:szCs w:val="18"/>
              </w:rPr>
              <w:t>无固定期限</w:t>
            </w:r>
          </w:p>
          <w:p w14:paraId="652B7D0D">
            <w:pPr>
              <w:spacing w:line="360" w:lineRule="auto"/>
              <w:rPr>
                <w:rFonts w:cs="仿宋_GB2312" w:asciiTheme="majorEastAsia" w:hAnsiTheme="majorEastAsia" w:eastAsiaTheme="majorEastAsia"/>
                <w:color w:val="auto"/>
                <w:kern w:val="0"/>
                <w:sz w:val="18"/>
                <w:szCs w:val="18"/>
              </w:rPr>
            </w:pPr>
            <w:r>
              <w:rPr>
                <w:rFonts w:hint="eastAsia" w:ascii="黑体" w:hAnsi="黑体" w:eastAsia="黑体"/>
                <w:bCs/>
                <w:color w:val="auto"/>
                <w:sz w:val="18"/>
                <w:szCs w:val="18"/>
              </w:rPr>
              <w:t>注：本产品的实际期限受制于本理财产品销售文件“提前终止”及“延期终止”情形。</w:t>
            </w:r>
          </w:p>
        </w:tc>
      </w:tr>
      <w:tr w14:paraId="289A6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38794AF">
            <w:pPr>
              <w:spacing w:line="360" w:lineRule="auto"/>
              <w:jc w:val="left"/>
              <w:rPr>
                <w:rFonts w:asciiTheme="majorEastAsia" w:hAnsiTheme="majorEastAsia" w:eastAsiaTheme="majorEastAsia"/>
                <w:b/>
                <w:bCs/>
                <w:color w:val="auto"/>
                <w:sz w:val="18"/>
                <w:szCs w:val="18"/>
              </w:rPr>
            </w:pPr>
            <w:r>
              <w:rPr>
                <w:rFonts w:hint="eastAsia" w:asciiTheme="minorEastAsia" w:hAnsiTheme="minorEastAsia"/>
                <w:b/>
                <w:color w:val="auto"/>
                <w:sz w:val="18"/>
                <w:szCs w:val="18"/>
              </w:rPr>
              <w:t>认购期/募集期</w:t>
            </w:r>
          </w:p>
        </w:tc>
        <w:tc>
          <w:tcPr>
            <w:tcW w:w="7704" w:type="dxa"/>
            <w:shd w:val="solid" w:color="FFFFFF" w:fill="FFFFFF"/>
            <w:vAlign w:val="center"/>
          </w:tcPr>
          <w:p w14:paraId="34244B86">
            <w:pPr>
              <w:spacing w:line="360" w:lineRule="auto"/>
              <w:rPr>
                <w:rFonts w:hint="eastAsia" w:cs="Times New Roman" w:asciiTheme="minorEastAsia" w:hAnsiTheme="minorEastAsia"/>
                <w:color w:val="auto"/>
                <w:sz w:val="18"/>
                <w:szCs w:val="18"/>
                <w:lang w:val="en-US" w:eastAsia="zh-CN"/>
              </w:rPr>
            </w:pPr>
            <w:r>
              <w:rPr>
                <w:rFonts w:asciiTheme="minorEastAsia" w:hAnsiTheme="minorEastAsia"/>
                <w:bCs/>
                <w:color w:val="auto"/>
                <w:sz w:val="18"/>
                <w:szCs w:val="18"/>
              </w:rPr>
              <w:t>1.本产品认购期/募集期为</w:t>
            </w:r>
            <w:r>
              <w:rPr>
                <w:rFonts w:hint="eastAsia" w:asciiTheme="minorEastAsia" w:hAnsiTheme="minorEastAsia"/>
                <w:bCs/>
                <w:color w:val="auto"/>
                <w:sz w:val="18"/>
                <w:szCs w:val="18"/>
              </w:rPr>
              <w:t>：</w:t>
            </w:r>
            <w:r>
              <w:rPr>
                <w:rFonts w:hint="eastAsia" w:cs="Times New Roman" w:asciiTheme="minorEastAsia" w:hAnsiTheme="minorEastAsia"/>
                <w:color w:val="auto"/>
                <w:sz w:val="18"/>
                <w:szCs w:val="18"/>
              </w:rPr>
              <w:t>【2025】年【</w:t>
            </w:r>
            <w:r>
              <w:rPr>
                <w:rFonts w:hint="eastAsia" w:cs="Times New Roman" w:asciiTheme="minorEastAsia" w:hAnsiTheme="minorEastAsia"/>
                <w:color w:val="auto"/>
                <w:sz w:val="18"/>
                <w:szCs w:val="18"/>
                <w:lang w:val="en-US" w:eastAsia="zh-CN"/>
              </w:rPr>
              <w:t>11</w:t>
            </w:r>
            <w:r>
              <w:rPr>
                <w:rFonts w:hint="eastAsia" w:cs="Times New Roman" w:asciiTheme="minorEastAsia" w:hAnsiTheme="minorEastAsia"/>
                <w:color w:val="auto"/>
                <w:sz w:val="18"/>
                <w:szCs w:val="18"/>
              </w:rPr>
              <w:t>】月【</w:t>
            </w:r>
            <w:r>
              <w:rPr>
                <w:rFonts w:hint="eastAsia" w:cs="Times New Roman" w:asciiTheme="minorEastAsia" w:hAnsiTheme="minorEastAsia"/>
                <w:color w:val="auto"/>
                <w:sz w:val="18"/>
                <w:szCs w:val="18"/>
                <w:lang w:val="en-US" w:eastAsia="zh-CN"/>
              </w:rPr>
              <w:t>17】日【9:00】至【2025】年【11】月【18】日【17:00】。</w:t>
            </w:r>
          </w:p>
          <w:p w14:paraId="16A6A38F">
            <w:pPr>
              <w:spacing w:line="360" w:lineRule="auto"/>
              <w:rPr>
                <w:rFonts w:ascii="宋体" w:hAnsi="宋体"/>
                <w:bCs/>
                <w:color w:val="auto"/>
                <w:sz w:val="18"/>
                <w:szCs w:val="18"/>
              </w:rPr>
            </w:pPr>
            <w:r>
              <w:rPr>
                <w:rFonts w:ascii="宋体" w:hAnsi="宋体"/>
                <w:bCs/>
                <w:color w:val="auto"/>
                <w:sz w:val="18"/>
                <w:szCs w:val="18"/>
              </w:rPr>
              <w:t>2</w:t>
            </w:r>
            <w:r>
              <w:rPr>
                <w:rFonts w:asciiTheme="minorEastAsia" w:hAnsiTheme="minorEastAsia"/>
                <w:bCs/>
                <w:color w:val="auto"/>
                <w:sz w:val="18"/>
                <w:szCs w:val="18"/>
              </w:rPr>
              <w:t>.</w:t>
            </w:r>
            <w:r>
              <w:rPr>
                <w:rFonts w:hint="eastAsia" w:ascii="宋体" w:hAnsi="宋体"/>
                <w:bCs/>
                <w:color w:val="auto"/>
                <w:sz w:val="18"/>
                <w:szCs w:val="18"/>
              </w:rPr>
              <w:t>投资者在认购期</w:t>
            </w:r>
            <w:r>
              <w:rPr>
                <w:rFonts w:ascii="宋体" w:hAnsi="宋体"/>
                <w:bCs/>
                <w:color w:val="auto"/>
                <w:sz w:val="18"/>
                <w:szCs w:val="18"/>
              </w:rPr>
              <w:t>/募集</w:t>
            </w:r>
            <w:r>
              <w:rPr>
                <w:rFonts w:hint="eastAsia" w:ascii="宋体" w:hAnsi="宋体"/>
                <w:color w:val="auto"/>
                <w:sz w:val="18"/>
                <w:szCs w:val="18"/>
              </w:rPr>
              <w:t>期内认购</w:t>
            </w:r>
            <w:r>
              <w:rPr>
                <w:rFonts w:hint="eastAsia" w:ascii="宋体" w:hAnsi="宋体"/>
                <w:bCs/>
                <w:color w:val="auto"/>
                <w:sz w:val="18"/>
                <w:szCs w:val="18"/>
              </w:rPr>
              <w:t>本</w:t>
            </w:r>
            <w:r>
              <w:rPr>
                <w:rFonts w:hint="eastAsia" w:ascii="宋体" w:hAnsi="宋体"/>
                <w:color w:val="auto"/>
                <w:sz w:val="18"/>
                <w:szCs w:val="18"/>
              </w:rPr>
              <w:t>理财</w:t>
            </w:r>
            <w:r>
              <w:rPr>
                <w:rFonts w:hint="eastAsia" w:ascii="宋体" w:hAnsi="宋体"/>
                <w:bCs/>
                <w:color w:val="auto"/>
                <w:sz w:val="18"/>
                <w:szCs w:val="18"/>
              </w:rPr>
              <w:t>产品后，</w:t>
            </w:r>
            <w:r>
              <w:rPr>
                <w:rFonts w:hint="eastAsia" w:ascii="宋体" w:hAnsi="宋体"/>
                <w:color w:val="auto"/>
                <w:sz w:val="18"/>
                <w:szCs w:val="18"/>
              </w:rPr>
              <w:t>理财</w:t>
            </w:r>
            <w:r>
              <w:rPr>
                <w:rFonts w:hint="eastAsia" w:ascii="宋体" w:hAnsi="宋体"/>
                <w:bCs/>
                <w:color w:val="auto"/>
                <w:sz w:val="18"/>
                <w:szCs w:val="18"/>
              </w:rPr>
              <w:t>资金将在成立日开始进行投资。</w:t>
            </w:r>
          </w:p>
          <w:p w14:paraId="0B0FEC16">
            <w:pPr>
              <w:spacing w:line="360" w:lineRule="auto"/>
              <w:rPr>
                <w:rFonts w:ascii="宋体" w:hAnsi="宋体"/>
                <w:color w:val="auto"/>
                <w:sz w:val="18"/>
              </w:rPr>
            </w:pPr>
            <w:r>
              <w:rPr>
                <w:rFonts w:ascii="宋体" w:hAnsi="宋体"/>
                <w:bCs/>
                <w:color w:val="auto"/>
                <w:sz w:val="18"/>
                <w:szCs w:val="18"/>
              </w:rPr>
              <w:t>3</w:t>
            </w:r>
            <w:r>
              <w:rPr>
                <w:rFonts w:hint="eastAsia" w:asciiTheme="minorEastAsia" w:hAnsiTheme="minorEastAsia"/>
                <w:bCs/>
                <w:color w:val="auto"/>
                <w:sz w:val="18"/>
                <w:szCs w:val="18"/>
              </w:rPr>
              <w:t>.</w:t>
            </w:r>
            <w:r>
              <w:rPr>
                <w:rFonts w:hint="eastAsia" w:ascii="宋体" w:hAnsi="宋体"/>
                <w:bCs/>
                <w:color w:val="auto"/>
                <w:sz w:val="18"/>
                <w:szCs w:val="18"/>
              </w:rPr>
              <w:t>认购期/募集期内资金产生的利息不计入认购资金</w:t>
            </w:r>
            <w:r>
              <w:rPr>
                <w:rFonts w:hint="eastAsia" w:ascii="宋体" w:hAnsi="宋体"/>
                <w:color w:val="auto"/>
                <w:sz w:val="18"/>
              </w:rPr>
              <w:t>。</w:t>
            </w:r>
          </w:p>
        </w:tc>
      </w:tr>
      <w:tr w14:paraId="2AEE39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B4AF475">
            <w:pPr>
              <w:spacing w:line="360" w:lineRule="auto"/>
              <w:jc w:val="left"/>
              <w:rPr>
                <w:rFonts w:asciiTheme="majorEastAsia" w:hAnsiTheme="majorEastAsia" w:eastAsiaTheme="majorEastAsia"/>
                <w:b/>
                <w:bCs/>
                <w:color w:val="auto"/>
                <w:sz w:val="18"/>
                <w:szCs w:val="18"/>
              </w:rPr>
            </w:pPr>
            <w:r>
              <w:rPr>
                <w:rFonts w:hint="eastAsia" w:hAnsi="宋体"/>
                <w:color w:val="auto"/>
                <w:sz w:val="18"/>
                <w:szCs w:val="18"/>
              </w:rPr>
              <w:t>★</w:t>
            </w:r>
            <w:r>
              <w:rPr>
                <w:rFonts w:hint="eastAsia" w:asciiTheme="majorEastAsia" w:hAnsiTheme="majorEastAsia" w:eastAsiaTheme="majorEastAsia"/>
                <w:b/>
                <w:bCs/>
                <w:color w:val="auto"/>
                <w:sz w:val="18"/>
                <w:szCs w:val="18"/>
              </w:rPr>
              <w:t>投资冷静期</w:t>
            </w:r>
          </w:p>
        </w:tc>
        <w:tc>
          <w:tcPr>
            <w:tcW w:w="7704" w:type="dxa"/>
            <w:shd w:val="solid" w:color="FFFFFF" w:fill="FFFFFF"/>
            <w:vAlign w:val="center"/>
          </w:tcPr>
          <w:p w14:paraId="13ED8109">
            <w:pPr>
              <w:spacing w:line="360" w:lineRule="auto"/>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本产品为公募理财产品，无投资冷静期设置。</w:t>
            </w:r>
          </w:p>
        </w:tc>
      </w:tr>
      <w:tr w14:paraId="669EBD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091BAA5">
            <w:pPr>
              <w:spacing w:line="360" w:lineRule="auto"/>
              <w:jc w:val="left"/>
              <w:rPr>
                <w:rFonts w:asciiTheme="majorEastAsia" w:hAnsiTheme="majorEastAsia" w:eastAsiaTheme="majorEastAsia"/>
                <w:b/>
                <w:bCs/>
                <w:color w:val="auto"/>
                <w:sz w:val="18"/>
                <w:szCs w:val="18"/>
              </w:rPr>
            </w:pPr>
            <w:r>
              <w:rPr>
                <w:rFonts w:hint="eastAsia" w:asciiTheme="minorEastAsia" w:hAnsiTheme="minorEastAsia"/>
                <w:b/>
                <w:bCs/>
                <w:color w:val="auto"/>
                <w:sz w:val="18"/>
                <w:szCs w:val="18"/>
              </w:rPr>
              <w:t>成立日</w:t>
            </w:r>
          </w:p>
        </w:tc>
        <w:tc>
          <w:tcPr>
            <w:tcW w:w="7704" w:type="dxa"/>
            <w:shd w:val="solid" w:color="FFFFFF" w:fill="FFFFFF"/>
            <w:vAlign w:val="center"/>
          </w:tcPr>
          <w:p w14:paraId="6E23AECA">
            <w:pPr>
              <w:spacing w:line="360" w:lineRule="auto"/>
              <w:rPr>
                <w:rFonts w:asciiTheme="minorEastAsia" w:hAnsiTheme="minorEastAsia"/>
                <w:bCs/>
                <w:color w:val="auto"/>
                <w:sz w:val="18"/>
                <w:szCs w:val="18"/>
              </w:rPr>
            </w:pPr>
            <w:r>
              <w:rPr>
                <w:rFonts w:asciiTheme="minorEastAsia" w:hAnsiTheme="minorEastAsia"/>
                <w:bCs/>
                <w:color w:val="auto"/>
                <w:sz w:val="18"/>
                <w:szCs w:val="18"/>
              </w:rPr>
              <w:t>1.本产品的</w:t>
            </w:r>
            <w:r>
              <w:rPr>
                <w:rFonts w:hint="eastAsia" w:asciiTheme="minorEastAsia" w:hAnsiTheme="minorEastAsia"/>
                <w:bCs/>
                <w:color w:val="auto"/>
                <w:sz w:val="18"/>
                <w:szCs w:val="18"/>
              </w:rPr>
              <w:t>计划成立日为</w:t>
            </w:r>
            <w:r>
              <w:rPr>
                <w:rFonts w:asciiTheme="minorEastAsia" w:hAnsiTheme="minorEastAsia"/>
                <w:bCs/>
                <w:color w:val="auto"/>
                <w:sz w:val="18"/>
                <w:szCs w:val="18"/>
              </w:rPr>
              <w:t>：</w:t>
            </w:r>
            <w:r>
              <w:rPr>
                <w:rFonts w:hint="eastAsia" w:cs="Times New Roman" w:asciiTheme="minorEastAsia" w:hAnsiTheme="minorEastAsia"/>
                <w:color w:val="auto"/>
                <w:sz w:val="18"/>
                <w:szCs w:val="18"/>
              </w:rPr>
              <w:t>【</w:t>
            </w:r>
            <w:r>
              <w:rPr>
                <w:rFonts w:hint="eastAsia" w:cs="Times New Roman" w:asciiTheme="minorEastAsia" w:hAnsiTheme="minorEastAsia"/>
                <w:color w:val="auto"/>
                <w:sz w:val="18"/>
                <w:szCs w:val="18"/>
                <w:lang w:val="en-US" w:eastAsia="zh-CN"/>
              </w:rPr>
              <w:t>2025</w:t>
            </w:r>
            <w:r>
              <w:rPr>
                <w:rFonts w:cs="Times New Roman" w:asciiTheme="minorEastAsia" w:hAnsiTheme="minorEastAsia"/>
                <w:color w:val="auto"/>
                <w:sz w:val="18"/>
                <w:szCs w:val="18"/>
              </w:rPr>
              <w:t>】年【</w:t>
            </w:r>
            <w:r>
              <w:rPr>
                <w:rFonts w:hint="eastAsia" w:cs="Times New Roman" w:asciiTheme="minorEastAsia" w:hAnsiTheme="minorEastAsia"/>
                <w:color w:val="auto"/>
                <w:sz w:val="18"/>
                <w:szCs w:val="18"/>
                <w:lang w:val="en-US" w:eastAsia="zh-CN"/>
              </w:rPr>
              <w:t>11</w:t>
            </w:r>
            <w:r>
              <w:rPr>
                <w:rFonts w:hint="eastAsia" w:cs="Times New Roman" w:asciiTheme="minorEastAsia" w:hAnsiTheme="minorEastAsia"/>
                <w:color w:val="auto"/>
                <w:sz w:val="18"/>
                <w:szCs w:val="18"/>
              </w:rPr>
              <w:t>】月【</w:t>
            </w:r>
            <w:r>
              <w:rPr>
                <w:rFonts w:hint="eastAsia" w:cs="Times New Roman" w:asciiTheme="minorEastAsia" w:hAnsiTheme="minorEastAsia"/>
                <w:color w:val="auto"/>
                <w:sz w:val="18"/>
                <w:szCs w:val="18"/>
                <w:lang w:val="en-US" w:eastAsia="zh-CN"/>
              </w:rPr>
              <w:t>19</w:t>
            </w:r>
            <w:r>
              <w:rPr>
                <w:rFonts w:hint="eastAsia" w:cs="Times New Roman" w:asciiTheme="minorEastAsia" w:hAnsiTheme="minorEastAsia"/>
                <w:color w:val="auto"/>
                <w:sz w:val="18"/>
                <w:szCs w:val="18"/>
              </w:rPr>
              <w:t>】日（遇节假日顺延）</w:t>
            </w:r>
            <w:r>
              <w:rPr>
                <w:rFonts w:hint="eastAsia" w:asciiTheme="minorEastAsia" w:hAnsiTheme="minorEastAsia"/>
                <w:bCs/>
                <w:color w:val="auto"/>
                <w:sz w:val="18"/>
                <w:szCs w:val="18"/>
              </w:rPr>
              <w:t>。</w:t>
            </w:r>
          </w:p>
          <w:p w14:paraId="286DBDCE">
            <w:pPr>
              <w:spacing w:line="360" w:lineRule="auto"/>
              <w:rPr>
                <w:rFonts w:asciiTheme="majorEastAsia" w:hAnsiTheme="majorEastAsia" w:eastAsiaTheme="majorEastAsia"/>
                <w:bCs/>
                <w:color w:val="auto"/>
                <w:sz w:val="18"/>
                <w:szCs w:val="18"/>
              </w:rPr>
            </w:pPr>
            <w:r>
              <w:rPr>
                <w:rFonts w:asciiTheme="minorEastAsia" w:hAnsiTheme="minorEastAsia"/>
                <w:bCs/>
                <w:color w:val="auto"/>
                <w:sz w:val="18"/>
                <w:szCs w:val="18"/>
              </w:rPr>
              <w:t>2.产品管理人有权根据实际募集情况提前或延后产品成立日期，并相应调整其他产品要素</w:t>
            </w:r>
            <w:r>
              <w:rPr>
                <w:rFonts w:hint="eastAsia" w:asciiTheme="minorEastAsia" w:hAnsiTheme="minorEastAsia"/>
                <w:bCs/>
                <w:color w:val="auto"/>
                <w:sz w:val="18"/>
                <w:szCs w:val="18"/>
              </w:rPr>
              <w:t>，</w:t>
            </w:r>
            <w:r>
              <w:rPr>
                <w:rFonts w:asciiTheme="minorEastAsia" w:hAnsiTheme="minorEastAsia"/>
                <w:bCs/>
                <w:color w:val="auto"/>
                <w:sz w:val="18"/>
                <w:szCs w:val="18"/>
              </w:rPr>
              <w:t>将依约</w:t>
            </w:r>
            <w:r>
              <w:rPr>
                <w:rFonts w:hint="eastAsia" w:asciiTheme="minorEastAsia" w:hAnsiTheme="minorEastAsia"/>
                <w:bCs/>
                <w:color w:val="auto"/>
                <w:sz w:val="18"/>
                <w:szCs w:val="18"/>
              </w:rPr>
              <w:t>定进行公告。</w:t>
            </w:r>
          </w:p>
        </w:tc>
      </w:tr>
      <w:tr w14:paraId="4711FF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30C3530">
            <w:pPr>
              <w:spacing w:line="360" w:lineRule="auto"/>
              <w:jc w:val="left"/>
              <w:rPr>
                <w:rFonts w:asciiTheme="minorEastAsia" w:hAnsiTheme="minorEastAsia"/>
                <w:b/>
                <w:bCs/>
                <w:color w:val="auto"/>
                <w:sz w:val="18"/>
                <w:szCs w:val="18"/>
              </w:rPr>
            </w:pPr>
            <w:r>
              <w:rPr>
                <w:rFonts w:hint="eastAsia" w:asciiTheme="minorEastAsia" w:hAnsiTheme="minorEastAsia"/>
                <w:b/>
                <w:bCs/>
                <w:color w:val="auto"/>
                <w:sz w:val="18"/>
                <w:szCs w:val="18"/>
              </w:rPr>
              <w:t>终止日</w:t>
            </w:r>
          </w:p>
        </w:tc>
        <w:tc>
          <w:tcPr>
            <w:tcW w:w="7704" w:type="dxa"/>
            <w:shd w:val="solid" w:color="FFFFFF" w:fill="FFFFFF"/>
            <w:vAlign w:val="center"/>
          </w:tcPr>
          <w:p w14:paraId="7D30D53E">
            <w:pPr>
              <w:spacing w:line="360" w:lineRule="auto"/>
              <w:rPr>
                <w:rFonts w:asciiTheme="minorEastAsia" w:hAnsiTheme="minorEastAsia"/>
                <w:bCs/>
                <w:color w:val="auto"/>
                <w:sz w:val="18"/>
                <w:szCs w:val="18"/>
              </w:rPr>
            </w:pPr>
            <w:r>
              <w:rPr>
                <w:rFonts w:asciiTheme="minorEastAsia" w:hAnsiTheme="minorEastAsia"/>
                <w:bCs/>
                <w:color w:val="auto"/>
                <w:sz w:val="18"/>
                <w:szCs w:val="18"/>
              </w:rPr>
              <w:t>1</w:t>
            </w:r>
            <w:r>
              <w:rPr>
                <w:rFonts w:hint="eastAsia" w:asciiTheme="minorEastAsia" w:hAnsiTheme="minorEastAsia"/>
                <w:bCs/>
                <w:color w:val="auto"/>
                <w:sz w:val="18"/>
                <w:szCs w:val="18"/>
              </w:rPr>
              <w:t>.本产品的计划终止日为</w:t>
            </w:r>
            <w:r>
              <w:rPr>
                <w:rFonts w:asciiTheme="minorEastAsia" w:hAnsiTheme="minorEastAsia"/>
                <w:bCs/>
                <w:color w:val="auto"/>
                <w:sz w:val="18"/>
                <w:szCs w:val="18"/>
              </w:rPr>
              <w:t>：</w:t>
            </w:r>
            <w:r>
              <w:rPr>
                <w:rFonts w:hint="eastAsia" w:cs="Times New Roman" w:asciiTheme="minorEastAsia" w:hAnsiTheme="minorEastAsia"/>
                <w:color w:val="auto"/>
                <w:sz w:val="18"/>
                <w:szCs w:val="18"/>
              </w:rPr>
              <w:t>【</w:t>
            </w:r>
            <w:r>
              <w:rPr>
                <w:rFonts w:hint="eastAsia" w:cs="Times New Roman" w:asciiTheme="minorEastAsia" w:hAnsiTheme="minorEastAsia"/>
                <w:color w:val="auto"/>
                <w:sz w:val="18"/>
                <w:szCs w:val="18"/>
                <w:lang w:val="en-US" w:eastAsia="zh-CN"/>
              </w:rPr>
              <w:t>/</w:t>
            </w:r>
            <w:r>
              <w:rPr>
                <w:rFonts w:cs="Times New Roman" w:asciiTheme="minorEastAsia" w:hAnsiTheme="minorEastAsia"/>
                <w:color w:val="auto"/>
                <w:sz w:val="18"/>
                <w:szCs w:val="18"/>
              </w:rPr>
              <w:t>】年【</w:t>
            </w:r>
            <w:r>
              <w:rPr>
                <w:rFonts w:hint="eastAsia" w:cs="Times New Roman" w:asciiTheme="minorEastAsia" w:hAnsiTheme="minorEastAsia"/>
                <w:color w:val="auto"/>
                <w:sz w:val="18"/>
                <w:szCs w:val="18"/>
                <w:lang w:val="en-US" w:eastAsia="zh-CN"/>
              </w:rPr>
              <w:t>/</w:t>
            </w:r>
            <w:r>
              <w:rPr>
                <w:rFonts w:hint="eastAsia" w:cs="Times New Roman" w:asciiTheme="minorEastAsia" w:hAnsiTheme="minorEastAsia"/>
                <w:color w:val="auto"/>
                <w:sz w:val="18"/>
                <w:szCs w:val="18"/>
              </w:rPr>
              <w:t>】月【</w:t>
            </w:r>
            <w:r>
              <w:rPr>
                <w:rFonts w:hint="eastAsia" w:cs="Times New Roman" w:asciiTheme="minorEastAsia" w:hAnsiTheme="minorEastAsia"/>
                <w:color w:val="auto"/>
                <w:sz w:val="18"/>
                <w:szCs w:val="18"/>
                <w:lang w:val="en-US" w:eastAsia="zh-CN"/>
              </w:rPr>
              <w:t>/</w:t>
            </w:r>
            <w:r>
              <w:rPr>
                <w:rFonts w:hint="eastAsia" w:cs="Times New Roman" w:asciiTheme="minorEastAsia" w:hAnsiTheme="minorEastAsia"/>
                <w:color w:val="auto"/>
                <w:sz w:val="18"/>
                <w:szCs w:val="18"/>
              </w:rPr>
              <w:t>】日（遇节假日顺延）</w:t>
            </w:r>
            <w:r>
              <w:rPr>
                <w:rFonts w:hint="eastAsia" w:asciiTheme="minorEastAsia" w:hAnsiTheme="minorEastAsia"/>
                <w:bCs/>
                <w:color w:val="auto"/>
                <w:sz w:val="18"/>
                <w:szCs w:val="18"/>
              </w:rPr>
              <w:t>。</w:t>
            </w:r>
          </w:p>
          <w:p w14:paraId="1016170B">
            <w:pPr>
              <w:spacing w:line="360" w:lineRule="auto"/>
              <w:rPr>
                <w:rFonts w:asciiTheme="minorEastAsia" w:hAnsiTheme="minorEastAsia"/>
                <w:bCs/>
                <w:color w:val="auto"/>
                <w:sz w:val="18"/>
                <w:szCs w:val="18"/>
              </w:rPr>
            </w:pPr>
            <w:r>
              <w:rPr>
                <w:rFonts w:hint="eastAsia" w:ascii="宋体" w:hAnsi="宋体"/>
                <w:bCs/>
                <w:color w:val="auto"/>
                <w:sz w:val="18"/>
                <w:szCs w:val="18"/>
              </w:rPr>
              <w:t>2.本产品的实际终止日受制于本理财产品销售文件“提前终止”及“延期终止”情形。</w:t>
            </w:r>
          </w:p>
        </w:tc>
      </w:tr>
      <w:tr w14:paraId="13FC82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14:paraId="334C233A">
            <w:pPr>
              <w:spacing w:line="360" w:lineRule="auto"/>
              <w:jc w:val="left"/>
              <w:rPr>
                <w:rFonts w:asciiTheme="minorEastAsia" w:hAnsiTheme="minorEastAsia"/>
                <w:b/>
                <w:bCs/>
                <w:color w:val="auto"/>
                <w:sz w:val="18"/>
                <w:szCs w:val="18"/>
              </w:rPr>
            </w:pPr>
            <w:r>
              <w:rPr>
                <w:rFonts w:hint="eastAsia" w:hAnsi="宋体"/>
                <w:color w:val="auto"/>
                <w:sz w:val="18"/>
                <w:szCs w:val="18"/>
              </w:rPr>
              <w:t>★</w:t>
            </w:r>
            <w:r>
              <w:rPr>
                <w:rFonts w:hint="eastAsia" w:asciiTheme="minorEastAsia" w:hAnsiTheme="minorEastAsia"/>
                <w:b/>
                <w:color w:val="auto"/>
                <w:sz w:val="18"/>
                <w:szCs w:val="18"/>
              </w:rPr>
              <w:t>封闭期</w:t>
            </w:r>
          </w:p>
        </w:tc>
        <w:tc>
          <w:tcPr>
            <w:tcW w:w="7704" w:type="dxa"/>
            <w:shd w:val="solid" w:color="FFFFFF" w:fill="FFFFFF"/>
          </w:tcPr>
          <w:p w14:paraId="1F56AD70">
            <w:pPr>
              <w:spacing w:line="360" w:lineRule="auto"/>
              <w:rPr>
                <w:rFonts w:asciiTheme="minorEastAsia" w:hAnsiTheme="minorEastAsia" w:eastAsiaTheme="majorEastAsia" w:cstheme="majorBidi"/>
                <w:b/>
                <w:bCs/>
                <w:color w:val="auto"/>
                <w:sz w:val="18"/>
                <w:szCs w:val="18"/>
              </w:rPr>
            </w:pPr>
            <w:r>
              <w:rPr>
                <w:rFonts w:cs="Times New Roman" w:asciiTheme="minorEastAsia" w:hAnsiTheme="minorEastAsia"/>
                <w:color w:val="auto"/>
                <w:sz w:val="18"/>
                <w:szCs w:val="18"/>
              </w:rPr>
              <w:t>1.</w:t>
            </w:r>
            <w:r>
              <w:rPr>
                <w:rFonts w:hint="eastAsia" w:ascii="宋体" w:hAnsi="宋体"/>
                <w:bCs/>
                <w:color w:val="auto"/>
                <w:sz w:val="18"/>
                <w:szCs w:val="18"/>
              </w:rPr>
              <w:t>本产品封闭期为：</w:t>
            </w:r>
            <w:r>
              <w:rPr>
                <w:rFonts w:hint="eastAsia" w:cs="Times New Roman" w:asciiTheme="minorEastAsia" w:hAnsiTheme="minorEastAsia"/>
                <w:color w:val="auto"/>
                <w:sz w:val="18"/>
                <w:szCs w:val="18"/>
              </w:rPr>
              <w:t>【</w:t>
            </w:r>
            <w:r>
              <w:rPr>
                <w:rFonts w:hint="eastAsia" w:cs="Times New Roman" w:asciiTheme="minorEastAsia" w:hAnsiTheme="minorEastAsia"/>
                <w:color w:val="auto"/>
                <w:sz w:val="18"/>
                <w:szCs w:val="18"/>
                <w:lang w:val="en-US" w:eastAsia="zh-CN"/>
              </w:rPr>
              <w:t>2025</w:t>
            </w:r>
            <w:r>
              <w:rPr>
                <w:rFonts w:hint="eastAsia" w:cs="Times New Roman" w:asciiTheme="minorEastAsia" w:hAnsiTheme="minorEastAsia"/>
                <w:color w:val="auto"/>
                <w:sz w:val="18"/>
                <w:szCs w:val="18"/>
              </w:rPr>
              <w:t>】年【</w:t>
            </w:r>
            <w:r>
              <w:rPr>
                <w:rFonts w:hint="eastAsia" w:cs="Times New Roman" w:asciiTheme="minorEastAsia" w:hAnsiTheme="minorEastAsia"/>
                <w:color w:val="auto"/>
                <w:sz w:val="18"/>
                <w:szCs w:val="18"/>
                <w:lang w:val="en-US" w:eastAsia="zh-CN"/>
              </w:rPr>
              <w:t>11</w:t>
            </w:r>
            <w:r>
              <w:rPr>
                <w:rFonts w:hint="eastAsia" w:cs="Times New Roman" w:asciiTheme="minorEastAsia" w:hAnsiTheme="minorEastAsia"/>
                <w:color w:val="auto"/>
                <w:sz w:val="18"/>
                <w:szCs w:val="18"/>
              </w:rPr>
              <w:t>】月【</w:t>
            </w:r>
            <w:r>
              <w:rPr>
                <w:rFonts w:hint="eastAsia" w:cs="Times New Roman" w:asciiTheme="minorEastAsia" w:hAnsiTheme="minorEastAsia"/>
                <w:color w:val="auto"/>
                <w:sz w:val="18"/>
                <w:szCs w:val="18"/>
                <w:lang w:val="en-US" w:eastAsia="zh-CN"/>
              </w:rPr>
              <w:t>19</w:t>
            </w:r>
            <w:r>
              <w:rPr>
                <w:rFonts w:hint="eastAsia" w:cs="Times New Roman" w:asciiTheme="minorEastAsia" w:hAnsiTheme="minorEastAsia"/>
                <w:color w:val="auto"/>
                <w:sz w:val="18"/>
                <w:szCs w:val="18"/>
              </w:rPr>
              <w:t>】日至【</w:t>
            </w:r>
            <w:r>
              <w:rPr>
                <w:rFonts w:hint="eastAsia" w:cs="Times New Roman" w:asciiTheme="minorEastAsia" w:hAnsiTheme="minorEastAsia"/>
                <w:color w:val="auto"/>
                <w:sz w:val="18"/>
                <w:szCs w:val="18"/>
                <w:lang w:val="en-US" w:eastAsia="zh-CN"/>
              </w:rPr>
              <w:t>2025</w:t>
            </w:r>
            <w:r>
              <w:rPr>
                <w:rFonts w:hint="eastAsia" w:cs="Times New Roman" w:asciiTheme="minorEastAsia" w:hAnsiTheme="minorEastAsia"/>
                <w:color w:val="auto"/>
                <w:sz w:val="18"/>
                <w:szCs w:val="18"/>
              </w:rPr>
              <w:t>】年【</w:t>
            </w:r>
            <w:r>
              <w:rPr>
                <w:rFonts w:hint="eastAsia" w:cs="Times New Roman" w:asciiTheme="minorEastAsia" w:hAnsiTheme="minorEastAsia"/>
                <w:color w:val="auto"/>
                <w:sz w:val="18"/>
                <w:szCs w:val="18"/>
                <w:lang w:val="en-US" w:eastAsia="zh-CN"/>
              </w:rPr>
              <w:t>12</w:t>
            </w:r>
            <w:r>
              <w:rPr>
                <w:rFonts w:hint="eastAsia" w:cs="Times New Roman" w:asciiTheme="minorEastAsia" w:hAnsiTheme="minorEastAsia"/>
                <w:color w:val="auto"/>
                <w:sz w:val="18"/>
                <w:szCs w:val="18"/>
              </w:rPr>
              <w:t>】月【</w:t>
            </w:r>
            <w:r>
              <w:rPr>
                <w:rFonts w:hint="eastAsia" w:cs="Times New Roman" w:asciiTheme="minorEastAsia" w:hAnsiTheme="minorEastAsia"/>
                <w:color w:val="auto"/>
                <w:sz w:val="18"/>
                <w:szCs w:val="18"/>
                <w:lang w:val="en-US" w:eastAsia="zh-CN"/>
              </w:rPr>
              <w:t>02</w:t>
            </w:r>
            <w:r>
              <w:rPr>
                <w:rFonts w:hint="eastAsia" w:cs="Times New Roman" w:asciiTheme="minorEastAsia" w:hAnsiTheme="minorEastAsia"/>
                <w:color w:val="auto"/>
                <w:sz w:val="18"/>
                <w:szCs w:val="18"/>
              </w:rPr>
              <w:t>】日</w:t>
            </w:r>
            <w:r>
              <w:rPr>
                <w:rFonts w:hint="eastAsia" w:asciiTheme="majorEastAsia" w:hAnsiTheme="majorEastAsia" w:eastAsiaTheme="majorEastAsia"/>
                <w:color w:val="auto"/>
                <w:sz w:val="18"/>
                <w:szCs w:val="18"/>
              </w:rPr>
              <w:t>。</w:t>
            </w:r>
          </w:p>
          <w:p w14:paraId="2955370F">
            <w:pPr>
              <w:spacing w:line="360" w:lineRule="auto"/>
              <w:rPr>
                <w:rFonts w:asciiTheme="minorEastAsia" w:hAnsiTheme="minorEastAsia"/>
                <w:bCs/>
                <w:color w:val="auto"/>
                <w:sz w:val="18"/>
                <w:szCs w:val="18"/>
              </w:rPr>
            </w:pPr>
            <w:r>
              <w:rPr>
                <w:rFonts w:asciiTheme="minorEastAsia" w:hAnsiTheme="minorEastAsia"/>
                <w:color w:val="auto"/>
                <w:sz w:val="18"/>
                <w:szCs w:val="18"/>
              </w:rPr>
              <w:t>2.</w:t>
            </w:r>
            <w:r>
              <w:rPr>
                <w:rFonts w:hint="eastAsia" w:asciiTheme="minorEastAsia" w:hAnsiTheme="minorEastAsia"/>
                <w:color w:val="auto"/>
                <w:sz w:val="18"/>
                <w:szCs w:val="18"/>
              </w:rPr>
              <w:t>封闭期内不接受申购或赎回申请。</w:t>
            </w:r>
          </w:p>
        </w:tc>
      </w:tr>
      <w:tr w14:paraId="1CBBD1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952CA53">
            <w:pPr>
              <w:spacing w:line="360" w:lineRule="auto"/>
              <w:jc w:val="left"/>
              <w:rPr>
                <w:rFonts w:hAnsi="宋体"/>
                <w:color w:val="auto"/>
                <w:sz w:val="18"/>
                <w:szCs w:val="18"/>
              </w:rPr>
            </w:pPr>
            <w:r>
              <w:rPr>
                <w:rFonts w:hint="eastAsia" w:hAnsi="宋体"/>
                <w:color w:val="auto"/>
                <w:sz w:val="18"/>
                <w:szCs w:val="18"/>
              </w:rPr>
              <w:t>★</w:t>
            </w:r>
            <w:r>
              <w:rPr>
                <w:rFonts w:hint="eastAsia" w:ascii="宋体" w:hAnsi="宋体"/>
                <w:b/>
                <w:bCs/>
                <w:color w:val="auto"/>
                <w:kern w:val="0"/>
                <w:sz w:val="18"/>
                <w:szCs w:val="18"/>
              </w:rPr>
              <w:t>申购/赎回安排</w:t>
            </w:r>
          </w:p>
        </w:tc>
        <w:tc>
          <w:tcPr>
            <w:tcW w:w="7704" w:type="dxa"/>
            <w:shd w:val="solid" w:color="FFFFFF" w:fill="FFFFFF"/>
          </w:tcPr>
          <w:p w14:paraId="68AAC17B">
            <w:pPr>
              <w:spacing w:line="360" w:lineRule="auto"/>
              <w:rPr>
                <w:rFonts w:asciiTheme="minorEastAsia" w:hAnsiTheme="minorEastAsia"/>
                <w:color w:val="auto"/>
                <w:sz w:val="18"/>
                <w:szCs w:val="18"/>
              </w:rPr>
            </w:pPr>
            <w:r>
              <w:rPr>
                <w:rFonts w:hint="eastAsia" w:asciiTheme="minorEastAsia" w:hAnsiTheme="minorEastAsia"/>
                <w:color w:val="auto"/>
                <w:sz w:val="18"/>
                <w:szCs w:val="18"/>
              </w:rPr>
              <w:t>1</w:t>
            </w:r>
            <w:r>
              <w:rPr>
                <w:rFonts w:asciiTheme="minorEastAsia" w:hAnsiTheme="minorEastAsia"/>
                <w:color w:val="auto"/>
                <w:sz w:val="18"/>
                <w:szCs w:val="18"/>
              </w:rPr>
              <w:t>.</w:t>
            </w:r>
            <w:r>
              <w:rPr>
                <w:rFonts w:hint="eastAsia" w:asciiTheme="minorEastAsia" w:hAnsiTheme="minorEastAsia"/>
                <w:color w:val="auto"/>
                <w:sz w:val="18"/>
                <w:szCs w:val="18"/>
              </w:rPr>
              <w:t>本产品在封闭期后，产品按以下规则设置开放期：</w:t>
            </w:r>
          </w:p>
          <w:p w14:paraId="0BAD7A5C">
            <w:pPr>
              <w:spacing w:line="360" w:lineRule="auto"/>
              <w:rPr>
                <w:rFonts w:asciiTheme="minorEastAsia" w:hAnsiTheme="minorEastAsia"/>
                <w:color w:val="auto"/>
                <w:sz w:val="18"/>
                <w:szCs w:val="18"/>
              </w:rPr>
            </w:pPr>
            <w:r>
              <w:rPr>
                <w:rFonts w:hint="eastAsia" w:asciiTheme="minorEastAsia" w:hAnsiTheme="minorEastAsia"/>
                <w:color w:val="auto"/>
                <w:sz w:val="18"/>
                <w:szCs w:val="18"/>
              </w:rPr>
              <w:t>（1）本</w:t>
            </w:r>
            <w:r>
              <w:rPr>
                <w:rFonts w:asciiTheme="minorEastAsia" w:hAnsiTheme="minorEastAsia"/>
                <w:color w:val="auto"/>
                <w:sz w:val="18"/>
                <w:szCs w:val="18"/>
              </w:rPr>
              <w:t>产品成立后</w:t>
            </w:r>
            <w:r>
              <w:rPr>
                <w:rFonts w:hint="eastAsia" w:asciiTheme="minorEastAsia" w:hAnsiTheme="minorEastAsia"/>
                <w:color w:val="auto"/>
                <w:sz w:val="18"/>
                <w:szCs w:val="18"/>
              </w:rPr>
              <w:t>，</w:t>
            </w:r>
            <w:r>
              <w:rPr>
                <w:rFonts w:asciiTheme="minorEastAsia" w:hAnsiTheme="minorEastAsia"/>
                <w:color w:val="auto"/>
                <w:sz w:val="18"/>
                <w:szCs w:val="18"/>
              </w:rPr>
              <w:t>在封闭期之</w:t>
            </w:r>
            <w:r>
              <w:rPr>
                <w:rFonts w:hint="eastAsia" w:asciiTheme="minorEastAsia" w:hAnsiTheme="minorEastAsia"/>
                <w:color w:val="auto"/>
                <w:sz w:val="18"/>
                <w:szCs w:val="18"/>
              </w:rPr>
              <w:t>后的每个【</w:t>
            </w:r>
            <w:r>
              <w:rPr>
                <w:rFonts w:hint="eastAsia" w:asciiTheme="minorEastAsia" w:hAnsiTheme="minorEastAsia"/>
                <w:color w:val="auto"/>
                <w:sz w:val="18"/>
                <w:szCs w:val="18"/>
                <w:lang w:val="en-US" w:eastAsia="zh-CN"/>
              </w:rPr>
              <w:t>工作日</w:t>
            </w:r>
            <w:r>
              <w:rPr>
                <w:rFonts w:hint="eastAsia" w:asciiTheme="minorEastAsia" w:hAnsiTheme="minorEastAsia"/>
                <w:color w:val="auto"/>
                <w:sz w:val="18"/>
                <w:szCs w:val="18"/>
              </w:rPr>
              <w:t>】为开放日，开放日开放投资者的申购与赎回；</w:t>
            </w:r>
          </w:p>
          <w:p w14:paraId="1682CCEC">
            <w:pPr>
              <w:spacing w:line="360" w:lineRule="auto"/>
              <w:rPr>
                <w:rFonts w:asciiTheme="minorEastAsia" w:hAnsiTheme="minorEastAsia"/>
                <w:color w:val="auto"/>
                <w:sz w:val="18"/>
                <w:szCs w:val="18"/>
              </w:rPr>
            </w:pPr>
            <w:r>
              <w:rPr>
                <w:rFonts w:hint="eastAsia" w:asciiTheme="minorEastAsia" w:hAnsiTheme="minorEastAsia"/>
                <w:color w:val="auto"/>
                <w:sz w:val="18"/>
                <w:szCs w:val="18"/>
              </w:rPr>
              <w:t>（2）产品管理人公告暂停开放的日期除外。</w:t>
            </w:r>
          </w:p>
          <w:p w14:paraId="74A7B3F0">
            <w:pPr>
              <w:spacing w:line="360" w:lineRule="auto"/>
              <w:rPr>
                <w:rFonts w:asciiTheme="minorEastAsia" w:hAnsiTheme="minorEastAsia"/>
                <w:b/>
                <w:color w:val="auto"/>
                <w:sz w:val="18"/>
                <w:szCs w:val="18"/>
              </w:rPr>
            </w:pPr>
            <w:r>
              <w:rPr>
                <w:rFonts w:hint="eastAsia" w:asciiTheme="minorEastAsia" w:hAnsiTheme="minorEastAsia"/>
                <w:color w:val="auto"/>
                <w:sz w:val="18"/>
                <w:szCs w:val="18"/>
              </w:rPr>
              <w:t>2</w:t>
            </w:r>
            <w:r>
              <w:rPr>
                <w:rFonts w:asciiTheme="minorEastAsia" w:hAnsiTheme="minorEastAsia"/>
                <w:color w:val="auto"/>
                <w:sz w:val="18"/>
                <w:szCs w:val="18"/>
              </w:rPr>
              <w:t>.</w:t>
            </w:r>
            <w:r>
              <w:rPr>
                <w:rFonts w:hint="eastAsia" w:asciiTheme="minorEastAsia" w:hAnsiTheme="minorEastAsia"/>
                <w:color w:val="auto"/>
                <w:sz w:val="18"/>
                <w:szCs w:val="18"/>
              </w:rPr>
              <w:t>申购安排</w:t>
            </w:r>
          </w:p>
          <w:p w14:paraId="2DF1A701">
            <w:pPr>
              <w:spacing w:line="360" w:lineRule="auto"/>
              <w:rPr>
                <w:rFonts w:eastAsia="黑体" w:asciiTheme="minorEastAsia" w:hAnsiTheme="minorEastAsia"/>
                <w:b/>
                <w:color w:val="auto"/>
                <w:sz w:val="18"/>
                <w:szCs w:val="18"/>
              </w:rPr>
            </w:pPr>
            <w:r>
              <w:rPr>
                <w:rFonts w:hint="eastAsia" w:asciiTheme="minorEastAsia" w:hAnsiTheme="minorEastAsia"/>
                <w:color w:val="auto"/>
                <w:sz w:val="18"/>
                <w:szCs w:val="18"/>
              </w:rPr>
              <w:t>（1）申购的时间</w:t>
            </w:r>
          </w:p>
          <w:p w14:paraId="5563858C">
            <w:pPr>
              <w:spacing w:line="360" w:lineRule="auto"/>
              <w:rPr>
                <w:rFonts w:asciiTheme="minorEastAsia" w:hAnsiTheme="minorEastAsia"/>
                <w:color w:val="auto"/>
                <w:sz w:val="18"/>
                <w:szCs w:val="18"/>
              </w:rPr>
            </w:pPr>
            <w:r>
              <w:rPr>
                <w:rFonts w:hint="eastAsia" w:asciiTheme="minorEastAsia" w:hAnsiTheme="minorEastAsia"/>
                <w:color w:val="auto"/>
                <w:sz w:val="18"/>
                <w:szCs w:val="18"/>
              </w:rPr>
              <w:t>本产品封闭期后的每个开放日开放申购。投资者可于开放日内提交申购申请，产品管理人公告暂停开放的日期除外。</w:t>
            </w:r>
          </w:p>
          <w:p w14:paraId="622C74A9">
            <w:pPr>
              <w:spacing w:line="360" w:lineRule="auto"/>
              <w:rPr>
                <w:rFonts w:eastAsia="黑体" w:asciiTheme="minorEastAsia" w:hAnsiTheme="minorEastAsia"/>
                <w:b/>
                <w:color w:val="auto"/>
                <w:sz w:val="18"/>
                <w:szCs w:val="18"/>
              </w:rPr>
            </w:pPr>
            <w:r>
              <w:rPr>
                <w:rFonts w:hint="eastAsia" w:asciiTheme="minorEastAsia" w:hAnsiTheme="minorEastAsia"/>
                <w:color w:val="auto"/>
                <w:sz w:val="18"/>
                <w:szCs w:val="18"/>
              </w:rPr>
              <w:t>（2）申购的确认</w:t>
            </w:r>
          </w:p>
          <w:tbl>
            <w:tblPr>
              <w:tblStyle w:val="25"/>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14:paraId="0652B7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14:paraId="678121D8">
                  <w:pPr>
                    <w:spacing w:line="360" w:lineRule="auto"/>
                    <w:jc w:val="center"/>
                    <w:rPr>
                      <w:rFonts w:asciiTheme="minorEastAsia" w:hAnsiTheme="minorEastAsia"/>
                      <w:b/>
                      <w:bCs/>
                      <w:color w:val="auto"/>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14:paraId="668F0D06">
                  <w:pPr>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申购日</w:t>
                  </w:r>
                </w:p>
              </w:tc>
              <w:tc>
                <w:tcPr>
                  <w:tcW w:w="1984" w:type="dxa"/>
                  <w:vAlign w:val="center"/>
                </w:tcPr>
                <w:p w14:paraId="2410D527">
                  <w:pPr>
                    <w:spacing w:line="360" w:lineRule="auto"/>
                    <w:jc w:val="center"/>
                    <w:rPr>
                      <w:rFonts w:asciiTheme="minorEastAsia" w:hAnsiTheme="minorEastAsia"/>
                      <w:b/>
                      <w:bCs/>
                      <w:color w:val="auto"/>
                      <w:sz w:val="18"/>
                      <w:szCs w:val="18"/>
                    </w:rPr>
                  </w:pPr>
                  <w:r>
                    <w:rPr>
                      <w:rFonts w:hint="eastAsia" w:cs="Times New Roman" w:asciiTheme="minorEastAsia" w:hAnsiTheme="minorEastAsia"/>
                      <w:b/>
                      <w:bCs/>
                      <w:color w:val="auto"/>
                      <w:sz w:val="18"/>
                      <w:szCs w:val="18"/>
                    </w:rPr>
                    <w:t>申购确认日</w:t>
                  </w:r>
                </w:p>
              </w:tc>
              <w:tc>
                <w:tcPr>
                  <w:tcW w:w="1985" w:type="dxa"/>
                  <w:vAlign w:val="center"/>
                </w:tcPr>
                <w:p w14:paraId="41C31314">
                  <w:pPr>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14:paraId="03BCF0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5EA13774">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-【17：00】</w:t>
                  </w:r>
                </w:p>
              </w:tc>
              <w:tc>
                <w:tcPr>
                  <w:tcW w:w="1701" w:type="dxa"/>
                  <w:vAlign w:val="center"/>
                </w:tcPr>
                <w:p w14:paraId="3EACF5AC">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14:paraId="6D2C11F3">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14:paraId="72F8CFB5">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14:paraId="761DC4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26F8DDC7">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 xml:space="preserve">-【24：00】 </w:t>
                  </w:r>
                </w:p>
              </w:tc>
              <w:tc>
                <w:tcPr>
                  <w:tcW w:w="1701" w:type="dxa"/>
                  <w:vAlign w:val="center"/>
                </w:tcPr>
                <w:p w14:paraId="76EDDFF5">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14:paraId="24CFAAFB">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14:paraId="4F597080">
                  <w:pPr>
                    <w:spacing w:line="360" w:lineRule="auto"/>
                    <w:jc w:val="left"/>
                    <w:rPr>
                      <w:rFonts w:asciiTheme="majorEastAsia" w:hAnsiTheme="majorEastAsia" w:eastAsiaTheme="majorEastAsia"/>
                      <w:bCs/>
                      <w:color w:val="auto"/>
                      <w:sz w:val="18"/>
                      <w:szCs w:val="18"/>
                    </w:rPr>
                  </w:pPr>
                </w:p>
              </w:tc>
            </w:tr>
            <w:tr w14:paraId="6CC57E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14:paraId="43ECB28A">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14:paraId="4F9D3341">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14:paraId="1329BC92">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14:paraId="787025EB">
                  <w:pPr>
                    <w:spacing w:line="360" w:lineRule="auto"/>
                    <w:jc w:val="left"/>
                    <w:rPr>
                      <w:rFonts w:asciiTheme="majorEastAsia" w:hAnsiTheme="majorEastAsia" w:eastAsiaTheme="majorEastAsia"/>
                      <w:bCs/>
                      <w:color w:val="auto"/>
                      <w:sz w:val="18"/>
                      <w:szCs w:val="18"/>
                    </w:rPr>
                  </w:pPr>
                </w:p>
              </w:tc>
            </w:tr>
          </w:tbl>
          <w:p w14:paraId="429B02E9">
            <w:pPr>
              <w:spacing w:line="360" w:lineRule="auto"/>
              <w:rPr>
                <w:rFonts w:asciiTheme="minorEastAsia" w:hAnsiTheme="minorEastAsia"/>
                <w:color w:val="auto"/>
                <w:sz w:val="18"/>
                <w:szCs w:val="18"/>
              </w:rPr>
            </w:pPr>
            <w:r>
              <w:rPr>
                <w:rFonts w:asciiTheme="minorEastAsia" w:hAnsiTheme="minorEastAsia"/>
                <w:color w:val="auto"/>
                <w:sz w:val="18"/>
                <w:szCs w:val="18"/>
              </w:rPr>
              <w:t>3.赎回</w:t>
            </w:r>
            <w:r>
              <w:rPr>
                <w:rFonts w:hint="eastAsia" w:asciiTheme="minorEastAsia" w:hAnsiTheme="minorEastAsia"/>
                <w:color w:val="auto"/>
                <w:sz w:val="18"/>
                <w:szCs w:val="18"/>
              </w:rPr>
              <w:t>安排</w:t>
            </w:r>
          </w:p>
          <w:p w14:paraId="72CC1F98">
            <w:pPr>
              <w:spacing w:line="360" w:lineRule="auto"/>
              <w:rPr>
                <w:rFonts w:asciiTheme="minorEastAsia" w:hAnsiTheme="minorEastAsia"/>
                <w:color w:val="auto"/>
                <w:sz w:val="18"/>
                <w:szCs w:val="18"/>
              </w:rPr>
            </w:pPr>
            <w:r>
              <w:rPr>
                <w:rFonts w:hint="eastAsia" w:asciiTheme="minorEastAsia" w:hAnsiTheme="minorEastAsia"/>
                <w:color w:val="auto"/>
                <w:sz w:val="18"/>
                <w:szCs w:val="18"/>
              </w:rPr>
              <w:t>（1）赎回的时间</w:t>
            </w:r>
          </w:p>
          <w:p w14:paraId="6E61C543">
            <w:pPr>
              <w:spacing w:line="360" w:lineRule="auto"/>
              <w:rPr>
                <w:rFonts w:asciiTheme="minorEastAsia" w:hAnsiTheme="minorEastAsia"/>
                <w:color w:val="auto"/>
                <w:sz w:val="18"/>
                <w:szCs w:val="18"/>
              </w:rPr>
            </w:pPr>
            <w:r>
              <w:rPr>
                <w:rFonts w:hint="eastAsia" w:asciiTheme="minorEastAsia" w:hAnsiTheme="minorEastAsia"/>
                <w:color w:val="auto"/>
                <w:sz w:val="18"/>
                <w:szCs w:val="18"/>
              </w:rPr>
              <w:t>本产品</w:t>
            </w:r>
            <w:r>
              <w:rPr>
                <w:rFonts w:asciiTheme="minorEastAsia" w:hAnsiTheme="minorEastAsia"/>
                <w:color w:val="auto"/>
                <w:sz w:val="18"/>
                <w:szCs w:val="18"/>
              </w:rPr>
              <w:t>封闭期</w:t>
            </w:r>
            <w:r>
              <w:rPr>
                <w:rFonts w:hint="eastAsia" w:asciiTheme="minorEastAsia" w:hAnsiTheme="minorEastAsia"/>
                <w:color w:val="auto"/>
                <w:sz w:val="18"/>
                <w:szCs w:val="18"/>
              </w:rPr>
              <w:t>后</w:t>
            </w:r>
            <w:r>
              <w:rPr>
                <w:rFonts w:hint="eastAsia" w:cs="Times New Roman" w:asciiTheme="minorEastAsia" w:hAnsiTheme="minorEastAsia"/>
                <w:color w:val="auto"/>
                <w:sz w:val="18"/>
                <w:szCs w:val="18"/>
              </w:rPr>
              <w:t>的</w:t>
            </w:r>
            <w:r>
              <w:rPr>
                <w:rFonts w:hint="eastAsia" w:asciiTheme="minorEastAsia" w:hAnsiTheme="minorEastAsia"/>
                <w:color w:val="auto"/>
                <w:sz w:val="18"/>
                <w:szCs w:val="18"/>
              </w:rPr>
              <w:t>每个开放日开放</w:t>
            </w:r>
            <w:r>
              <w:rPr>
                <w:rFonts w:hint="eastAsia" w:asciiTheme="minorEastAsia" w:hAnsiTheme="minorEastAsia"/>
                <w:bCs/>
                <w:color w:val="auto"/>
                <w:sz w:val="18"/>
                <w:szCs w:val="18"/>
              </w:rPr>
              <w:t>赎回</w:t>
            </w:r>
            <w:r>
              <w:rPr>
                <w:rFonts w:asciiTheme="minorEastAsia" w:hAnsiTheme="minorEastAsia"/>
                <w:color w:val="auto"/>
                <w:sz w:val="18"/>
                <w:szCs w:val="18"/>
              </w:rPr>
              <w:t>。</w:t>
            </w:r>
            <w:r>
              <w:rPr>
                <w:rFonts w:hint="eastAsia" w:asciiTheme="minorEastAsia" w:hAnsiTheme="minorEastAsia"/>
                <w:color w:val="auto"/>
                <w:sz w:val="18"/>
                <w:szCs w:val="18"/>
              </w:rPr>
              <w:t>投资者可于开放日内提交赎回申请，产品管理人公告暂停开放的日期除外</w:t>
            </w:r>
            <w:r>
              <w:rPr>
                <w:rFonts w:hint="eastAsia" w:asciiTheme="majorEastAsia" w:hAnsiTheme="majorEastAsia" w:eastAsiaTheme="majorEastAsia"/>
                <w:bCs/>
                <w:color w:val="auto"/>
                <w:sz w:val="18"/>
                <w:szCs w:val="18"/>
              </w:rPr>
              <w:t>。</w:t>
            </w:r>
          </w:p>
          <w:p w14:paraId="06461710">
            <w:pPr>
              <w:spacing w:line="360" w:lineRule="auto"/>
              <w:rPr>
                <w:rFonts w:asciiTheme="minorEastAsia" w:hAnsiTheme="minorEastAsia"/>
                <w:color w:val="auto"/>
                <w:sz w:val="18"/>
                <w:szCs w:val="18"/>
              </w:rPr>
            </w:pPr>
            <w:r>
              <w:rPr>
                <w:rFonts w:hint="eastAsia" w:asciiTheme="minorEastAsia" w:hAnsiTheme="minorEastAsia"/>
                <w:color w:val="auto"/>
                <w:sz w:val="18"/>
                <w:szCs w:val="18"/>
              </w:rPr>
              <w:t>（2）赎回的确认</w:t>
            </w:r>
          </w:p>
          <w:tbl>
            <w:tblPr>
              <w:tblStyle w:val="25"/>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14:paraId="52EC17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1833" w:type="dxa"/>
                  <w:vAlign w:val="center"/>
                </w:tcPr>
                <w:p w14:paraId="499A50F9">
                  <w:pPr>
                    <w:spacing w:line="360" w:lineRule="auto"/>
                    <w:jc w:val="left"/>
                    <w:rPr>
                      <w:rFonts w:asciiTheme="minorEastAsia" w:hAnsiTheme="minorEastAsia" w:eastAsiaTheme="minorEastAsia"/>
                      <w:b/>
                      <w:bCs/>
                      <w:color w:val="auto"/>
                      <w:sz w:val="18"/>
                      <w:szCs w:val="18"/>
                    </w:rPr>
                  </w:pPr>
                  <w:r>
                    <w:rPr>
                      <w:rFonts w:hint="eastAsia" w:cs="Times New Roman" w:asciiTheme="minorEastAsia" w:hAnsiTheme="minorEastAsia" w:eastAsiaTheme="minorEastAsia"/>
                      <w:b/>
                      <w:bCs/>
                      <w:color w:val="auto"/>
                      <w:kern w:val="0"/>
                      <w:sz w:val="18"/>
                      <w:szCs w:val="18"/>
                    </w:rPr>
                    <w:t>赎回申请日</w:t>
                  </w:r>
                </w:p>
              </w:tc>
              <w:tc>
                <w:tcPr>
                  <w:tcW w:w="1701" w:type="dxa"/>
                </w:tcPr>
                <w:p w14:paraId="1B87DDE6">
                  <w:pPr>
                    <w:spacing w:line="360" w:lineRule="auto"/>
                    <w:jc w:val="left"/>
                    <w:rPr>
                      <w:rFonts w:cs="Times New Roman" w:asciiTheme="minorEastAsia" w:hAnsiTheme="minorEastAsia" w:eastAsiaTheme="minorEastAsia"/>
                      <w:b/>
                      <w:bCs/>
                      <w:color w:val="auto"/>
                      <w:kern w:val="0"/>
                      <w:sz w:val="18"/>
                      <w:szCs w:val="18"/>
                    </w:rPr>
                  </w:pPr>
                  <w:r>
                    <w:rPr>
                      <w:rFonts w:hint="eastAsia" w:cs="Times New Roman" w:asciiTheme="minorEastAsia" w:hAnsiTheme="minorEastAsia" w:eastAsiaTheme="minorEastAsia"/>
                      <w:b/>
                      <w:bCs/>
                      <w:color w:val="auto"/>
                      <w:kern w:val="0"/>
                      <w:sz w:val="18"/>
                      <w:szCs w:val="18"/>
                    </w:rPr>
                    <w:t>赎回</w:t>
                  </w:r>
                  <w:r>
                    <w:rPr>
                      <w:rFonts w:cs="Times New Roman" w:asciiTheme="minorEastAsia" w:hAnsiTheme="minorEastAsia" w:eastAsiaTheme="minorEastAsia"/>
                      <w:b/>
                      <w:bCs/>
                      <w:color w:val="auto"/>
                      <w:kern w:val="0"/>
                      <w:sz w:val="18"/>
                      <w:szCs w:val="18"/>
                    </w:rPr>
                    <w:t>日</w:t>
                  </w:r>
                </w:p>
              </w:tc>
              <w:tc>
                <w:tcPr>
                  <w:tcW w:w="1984" w:type="dxa"/>
                  <w:vAlign w:val="center"/>
                </w:tcPr>
                <w:p w14:paraId="2542BB5F">
                  <w:pPr>
                    <w:spacing w:line="360" w:lineRule="auto"/>
                    <w:jc w:val="left"/>
                    <w:rPr>
                      <w:rFonts w:asciiTheme="minorEastAsia" w:hAnsiTheme="minorEastAsia" w:eastAsiaTheme="minorEastAsia"/>
                      <w:b/>
                      <w:bCs/>
                      <w:color w:val="auto"/>
                      <w:sz w:val="18"/>
                      <w:szCs w:val="18"/>
                    </w:rPr>
                  </w:pPr>
                  <w:r>
                    <w:rPr>
                      <w:rFonts w:hint="eastAsia" w:cs="Times New Roman" w:asciiTheme="minorEastAsia" w:hAnsiTheme="minorEastAsia" w:eastAsiaTheme="minorEastAsia"/>
                      <w:b/>
                      <w:bCs/>
                      <w:color w:val="auto"/>
                      <w:kern w:val="0"/>
                      <w:sz w:val="18"/>
                      <w:szCs w:val="18"/>
                    </w:rPr>
                    <w:t>赎回确认日</w:t>
                  </w:r>
                </w:p>
              </w:tc>
              <w:tc>
                <w:tcPr>
                  <w:tcW w:w="2043" w:type="dxa"/>
                  <w:vAlign w:val="center"/>
                </w:tcPr>
                <w:p w14:paraId="3D468671">
                  <w:pPr>
                    <w:spacing w:line="360" w:lineRule="auto"/>
                    <w:jc w:val="left"/>
                    <w:rPr>
                      <w:rFonts w:asciiTheme="minorEastAsia" w:hAnsiTheme="minorEastAsia" w:eastAsiaTheme="minorEastAsia"/>
                      <w:b/>
                      <w:bCs/>
                      <w:color w:val="auto"/>
                      <w:sz w:val="18"/>
                      <w:szCs w:val="18"/>
                    </w:rPr>
                  </w:pPr>
                  <w:r>
                    <w:rPr>
                      <w:rFonts w:hint="eastAsia" w:cs="Times New Roman" w:asciiTheme="minorEastAsia" w:hAnsiTheme="minorEastAsia" w:eastAsiaTheme="minorEastAsia"/>
                      <w:b/>
                      <w:bCs/>
                      <w:color w:val="auto"/>
                      <w:kern w:val="0"/>
                      <w:sz w:val="18"/>
                      <w:szCs w:val="18"/>
                    </w:rPr>
                    <w:t>赎回确认方式</w:t>
                  </w:r>
                </w:p>
              </w:tc>
            </w:tr>
            <w:tr w14:paraId="7500E1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14:paraId="72DBCD16">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-【17：00】</w:t>
                  </w:r>
                </w:p>
              </w:tc>
              <w:tc>
                <w:tcPr>
                  <w:tcW w:w="1701" w:type="dxa"/>
                  <w:tcBorders>
                    <w:bottom w:val="single" w:color="auto" w:sz="12" w:space="0"/>
                  </w:tcBorders>
                  <w:vAlign w:val="center"/>
                </w:tcPr>
                <w:p w14:paraId="6EF007A5">
                  <w:pPr>
                    <w:spacing w:line="360" w:lineRule="auto"/>
                    <w:rPr>
                      <w:rFonts w:cs="Times New Roman" w:asciiTheme="minorEastAsia" w:hAnsiTheme="minorEastAsia" w:eastAsiaTheme="minorEastAsia"/>
                      <w:bCs/>
                      <w:color w:val="auto"/>
                      <w:kern w:val="0"/>
                      <w:sz w:val="18"/>
                      <w:szCs w:val="18"/>
                    </w:rPr>
                  </w:pPr>
                  <w:r>
                    <w:rPr>
                      <w:rFonts w:hint="eastAsia" w:asciiTheme="majorEastAsia" w:hAnsiTheme="majorEastAsia" w:eastAsiaTheme="majorEastAsia"/>
                      <w:bCs/>
                      <w:color w:val="auto"/>
                      <w:sz w:val="18"/>
                      <w:szCs w:val="18"/>
                    </w:rPr>
                    <w:t>赎回申请日当日</w:t>
                  </w:r>
                </w:p>
              </w:tc>
              <w:tc>
                <w:tcPr>
                  <w:tcW w:w="1984" w:type="dxa"/>
                  <w:tcBorders>
                    <w:bottom w:val="single" w:color="auto" w:sz="12" w:space="0"/>
                  </w:tcBorders>
                  <w:vAlign w:val="center"/>
                </w:tcPr>
                <w:p w14:paraId="46810D73">
                  <w:pPr>
                    <w:spacing w:line="360" w:lineRule="auto"/>
                    <w:rPr>
                      <w:rFonts w:asciiTheme="minorEastAsia" w:hAnsiTheme="minorEastAsia" w:eastAsiaTheme="minorEastAsia"/>
                      <w:bCs/>
                      <w:color w:val="auto"/>
                      <w:sz w:val="18"/>
                      <w:szCs w:val="18"/>
                    </w:rPr>
                  </w:pPr>
                  <w:r>
                    <w:rPr>
                      <w:rFonts w:hint="eastAsia" w:cs="Times New Roman" w:asciiTheme="minorEastAsia" w:hAnsiTheme="minorEastAsia" w:eastAsiaTheme="minorEastAsia"/>
                      <w:bCs/>
                      <w:color w:val="auto"/>
                      <w:kern w:val="0"/>
                      <w:sz w:val="18"/>
                      <w:szCs w:val="18"/>
                    </w:rPr>
                    <w:t>赎回日</w:t>
                  </w:r>
                  <w:r>
                    <w:rPr>
                      <w:rFonts w:hint="eastAsia" w:asciiTheme="majorEastAsia" w:hAnsiTheme="majorEastAsia" w:eastAsiaTheme="majorEastAsia"/>
                      <w:bCs/>
                      <w:color w:val="auto"/>
                      <w:sz w:val="18"/>
                      <w:szCs w:val="18"/>
                    </w:rPr>
                    <w:t>后的下一个开放日</w:t>
                  </w:r>
                </w:p>
              </w:tc>
              <w:tc>
                <w:tcPr>
                  <w:tcW w:w="2043" w:type="dxa"/>
                  <w:vMerge w:val="restart"/>
                  <w:vAlign w:val="center"/>
                </w:tcPr>
                <w:p w14:paraId="6AE8ED3C">
                  <w:pPr>
                    <w:spacing w:line="360" w:lineRule="auto"/>
                    <w:rPr>
                      <w:rFonts w:asciiTheme="minorEastAsia" w:hAnsiTheme="minorEastAsia" w:eastAsiaTheme="minorEastAsia"/>
                      <w:bCs/>
                      <w:color w:val="auto"/>
                      <w:sz w:val="18"/>
                      <w:szCs w:val="18"/>
                    </w:rPr>
                  </w:pPr>
                  <w:r>
                    <w:rPr>
                      <w:rFonts w:hint="eastAsia" w:cs="Times New Roman" w:asciiTheme="minorEastAsia" w:hAnsiTheme="minorEastAsia" w:eastAsiaTheme="minorEastAsia"/>
                      <w:bCs/>
                      <w:color w:val="auto"/>
                      <w:kern w:val="0"/>
                      <w:sz w:val="18"/>
                      <w:szCs w:val="18"/>
                    </w:rPr>
                    <w:t>产品管理人在赎回</w:t>
                  </w:r>
                  <w:r>
                    <w:rPr>
                      <w:rFonts w:cs="Times New Roman" w:asciiTheme="minorEastAsia" w:hAnsiTheme="minorEastAsia" w:eastAsiaTheme="minorEastAsia"/>
                      <w:bCs/>
                      <w:color w:val="auto"/>
                      <w:kern w:val="0"/>
                      <w:sz w:val="18"/>
                      <w:szCs w:val="18"/>
                    </w:rPr>
                    <w:t>确认日</w:t>
                  </w:r>
                  <w:r>
                    <w:rPr>
                      <w:rFonts w:hint="eastAsia" w:cs="Times New Roman" w:asciiTheme="minorEastAsia" w:hAnsiTheme="minorEastAsia" w:eastAsiaTheme="minorEastAsia"/>
                      <w:bCs/>
                      <w:color w:val="auto"/>
                      <w:kern w:val="0"/>
                      <w:sz w:val="18"/>
                      <w:szCs w:val="18"/>
                    </w:rPr>
                    <w:t>对赎回申请的有效性进行确认，并注销理财份额。</w:t>
                  </w:r>
                </w:p>
              </w:tc>
            </w:tr>
            <w:tr w14:paraId="175D16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14:paraId="42048ECB">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-【24：00】</w:t>
                  </w:r>
                </w:p>
              </w:tc>
              <w:tc>
                <w:tcPr>
                  <w:tcW w:w="1701" w:type="dxa"/>
                  <w:tcBorders>
                    <w:top w:val="single" w:color="auto" w:sz="12" w:space="0"/>
                    <w:bottom w:val="single" w:color="auto" w:sz="12" w:space="0"/>
                  </w:tcBorders>
                  <w:vAlign w:val="center"/>
                </w:tcPr>
                <w:p w14:paraId="4C0630DF">
                  <w:pPr>
                    <w:spacing w:line="360" w:lineRule="auto"/>
                    <w:rPr>
                      <w:rFonts w:cs="Times New Roman" w:asciiTheme="minorEastAsia" w:hAnsiTheme="minorEastAsia" w:eastAsiaTheme="minorEastAsia"/>
                      <w:bCs/>
                      <w:color w:val="auto"/>
                      <w:kern w:val="0"/>
                      <w:sz w:val="18"/>
                      <w:szCs w:val="18"/>
                    </w:rPr>
                  </w:pPr>
                  <w:r>
                    <w:rPr>
                      <w:rFonts w:hint="eastAsia" w:asciiTheme="majorEastAsia" w:hAnsiTheme="majorEastAsia" w:eastAsiaTheme="majorEastAsia"/>
                      <w:bCs/>
                      <w:color w:val="auto"/>
                      <w:sz w:val="18"/>
                      <w:szCs w:val="18"/>
                    </w:rPr>
                    <w:t>赎回申请日后的下一个开放日</w:t>
                  </w:r>
                </w:p>
              </w:tc>
              <w:tc>
                <w:tcPr>
                  <w:tcW w:w="1984" w:type="dxa"/>
                  <w:tcBorders>
                    <w:top w:val="single" w:color="auto" w:sz="12" w:space="0"/>
                    <w:bottom w:val="single" w:color="auto" w:sz="12" w:space="0"/>
                  </w:tcBorders>
                  <w:vAlign w:val="center"/>
                </w:tcPr>
                <w:p w14:paraId="50B032DA">
                  <w:pPr>
                    <w:spacing w:line="360" w:lineRule="auto"/>
                    <w:rPr>
                      <w:rFonts w:cs="Times New Roman" w:asciiTheme="minorEastAsia" w:hAnsiTheme="minorEastAsia" w:eastAsiaTheme="minorEastAsia"/>
                      <w:bCs/>
                      <w:color w:val="auto"/>
                      <w:kern w:val="0"/>
                      <w:sz w:val="18"/>
                      <w:szCs w:val="18"/>
                    </w:rPr>
                  </w:pPr>
                  <w:r>
                    <w:rPr>
                      <w:rFonts w:cs="Times New Roman" w:asciiTheme="minorEastAsia" w:hAnsiTheme="minorEastAsia" w:eastAsiaTheme="minorEastAsia"/>
                      <w:bCs/>
                      <w:color w:val="auto"/>
                      <w:kern w:val="0"/>
                      <w:sz w:val="18"/>
                      <w:szCs w:val="18"/>
                    </w:rPr>
                    <w:t>赎回日</w:t>
                  </w:r>
                  <w:r>
                    <w:rPr>
                      <w:rFonts w:hint="eastAsia" w:asciiTheme="majorEastAsia" w:hAnsiTheme="majorEastAsia" w:eastAsiaTheme="majorEastAsia"/>
                      <w:bCs/>
                      <w:color w:val="auto"/>
                      <w:sz w:val="18"/>
                      <w:szCs w:val="18"/>
                    </w:rPr>
                    <w:t>后的下一个开放日</w:t>
                  </w:r>
                </w:p>
              </w:tc>
              <w:tc>
                <w:tcPr>
                  <w:tcW w:w="2043" w:type="dxa"/>
                  <w:vMerge w:val="continue"/>
                  <w:vAlign w:val="center"/>
                </w:tcPr>
                <w:p w14:paraId="724C5BC8">
                  <w:pPr>
                    <w:spacing w:line="360" w:lineRule="auto"/>
                    <w:rPr>
                      <w:rFonts w:cs="Times New Roman" w:asciiTheme="minorEastAsia" w:hAnsiTheme="minorEastAsia" w:eastAsiaTheme="minorEastAsia"/>
                      <w:bCs/>
                      <w:color w:val="auto"/>
                      <w:kern w:val="0"/>
                      <w:sz w:val="18"/>
                      <w:szCs w:val="18"/>
                    </w:rPr>
                  </w:pPr>
                </w:p>
              </w:tc>
            </w:tr>
            <w:tr w14:paraId="2D8613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tcBorders>
                  <w:vAlign w:val="center"/>
                </w:tcPr>
                <w:p w14:paraId="187DA5DE">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14:paraId="2496E232">
                  <w:pPr>
                    <w:spacing w:line="360" w:lineRule="auto"/>
                    <w:rPr>
                      <w:rFonts w:cs="Times New Roman" w:asciiTheme="minorEastAsia" w:hAnsiTheme="minorEastAsia" w:eastAsiaTheme="minorEastAsia"/>
                      <w:bCs/>
                      <w:color w:val="auto"/>
                      <w:kern w:val="0"/>
                      <w:sz w:val="18"/>
                      <w:szCs w:val="18"/>
                    </w:rPr>
                  </w:pPr>
                  <w:r>
                    <w:rPr>
                      <w:rFonts w:hint="eastAsia" w:asciiTheme="majorEastAsia" w:hAnsiTheme="majorEastAsia" w:eastAsiaTheme="majorEastAsia"/>
                      <w:bCs/>
                      <w:color w:val="auto"/>
                      <w:sz w:val="18"/>
                      <w:szCs w:val="18"/>
                    </w:rPr>
                    <w:t>赎回申请日后的下一个开放日</w:t>
                  </w:r>
                </w:p>
              </w:tc>
              <w:tc>
                <w:tcPr>
                  <w:tcW w:w="1984" w:type="dxa"/>
                  <w:tcBorders>
                    <w:top w:val="single" w:color="auto" w:sz="12" w:space="0"/>
                  </w:tcBorders>
                </w:tcPr>
                <w:p w14:paraId="5D501B88">
                  <w:pPr>
                    <w:spacing w:line="360" w:lineRule="auto"/>
                    <w:rPr>
                      <w:rFonts w:cs="Times New Roman" w:asciiTheme="minorEastAsia" w:hAnsiTheme="minorEastAsia" w:eastAsiaTheme="minorEastAsia"/>
                      <w:bCs/>
                      <w:color w:val="auto"/>
                      <w:kern w:val="0"/>
                      <w:sz w:val="18"/>
                      <w:szCs w:val="18"/>
                    </w:rPr>
                  </w:pPr>
                  <w:r>
                    <w:rPr>
                      <w:rFonts w:cs="Times New Roman" w:asciiTheme="minorEastAsia" w:hAnsiTheme="minorEastAsia" w:eastAsiaTheme="minorEastAsia"/>
                      <w:bCs/>
                      <w:color w:val="auto"/>
                      <w:kern w:val="0"/>
                      <w:sz w:val="18"/>
                      <w:szCs w:val="18"/>
                    </w:rPr>
                    <w:t>赎回日</w:t>
                  </w:r>
                  <w:r>
                    <w:rPr>
                      <w:rFonts w:hint="eastAsia" w:asciiTheme="majorEastAsia" w:hAnsiTheme="majorEastAsia" w:eastAsiaTheme="majorEastAsia"/>
                      <w:bCs/>
                      <w:color w:val="auto"/>
                      <w:sz w:val="18"/>
                      <w:szCs w:val="18"/>
                    </w:rPr>
                    <w:t>后的下一个开放日</w:t>
                  </w:r>
                </w:p>
              </w:tc>
              <w:tc>
                <w:tcPr>
                  <w:tcW w:w="2043" w:type="dxa"/>
                  <w:vMerge w:val="continue"/>
                </w:tcPr>
                <w:p w14:paraId="658BA57A">
                  <w:pPr>
                    <w:spacing w:line="360" w:lineRule="auto"/>
                    <w:rPr>
                      <w:rFonts w:cs="Times New Roman" w:asciiTheme="minorEastAsia" w:hAnsiTheme="minorEastAsia" w:eastAsiaTheme="minorEastAsia"/>
                      <w:bCs/>
                      <w:color w:val="auto"/>
                      <w:kern w:val="0"/>
                      <w:sz w:val="18"/>
                      <w:szCs w:val="18"/>
                    </w:rPr>
                  </w:pPr>
                </w:p>
              </w:tc>
            </w:tr>
          </w:tbl>
          <w:p w14:paraId="5436376C">
            <w:pPr>
              <w:spacing w:line="360" w:lineRule="auto"/>
              <w:rPr>
                <w:rFonts w:ascii="黑体" w:hAnsi="黑体" w:eastAsia="黑体" w:cs="黑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rPr>
              <w:t>赎回</w:t>
            </w:r>
            <w:r>
              <w:rPr>
                <w:rFonts w:hint="eastAsia" w:ascii="黑体" w:hAnsi="黑体" w:eastAsia="黑体" w:cs="黑体"/>
                <w:color w:val="auto"/>
                <w:sz w:val="18"/>
                <w:szCs w:val="18"/>
              </w:rPr>
              <w:t>款项于</w:t>
            </w:r>
            <w:r>
              <w:rPr>
                <w:rFonts w:hint="eastAsia" w:ascii="黑体" w:hAnsi="黑体" w:eastAsia="黑体" w:cs="黑体"/>
                <w:color w:val="auto"/>
                <w:kern w:val="0"/>
                <w:sz w:val="18"/>
                <w:szCs w:val="18"/>
              </w:rPr>
              <w:t>赎回</w:t>
            </w:r>
            <w:r>
              <w:rPr>
                <w:rFonts w:hint="eastAsia" w:ascii="黑体" w:hAnsi="黑体" w:eastAsia="黑体" w:cs="黑体"/>
                <w:color w:val="auto"/>
                <w:kern w:val="0"/>
                <w:sz w:val="18"/>
              </w:rPr>
              <w:t>日后【</w:t>
            </w:r>
            <w:r>
              <w:rPr>
                <w:rFonts w:hint="eastAsia" w:ascii="黑体" w:hAnsi="黑体" w:eastAsia="黑体" w:cs="黑体"/>
                <w:color w:val="auto"/>
                <w:kern w:val="0"/>
                <w:sz w:val="18"/>
                <w:lang w:val="en-US" w:eastAsia="zh-CN"/>
              </w:rPr>
              <w:t>1</w:t>
            </w:r>
            <w:r>
              <w:rPr>
                <w:rFonts w:hint="eastAsia" w:ascii="黑体" w:hAnsi="黑体" w:eastAsia="黑体" w:cs="黑体"/>
                <w:color w:val="auto"/>
                <w:kern w:val="0"/>
                <w:sz w:val="18"/>
              </w:rPr>
              <w:t>】个开放日</w:t>
            </w:r>
            <w:r>
              <w:rPr>
                <w:rFonts w:hint="eastAsia" w:ascii="黑体" w:hAnsi="黑体" w:eastAsia="黑体" w:cs="黑体"/>
                <w:color w:val="auto"/>
                <w:kern w:val="0"/>
                <w:sz w:val="18"/>
                <w:szCs w:val="18"/>
              </w:rPr>
              <w:t>内支付给</w:t>
            </w:r>
            <w:r>
              <w:rPr>
                <w:rFonts w:hint="eastAsia" w:ascii="黑体" w:hAnsi="黑体" w:eastAsia="黑体" w:cs="黑体"/>
                <w:color w:val="auto"/>
                <w:kern w:val="0"/>
                <w:sz w:val="18"/>
              </w:rPr>
              <w:t>投资者</w:t>
            </w:r>
            <w:r>
              <w:rPr>
                <w:rFonts w:hint="eastAsia" w:ascii="黑体" w:hAnsi="黑体" w:eastAsia="黑体" w:cs="黑体"/>
                <w:color w:val="auto"/>
                <w:kern w:val="0"/>
                <w:sz w:val="18"/>
                <w:szCs w:val="18"/>
              </w:rPr>
              <w:t>。</w:t>
            </w:r>
          </w:p>
          <w:p w14:paraId="57E7363D">
            <w:pPr>
              <w:spacing w:line="360" w:lineRule="auto"/>
              <w:rPr>
                <w:rFonts w:asciiTheme="minorEastAsia" w:hAnsiTheme="minorEastAsia" w:eastAsiaTheme="minorEastAsia"/>
                <w:color w:val="auto"/>
                <w:sz w:val="18"/>
                <w:szCs w:val="18"/>
              </w:rPr>
            </w:pPr>
            <w:r>
              <w:rPr>
                <w:rFonts w:asciiTheme="majorEastAsia" w:hAnsiTheme="majorEastAsia" w:eastAsiaTheme="majorEastAsia"/>
                <w:bCs/>
                <w:color w:val="auto"/>
                <w:sz w:val="18"/>
                <w:szCs w:val="18"/>
              </w:rPr>
              <w:t>4.申购/</w:t>
            </w:r>
            <w:r>
              <w:rPr>
                <w:rFonts w:hint="eastAsia" w:asciiTheme="majorEastAsia" w:hAnsiTheme="majorEastAsia" w:eastAsiaTheme="majorEastAsia"/>
                <w:bCs/>
                <w:color w:val="auto"/>
                <w:sz w:val="18"/>
                <w:szCs w:val="18"/>
              </w:rPr>
              <w:t>赎回申请时间如遇非工作日，则产品管理人做相应调整。</w:t>
            </w:r>
          </w:p>
          <w:p w14:paraId="0A027594">
            <w:pPr>
              <w:spacing w:line="360" w:lineRule="auto"/>
              <w:rPr>
                <w:rFonts w:ascii="黑体" w:hAnsi="黑体" w:eastAsia="黑体"/>
                <w:bCs/>
                <w:color w:val="auto"/>
                <w:sz w:val="18"/>
                <w:szCs w:val="18"/>
              </w:rPr>
            </w:pPr>
            <w:r>
              <w:rPr>
                <w:rFonts w:hint="eastAsia" w:ascii="黑体" w:hAnsi="黑体" w:eastAsia="黑体"/>
                <w:bCs/>
                <w:color w:val="auto"/>
                <w:sz w:val="18"/>
                <w:szCs w:val="18"/>
              </w:rPr>
              <w:t>注：关于代理销售机构的实际工作服务时段的提示</w:t>
            </w:r>
          </w:p>
          <w:p w14:paraId="6F075F70">
            <w:pPr>
              <w:spacing w:line="360" w:lineRule="auto"/>
              <w:rPr>
                <w:rFonts w:ascii="黑体" w:hAnsi="黑体" w:eastAsia="黑体"/>
                <w:bCs/>
                <w:color w:val="auto"/>
                <w:sz w:val="18"/>
                <w:szCs w:val="18"/>
              </w:rPr>
            </w:pPr>
            <w:r>
              <w:rPr>
                <w:rFonts w:hint="eastAsia" w:ascii="黑体" w:hAnsi="黑体" w:eastAsia="黑体"/>
                <w:bCs/>
                <w:color w:val="auto"/>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hAnsi="黑体" w:eastAsia="黑体"/>
                <w:bCs/>
                <w:color w:val="auto"/>
                <w:sz w:val="18"/>
                <w:szCs w:val="18"/>
              </w:rPr>
              <w:t>以</w:t>
            </w:r>
            <w:r>
              <w:rPr>
                <w:rFonts w:hint="eastAsia" w:ascii="黑体" w:hAnsi="黑体" w:eastAsia="黑体"/>
                <w:bCs/>
                <w:color w:val="auto"/>
                <w:sz w:val="18"/>
                <w:szCs w:val="18"/>
              </w:rPr>
              <w:t>代理销售机构的展示</w:t>
            </w:r>
            <w:r>
              <w:rPr>
                <w:rFonts w:ascii="黑体" w:hAnsi="黑体" w:eastAsia="黑体"/>
                <w:bCs/>
                <w:color w:val="auto"/>
                <w:sz w:val="18"/>
                <w:szCs w:val="18"/>
              </w:rPr>
              <w:t>为准</w:t>
            </w:r>
            <w:r>
              <w:rPr>
                <w:rFonts w:hint="eastAsia" w:ascii="黑体" w:hAnsi="黑体" w:eastAsia="黑体"/>
                <w:bCs/>
                <w:color w:val="auto"/>
                <w:sz w:val="18"/>
                <w:szCs w:val="18"/>
              </w:rPr>
              <w:t>。</w:t>
            </w:r>
          </w:p>
          <w:p w14:paraId="4E30F368">
            <w:pPr>
              <w:spacing w:line="360" w:lineRule="auto"/>
              <w:rPr>
                <w:rFonts w:ascii="黑体" w:hAnsi="黑体" w:eastAsia="黑体"/>
                <w:color w:val="auto"/>
                <w:sz w:val="18"/>
                <w:szCs w:val="18"/>
              </w:rPr>
            </w:pPr>
            <w:r>
              <w:rPr>
                <w:rFonts w:hint="eastAsia" w:ascii="黑体" w:hAnsi="黑体" w:eastAsia="黑体"/>
                <w:bCs/>
                <w:color w:val="auto"/>
                <w:sz w:val="18"/>
                <w:szCs w:val="18"/>
              </w:rPr>
              <w:t>②代理销售机构的实际工作服务时段，最早不得早于销售文件约定</w:t>
            </w:r>
            <w:r>
              <w:rPr>
                <w:rFonts w:ascii="黑体" w:hAnsi="黑体" w:eastAsia="黑体"/>
                <w:bCs/>
                <w:color w:val="auto"/>
                <w:sz w:val="18"/>
                <w:szCs w:val="18"/>
              </w:rPr>
              <w:t>的</w:t>
            </w:r>
            <w:r>
              <w:rPr>
                <w:rFonts w:hint="eastAsia" w:ascii="黑体" w:hAnsi="黑体" w:eastAsia="黑体"/>
                <w:bCs/>
                <w:color w:val="auto"/>
                <w:sz w:val="18"/>
                <w:szCs w:val="18"/>
              </w:rPr>
              <w:t>起始时点、最晚不得晚于销售文件</w:t>
            </w:r>
            <w:r>
              <w:rPr>
                <w:rFonts w:ascii="黑体" w:hAnsi="黑体" w:eastAsia="黑体"/>
                <w:bCs/>
                <w:color w:val="auto"/>
                <w:sz w:val="18"/>
                <w:szCs w:val="18"/>
              </w:rPr>
              <w:t>约定的</w:t>
            </w:r>
            <w:r>
              <w:rPr>
                <w:rFonts w:hint="eastAsia" w:ascii="黑体" w:hAnsi="黑体" w:eastAsia="黑体"/>
                <w:bCs/>
                <w:color w:val="auto"/>
                <w:sz w:val="18"/>
                <w:szCs w:val="18"/>
              </w:rPr>
              <w:t>终止时点</w:t>
            </w:r>
            <w:r>
              <w:rPr>
                <w:rFonts w:ascii="黑体" w:hAnsi="黑体" w:eastAsia="黑体"/>
                <w:bCs/>
                <w:color w:val="auto"/>
                <w:sz w:val="18"/>
                <w:szCs w:val="18"/>
              </w:rPr>
              <w:t>。</w:t>
            </w:r>
          </w:p>
        </w:tc>
      </w:tr>
      <w:tr w14:paraId="5C03CC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0D851E53">
            <w:pPr>
              <w:spacing w:line="360" w:lineRule="auto"/>
              <w:jc w:val="left"/>
              <w:rPr>
                <w:rFonts w:asciiTheme="majorEastAsia" w:hAnsiTheme="majorEastAsia" w:eastAsiaTheme="majorEastAsia"/>
                <w:b/>
                <w:color w:val="auto"/>
                <w:sz w:val="18"/>
                <w:szCs w:val="18"/>
              </w:rPr>
            </w:pPr>
            <w:r>
              <w:rPr>
                <w:rFonts w:hint="eastAsia" w:hAnsi="宋体"/>
                <w:color w:val="auto"/>
                <w:sz w:val="18"/>
                <w:szCs w:val="18"/>
              </w:rPr>
              <w:t>★</w:t>
            </w:r>
            <w:r>
              <w:rPr>
                <w:rFonts w:hint="eastAsia" w:ascii="宋体" w:hAnsi="宋体"/>
                <w:b/>
                <w:bCs/>
                <w:color w:val="auto"/>
                <w:kern w:val="0"/>
                <w:sz w:val="18"/>
                <w:szCs w:val="18"/>
              </w:rPr>
              <w:t>销售起点金额</w:t>
            </w:r>
            <w:r>
              <w:rPr>
                <w:rFonts w:hint="eastAsia" w:asciiTheme="majorEastAsia" w:hAnsiTheme="majorEastAsia" w:eastAsiaTheme="majorEastAsia"/>
                <w:b/>
                <w:bCs/>
                <w:color w:val="auto"/>
                <w:sz w:val="18"/>
                <w:szCs w:val="18"/>
              </w:rPr>
              <w:t>及</w:t>
            </w:r>
            <w:r>
              <w:rPr>
                <w:rFonts w:asciiTheme="majorEastAsia" w:hAnsiTheme="majorEastAsia" w:eastAsiaTheme="majorEastAsia"/>
                <w:b/>
                <w:bCs/>
                <w:color w:val="auto"/>
                <w:sz w:val="18"/>
                <w:szCs w:val="18"/>
              </w:rPr>
              <w:t>递增金额</w:t>
            </w:r>
          </w:p>
        </w:tc>
        <w:tc>
          <w:tcPr>
            <w:tcW w:w="7704" w:type="dxa"/>
            <w:shd w:val="solid" w:color="FFFFFF" w:fill="FFFFFF"/>
            <w:vAlign w:val="center"/>
          </w:tcPr>
          <w:p w14:paraId="4FB3BB8A">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color w:val="auto"/>
                <w:sz w:val="18"/>
                <w:szCs w:val="18"/>
              </w:rPr>
              <w:t>每笔</w:t>
            </w:r>
            <w:r>
              <w:rPr>
                <w:rFonts w:hint="eastAsia" w:asciiTheme="majorEastAsia" w:hAnsiTheme="majorEastAsia" w:eastAsiaTheme="majorEastAsia"/>
                <w:bCs/>
                <w:color w:val="auto"/>
                <w:sz w:val="18"/>
                <w:szCs w:val="18"/>
              </w:rPr>
              <w:t>购买起点金额为【</w:t>
            </w:r>
            <w:r>
              <w:rPr>
                <w:rFonts w:asciiTheme="majorEastAsia" w:hAnsiTheme="majorEastAsia" w:eastAsiaTheme="majorEastAsia"/>
                <w:bCs/>
                <w:color w:val="auto"/>
                <w:sz w:val="18"/>
                <w:szCs w:val="18"/>
              </w:rPr>
              <w:t>1.00】元；超出起点金额的部分以【0.01】元的整数</w:t>
            </w:r>
            <w:r>
              <w:rPr>
                <w:rFonts w:hint="eastAsia" w:asciiTheme="majorEastAsia" w:hAnsiTheme="majorEastAsia" w:eastAsiaTheme="majorEastAsia"/>
                <w:bCs/>
                <w:color w:val="auto"/>
                <w:sz w:val="18"/>
                <w:szCs w:val="18"/>
              </w:rPr>
              <w:t>倍递增。</w:t>
            </w:r>
            <w:r>
              <w:rPr>
                <w:rFonts w:hint="eastAsia" w:hAnsi="宋体"/>
                <w:bCs/>
                <w:color w:val="auto"/>
                <w:sz w:val="18"/>
                <w:szCs w:val="18"/>
              </w:rPr>
              <w:t>（适用【</w:t>
            </w:r>
            <w:r>
              <w:rPr>
                <w:rFonts w:hint="eastAsia" w:hAnsi="宋体"/>
                <w:bCs/>
                <w:color w:val="auto"/>
                <w:sz w:val="18"/>
                <w:szCs w:val="18"/>
                <w:lang w:eastAsia="zh-CN"/>
              </w:rPr>
              <w:t>F】</w:t>
            </w:r>
            <w:r>
              <w:rPr>
                <w:rFonts w:hint="eastAsia" w:hAnsi="宋体"/>
                <w:bCs/>
                <w:color w:val="auto"/>
                <w:sz w:val="18"/>
                <w:szCs w:val="18"/>
              </w:rPr>
              <w:t>类</w:t>
            </w:r>
            <w:r>
              <w:rPr>
                <w:rFonts w:hAnsi="宋体"/>
                <w:bCs/>
                <w:color w:val="auto"/>
                <w:sz w:val="18"/>
                <w:szCs w:val="18"/>
              </w:rPr>
              <w:t>份额</w:t>
            </w:r>
            <w:r>
              <w:rPr>
                <w:rFonts w:hint="eastAsia" w:asciiTheme="majorEastAsia" w:hAnsiTheme="majorEastAsia" w:eastAsiaTheme="majorEastAsia"/>
                <w:bCs/>
                <w:color w:val="auto"/>
                <w:sz w:val="18"/>
                <w:szCs w:val="18"/>
              </w:rPr>
              <w:t>）</w:t>
            </w:r>
          </w:p>
          <w:p w14:paraId="55FF1B24">
            <w:pPr>
              <w:spacing w:line="360" w:lineRule="auto"/>
              <w:jc w:val="left"/>
              <w:rPr>
                <w:rFonts w:ascii="黑体" w:hAnsi="黑体" w:eastAsia="黑体"/>
                <w:bCs/>
                <w:color w:val="auto"/>
                <w:sz w:val="18"/>
                <w:szCs w:val="18"/>
              </w:rPr>
            </w:pPr>
            <w:r>
              <w:rPr>
                <w:rFonts w:hint="eastAsia" w:ascii="黑体" w:hAnsi="黑体" w:eastAsia="黑体"/>
                <w:bCs/>
                <w:color w:val="auto"/>
                <w:sz w:val="18"/>
                <w:szCs w:val="18"/>
              </w:rPr>
              <w:t>注</w:t>
            </w:r>
            <w:r>
              <w:rPr>
                <w:rFonts w:ascii="黑体" w:hAnsi="黑体" w:eastAsia="黑体"/>
                <w:bCs/>
                <w:color w:val="auto"/>
                <w:sz w:val="18"/>
                <w:szCs w:val="18"/>
              </w:rPr>
              <w:t>：</w:t>
            </w:r>
            <w:r>
              <w:rPr>
                <w:rFonts w:hint="eastAsia" w:ascii="黑体" w:hAnsi="黑体" w:eastAsia="黑体"/>
                <w:bCs/>
                <w:color w:val="auto"/>
                <w:sz w:val="18"/>
                <w:szCs w:val="18"/>
              </w:rPr>
              <w:t>关于代理销售机构的实际销售</w:t>
            </w:r>
            <w:r>
              <w:rPr>
                <w:rFonts w:ascii="黑体" w:hAnsi="黑体" w:eastAsia="黑体"/>
                <w:bCs/>
                <w:color w:val="auto"/>
                <w:sz w:val="18"/>
                <w:szCs w:val="18"/>
              </w:rPr>
              <w:t>起点金额</w:t>
            </w:r>
            <w:r>
              <w:rPr>
                <w:rFonts w:hint="eastAsia" w:ascii="黑体" w:hAnsi="黑体" w:eastAsia="黑体"/>
                <w:bCs/>
                <w:color w:val="auto"/>
                <w:sz w:val="18"/>
                <w:szCs w:val="18"/>
              </w:rPr>
              <w:t>的提示</w:t>
            </w:r>
          </w:p>
          <w:p w14:paraId="440C1D35">
            <w:pPr>
              <w:spacing w:line="360" w:lineRule="auto"/>
              <w:jc w:val="left"/>
              <w:rPr>
                <w:rFonts w:ascii="黑体" w:hAnsi="黑体" w:eastAsia="黑体"/>
                <w:bCs/>
                <w:color w:val="auto"/>
                <w:sz w:val="18"/>
                <w:szCs w:val="18"/>
              </w:rPr>
            </w:pPr>
            <w:r>
              <w:rPr>
                <w:rFonts w:hint="eastAsia" w:ascii="黑体" w:hAnsi="黑体" w:eastAsia="黑体"/>
                <w:bCs/>
                <w:color w:val="auto"/>
                <w:sz w:val="18"/>
                <w:szCs w:val="18"/>
              </w:rPr>
              <w:t>①本产品在代理销售机构的实际销售起点金额，因代理销售机构的不同可能存在差异（可能高于销售文件约定的销售起点金额），应当</w:t>
            </w:r>
            <w:r>
              <w:rPr>
                <w:rFonts w:ascii="黑体" w:hAnsi="黑体" w:eastAsia="黑体"/>
                <w:bCs/>
                <w:color w:val="auto"/>
                <w:sz w:val="18"/>
                <w:szCs w:val="18"/>
              </w:rPr>
              <w:t>以</w:t>
            </w:r>
            <w:r>
              <w:rPr>
                <w:rFonts w:hint="eastAsia" w:ascii="黑体" w:hAnsi="黑体" w:eastAsia="黑体"/>
                <w:bCs/>
                <w:color w:val="auto"/>
                <w:sz w:val="18"/>
                <w:szCs w:val="18"/>
              </w:rPr>
              <w:t>代理销售机构展示</w:t>
            </w:r>
            <w:r>
              <w:rPr>
                <w:rFonts w:ascii="黑体" w:hAnsi="黑体" w:eastAsia="黑体"/>
                <w:bCs/>
                <w:color w:val="auto"/>
                <w:sz w:val="18"/>
                <w:szCs w:val="18"/>
              </w:rPr>
              <w:t>为准</w:t>
            </w:r>
            <w:r>
              <w:rPr>
                <w:rFonts w:hint="eastAsia" w:ascii="黑体" w:hAnsi="黑体" w:eastAsia="黑体"/>
                <w:bCs/>
                <w:color w:val="auto"/>
                <w:sz w:val="18"/>
                <w:szCs w:val="18"/>
              </w:rPr>
              <w:t>。</w:t>
            </w:r>
          </w:p>
          <w:p w14:paraId="1363D780">
            <w:pPr>
              <w:spacing w:line="360" w:lineRule="auto"/>
              <w:jc w:val="left"/>
              <w:rPr>
                <w:rFonts w:ascii="黑体" w:hAnsi="黑体" w:eastAsia="黑体"/>
                <w:bCs/>
                <w:color w:val="auto"/>
                <w:sz w:val="18"/>
                <w:szCs w:val="18"/>
              </w:rPr>
            </w:pPr>
            <w:r>
              <w:rPr>
                <w:rFonts w:hint="eastAsia" w:ascii="黑体" w:hAnsi="黑体" w:eastAsia="黑体"/>
                <w:bCs/>
                <w:color w:val="auto"/>
                <w:sz w:val="18"/>
                <w:szCs w:val="18"/>
              </w:rPr>
              <w:t>②代理销售机构的实际销售起点金额，</w:t>
            </w:r>
            <w:r>
              <w:rPr>
                <w:rFonts w:ascii="黑体" w:hAnsi="黑体" w:eastAsia="黑体"/>
                <w:bCs/>
                <w:color w:val="auto"/>
                <w:sz w:val="18"/>
                <w:szCs w:val="18"/>
              </w:rPr>
              <w:t>不得低于</w:t>
            </w:r>
            <w:r>
              <w:rPr>
                <w:rFonts w:hint="eastAsia" w:ascii="黑体" w:hAnsi="黑体" w:eastAsia="黑体"/>
                <w:bCs/>
                <w:color w:val="auto"/>
                <w:sz w:val="18"/>
                <w:szCs w:val="18"/>
              </w:rPr>
              <w:t>销售</w:t>
            </w:r>
            <w:r>
              <w:rPr>
                <w:rFonts w:ascii="黑体" w:hAnsi="黑体" w:eastAsia="黑体"/>
                <w:bCs/>
                <w:color w:val="auto"/>
                <w:sz w:val="18"/>
                <w:szCs w:val="18"/>
              </w:rPr>
              <w:t>文件约定的</w:t>
            </w:r>
            <w:r>
              <w:rPr>
                <w:rFonts w:hint="eastAsia" w:ascii="黑体" w:hAnsi="黑体" w:eastAsia="黑体"/>
                <w:bCs/>
                <w:color w:val="auto"/>
                <w:sz w:val="18"/>
                <w:szCs w:val="18"/>
              </w:rPr>
              <w:t>销售</w:t>
            </w:r>
            <w:r>
              <w:rPr>
                <w:rFonts w:ascii="黑体" w:hAnsi="黑体" w:eastAsia="黑体"/>
                <w:bCs/>
                <w:color w:val="auto"/>
                <w:sz w:val="18"/>
                <w:szCs w:val="18"/>
              </w:rPr>
              <w:t>起点金额</w:t>
            </w:r>
            <w:r>
              <w:rPr>
                <w:rFonts w:hint="eastAsia" w:ascii="黑体" w:hAnsi="黑体" w:eastAsia="黑体"/>
                <w:bCs/>
                <w:color w:val="auto"/>
                <w:sz w:val="18"/>
                <w:szCs w:val="18"/>
              </w:rPr>
              <w:t>。</w:t>
            </w:r>
          </w:p>
        </w:tc>
      </w:tr>
      <w:tr w14:paraId="0862A6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6B72722B">
            <w:pPr>
              <w:autoSpaceDE w:val="0"/>
              <w:autoSpaceDN w:val="0"/>
              <w:adjustRightInd w:val="0"/>
              <w:spacing w:line="360" w:lineRule="auto"/>
              <w:jc w:val="left"/>
              <w:rPr>
                <w:rFonts w:hAnsi="宋体"/>
                <w:b/>
                <w:color w:val="auto"/>
                <w:sz w:val="18"/>
                <w:szCs w:val="18"/>
              </w:rPr>
            </w:pPr>
            <w:r>
              <w:rPr>
                <w:rFonts w:hint="eastAsia" w:hAnsi="宋体"/>
                <w:b/>
                <w:color w:val="auto"/>
                <w:sz w:val="18"/>
                <w:szCs w:val="18"/>
              </w:rPr>
              <w:t>★认购、申购与赎回的数量限制</w:t>
            </w:r>
          </w:p>
        </w:tc>
        <w:tc>
          <w:tcPr>
            <w:tcW w:w="7704" w:type="dxa"/>
            <w:shd w:val="solid" w:color="FFFFFF" w:fill="FFFFFF"/>
            <w:vAlign w:val="center"/>
          </w:tcPr>
          <w:p w14:paraId="73931EAA">
            <w:pPr>
              <w:pStyle w:val="34"/>
              <w:spacing w:line="360" w:lineRule="auto"/>
              <w:rPr>
                <w:rFonts w:asciiTheme="minorEastAsia" w:hAnsiTheme="minorEastAsia" w:eastAsiaTheme="minorEastAsia"/>
                <w:color w:val="auto"/>
                <w:sz w:val="18"/>
                <w:szCs w:val="18"/>
              </w:rPr>
            </w:pPr>
            <w:r>
              <w:rPr>
                <w:rFonts w:hint="eastAsia" w:hAnsi="宋体"/>
                <w:bCs/>
                <w:color w:val="auto"/>
                <w:sz w:val="18"/>
                <w:szCs w:val="18"/>
              </w:rPr>
              <w:t>（适用【</w:t>
            </w:r>
            <w:r>
              <w:rPr>
                <w:rFonts w:hint="eastAsia" w:hAnsi="宋体"/>
                <w:bCs/>
                <w:color w:val="auto"/>
                <w:sz w:val="18"/>
                <w:szCs w:val="18"/>
                <w:lang w:eastAsia="zh-CN"/>
              </w:rPr>
              <w:t>F】</w:t>
            </w:r>
            <w:r>
              <w:rPr>
                <w:rFonts w:hint="eastAsia" w:hAnsi="宋体"/>
                <w:bCs/>
                <w:color w:val="auto"/>
                <w:sz w:val="18"/>
                <w:szCs w:val="18"/>
              </w:rPr>
              <w:t>类</w:t>
            </w:r>
            <w:r>
              <w:rPr>
                <w:rFonts w:hAnsi="宋体"/>
                <w:bCs/>
                <w:color w:val="auto"/>
                <w:sz w:val="18"/>
                <w:szCs w:val="18"/>
              </w:rPr>
              <w:t>份额</w:t>
            </w:r>
            <w:r>
              <w:rPr>
                <w:rFonts w:hint="eastAsia" w:hAnsi="宋体"/>
                <w:bCs/>
                <w:color w:val="auto"/>
                <w:sz w:val="18"/>
                <w:szCs w:val="18"/>
              </w:rPr>
              <w:t>）</w:t>
            </w:r>
          </w:p>
          <w:p w14:paraId="3FDCC711">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14:paraId="04EA9009">
            <w:pPr>
              <w:pStyle w:val="34"/>
              <w:spacing w:line="360" w:lineRule="auto"/>
              <w:rPr>
                <w:rFonts w:hAnsi="宋体"/>
                <w:bCs/>
                <w:color w:val="auto"/>
                <w:sz w:val="18"/>
                <w:szCs w:val="18"/>
              </w:rPr>
            </w:pPr>
            <w:r>
              <w:rPr>
                <w:rFonts w:hint="eastAsia" w:asciiTheme="minorEastAsia" w:hAnsiTheme="minorEastAsia" w:eastAsiaTheme="minorEastAsia"/>
                <w:color w:val="auto"/>
                <w:sz w:val="18"/>
                <w:szCs w:val="18"/>
              </w:rPr>
              <w:t>单一投资者认购上限为【</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】元。如需突破上限，请与产品管理人或销售机构客户经理联系。</w:t>
            </w:r>
          </w:p>
          <w:p w14:paraId="259D5373">
            <w:pPr>
              <w:pStyle w:val="34"/>
              <w:spacing w:line="360" w:lineRule="auto"/>
              <w:rPr>
                <w:rFonts w:asciiTheme="minorEastAsia" w:hAnsiTheme="minorEastAsia" w:eastAsiaTheme="minorEastAsia"/>
                <w:color w:val="auto"/>
                <w:sz w:val="18"/>
                <w:szCs w:val="18"/>
              </w:rPr>
            </w:pPr>
            <w:r>
              <w:rPr>
                <w:rFonts w:hint="eastAsia" w:hAnsi="宋体"/>
                <w:bCs/>
                <w:color w:val="auto"/>
                <w:sz w:val="18"/>
                <w:szCs w:val="18"/>
              </w:rPr>
              <w:t>2.</w:t>
            </w:r>
            <w:r>
              <w:rPr>
                <w:rFonts w:hint="eastAsia" w:asciiTheme="minorEastAsia" w:hAnsiTheme="minorEastAsia" w:eastAsiaTheme="minorEastAsia"/>
                <w:color w:val="auto"/>
                <w:sz w:val="18"/>
                <w:szCs w:val="18"/>
              </w:rPr>
              <w:t>申购的数量限制</w:t>
            </w:r>
          </w:p>
          <w:p w14:paraId="12457BC9">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】元。</w:t>
            </w:r>
          </w:p>
          <w:p w14:paraId="3A2444C3">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14:paraId="124713D6">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14:paraId="1135DDD8">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14:paraId="3D870B86">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w:t>
            </w:r>
          </w:p>
          <w:p w14:paraId="6BB7F97E">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w:t>
            </w:r>
            <w:r>
              <w:rPr>
                <w:rFonts w:hint="eastAsia" w:asciiTheme="minorEastAsia" w:hAnsiTheme="minorEastAsia" w:eastAsiaTheme="minorEastAsia"/>
                <w:color w:val="auto"/>
                <w:sz w:val="18"/>
                <w:szCs w:val="18"/>
                <w:lang w:val="en-US" w:eastAsia="zh-CN"/>
              </w:rPr>
              <w:t>0.01</w:t>
            </w:r>
            <w:r>
              <w:rPr>
                <w:rFonts w:hint="eastAsia" w:asciiTheme="minorEastAsia" w:hAnsiTheme="minorEastAsia" w:eastAsiaTheme="minorEastAsia"/>
                <w:color w:val="auto"/>
                <w:sz w:val="18"/>
                <w:szCs w:val="18"/>
              </w:rPr>
              <w:t>】份。受理财利益分配去尾规则的影响，投资者持有产品份额较低时可能无法取得利益。巨额赎回情景发生时，投资者的可赎回份额需要根据巨额赎回规则确定。</w:t>
            </w:r>
          </w:p>
          <w:p w14:paraId="5F3459E3">
            <w:pPr>
              <w:pStyle w:val="34"/>
              <w:spacing w:line="360" w:lineRule="auto"/>
              <w:rPr>
                <w:rFonts w:ascii="黑体" w:hAnsi="黑体" w:eastAsia="黑体"/>
                <w:bCs/>
                <w:color w:val="auto"/>
                <w:sz w:val="18"/>
                <w:szCs w:val="18"/>
              </w:rPr>
            </w:pPr>
            <w:r>
              <w:rPr>
                <w:rFonts w:hint="eastAsia" w:ascii="黑体" w:hAnsi="黑体" w:eastAsia="黑体"/>
                <w:bCs/>
                <w:color w:val="auto"/>
                <w:sz w:val="18"/>
                <w:szCs w:val="18"/>
              </w:rPr>
              <w:t>注</w:t>
            </w:r>
            <w:r>
              <w:rPr>
                <w:rFonts w:ascii="黑体" w:hAnsi="黑体" w:eastAsia="黑体"/>
                <w:bCs/>
                <w:color w:val="auto"/>
                <w:sz w:val="18"/>
                <w:szCs w:val="18"/>
              </w:rPr>
              <w:t>：</w:t>
            </w:r>
            <w:r>
              <w:rPr>
                <w:rFonts w:hint="eastAsia" w:ascii="黑体" w:hAnsi="黑体" w:eastAsia="黑体"/>
                <w:bCs/>
                <w:color w:val="auto"/>
                <w:sz w:val="18"/>
                <w:szCs w:val="18"/>
              </w:rPr>
              <w:t>本产品单一投资者持有份额不得超过产品总份额</w:t>
            </w:r>
            <w:r>
              <w:rPr>
                <w:rFonts w:ascii="黑体" w:hAnsi="黑体" w:eastAsia="黑体"/>
                <w:bCs/>
                <w:color w:val="auto"/>
                <w:sz w:val="18"/>
                <w:szCs w:val="18"/>
              </w:rPr>
              <w:t>50%。</w:t>
            </w:r>
          </w:p>
          <w:p w14:paraId="3BA48DD8">
            <w:pPr>
              <w:pStyle w:val="34"/>
              <w:spacing w:line="360" w:lineRule="auto"/>
              <w:rPr>
                <w:rFonts w:ascii="黑体" w:hAnsi="黑体" w:eastAsia="黑体"/>
                <w:bCs/>
                <w:color w:val="auto"/>
                <w:sz w:val="18"/>
                <w:szCs w:val="18"/>
              </w:rPr>
            </w:pPr>
            <w:r>
              <w:rPr>
                <w:rFonts w:hint="eastAsia" w:ascii="黑体" w:hAnsi="黑体" w:eastAsia="黑体"/>
                <w:bCs/>
                <w:color w:val="auto"/>
                <w:sz w:val="18"/>
                <w:szCs w:val="18"/>
              </w:rPr>
              <w:t>（</w:t>
            </w:r>
            <w:r>
              <w:rPr>
                <w:rFonts w:ascii="黑体" w:hAnsi="黑体" w:eastAsia="黑体"/>
                <w:bCs/>
                <w:color w:val="auto"/>
                <w:sz w:val="18"/>
                <w:szCs w:val="18"/>
              </w:rPr>
              <w:t>1）投资者认购或申购确认后可能导致其持有份额超过产品总份额50%的，管理人有权拒绝或暂停认购、申购。</w:t>
            </w:r>
          </w:p>
          <w:p w14:paraId="5E52E2F9">
            <w:pPr>
              <w:pStyle w:val="34"/>
              <w:spacing w:line="360" w:lineRule="auto"/>
              <w:rPr>
                <w:rFonts w:ascii="黑体" w:hAnsi="黑体" w:eastAsia="黑体"/>
                <w:bCs/>
                <w:color w:val="auto"/>
                <w:sz w:val="18"/>
                <w:szCs w:val="18"/>
              </w:rPr>
            </w:pPr>
            <w:r>
              <w:rPr>
                <w:rFonts w:hint="eastAsia" w:ascii="黑体" w:hAnsi="黑体" w:eastAsia="黑体"/>
                <w:bCs/>
                <w:color w:val="auto"/>
                <w:sz w:val="18"/>
                <w:szCs w:val="18"/>
              </w:rPr>
              <w:t>（</w:t>
            </w:r>
            <w:r>
              <w:rPr>
                <w:rFonts w:ascii="黑体" w:hAnsi="黑体" w:eastAsia="黑体"/>
                <w:bCs/>
                <w:color w:val="auto"/>
                <w:sz w:val="18"/>
                <w:szCs w:val="18"/>
              </w:rPr>
              <w:t>2）非因管理人主观因素导致突破该比例限制的，在单一投资者持有比例降至50%以下之前，管理人不再接受该投资者对本产品的认购、申购申请。</w:t>
            </w:r>
          </w:p>
        </w:tc>
      </w:tr>
      <w:tr w14:paraId="30D964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14:paraId="665BBF60">
            <w:pPr>
              <w:spacing w:line="360" w:lineRule="auto"/>
              <w:jc w:val="left"/>
              <w:rPr>
                <w:rFonts w:hAnsi="宋体"/>
                <w:b/>
                <w:color w:val="auto"/>
                <w:sz w:val="18"/>
                <w:szCs w:val="18"/>
              </w:rPr>
            </w:pPr>
            <w:r>
              <w:rPr>
                <w:rFonts w:hint="eastAsia"/>
                <w:color w:val="auto"/>
                <w:sz w:val="18"/>
                <w:szCs w:val="18"/>
              </w:rPr>
              <w:t>★</w:t>
            </w:r>
            <w:r>
              <w:rPr>
                <w:rFonts w:hint="eastAsia" w:hAnsi="宋体"/>
                <w:b/>
                <w:color w:val="auto"/>
                <w:sz w:val="18"/>
                <w:szCs w:val="18"/>
              </w:rPr>
              <w:t>巨额赎回的认定</w:t>
            </w:r>
          </w:p>
        </w:tc>
        <w:tc>
          <w:tcPr>
            <w:tcW w:w="7704" w:type="dxa"/>
            <w:shd w:val="solid" w:color="FFFFFF" w:fill="FFFFFF"/>
          </w:tcPr>
          <w:p w14:paraId="70CA6044">
            <w:pPr>
              <w:pStyle w:val="34"/>
              <w:spacing w:line="360" w:lineRule="auto"/>
              <w:rPr>
                <w:rFonts w:asciiTheme="majorEastAsia" w:hAnsiTheme="majorEastAsia" w:eastAsiaTheme="majorEastAsia"/>
                <w:bCs/>
                <w:color w:val="auto"/>
                <w:sz w:val="18"/>
                <w:szCs w:val="18"/>
              </w:rPr>
            </w:pPr>
            <w:r>
              <w:rPr>
                <w:rFonts w:hint="eastAsia" w:asciiTheme="minorEastAsia" w:hAnsiTheme="minorEastAsia"/>
                <w:bCs/>
                <w:color w:val="auto"/>
                <w:sz w:val="18"/>
                <w:szCs w:val="18"/>
              </w:rPr>
              <w:t>单个开放日中</w:t>
            </w:r>
            <w:r>
              <w:rPr>
                <w:rFonts w:hint="eastAsia" w:asciiTheme="majorEastAsia" w:hAnsiTheme="majorEastAsia" w:eastAsiaTheme="majorEastAsia"/>
                <w:bCs/>
                <w:color w:val="auto"/>
                <w:sz w:val="18"/>
                <w:szCs w:val="18"/>
              </w:rPr>
              <w:t>，本产品的累计产品份额净赎回申请（赎回申请总份额扣除申购总份额后的余额</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下同）之和达到上一日产品总份额的1</w:t>
            </w:r>
            <w:r>
              <w:rPr>
                <w:rFonts w:asciiTheme="majorEastAsia" w:hAnsiTheme="majorEastAsia" w:eastAsiaTheme="majorEastAsia"/>
                <w:bCs/>
                <w:color w:val="auto"/>
                <w:sz w:val="18"/>
                <w:szCs w:val="18"/>
              </w:rPr>
              <w:t>0%</w:t>
            </w:r>
            <w:r>
              <w:rPr>
                <w:rFonts w:hint="eastAsia" w:asciiTheme="majorEastAsia" w:hAnsiTheme="majorEastAsia" w:eastAsiaTheme="majorEastAsia"/>
                <w:bCs/>
                <w:color w:val="auto"/>
                <w:sz w:val="18"/>
                <w:szCs w:val="18"/>
              </w:rPr>
              <w:t>，为巨额赎回。</w:t>
            </w:r>
          </w:p>
        </w:tc>
      </w:tr>
      <w:tr w14:paraId="63031E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0964239">
            <w:pPr>
              <w:spacing w:line="360" w:lineRule="auto"/>
              <w:jc w:val="left"/>
              <w:rPr>
                <w:rFonts w:hAnsi="宋体"/>
                <w:color w:val="auto"/>
                <w:sz w:val="18"/>
                <w:szCs w:val="18"/>
              </w:rPr>
            </w:pPr>
            <w:r>
              <w:rPr>
                <w:rFonts w:hint="eastAsia" w:asciiTheme="majorEastAsia" w:hAnsiTheme="majorEastAsia" w:eastAsiaTheme="majorEastAsia"/>
                <w:b/>
                <w:bCs/>
                <w:color w:val="auto"/>
                <w:sz w:val="18"/>
                <w:szCs w:val="18"/>
              </w:rPr>
              <w:t>理财产品</w:t>
            </w:r>
            <w:r>
              <w:rPr>
                <w:rFonts w:asciiTheme="majorEastAsia" w:hAnsiTheme="majorEastAsia" w:eastAsiaTheme="majorEastAsia"/>
                <w:b/>
                <w:bCs/>
                <w:color w:val="auto"/>
                <w:sz w:val="18"/>
                <w:szCs w:val="18"/>
              </w:rPr>
              <w:t>份额发售面值</w:t>
            </w:r>
          </w:p>
        </w:tc>
        <w:tc>
          <w:tcPr>
            <w:tcW w:w="7704" w:type="dxa"/>
            <w:shd w:val="solid" w:color="FFFFFF" w:fill="FFFFFF"/>
            <w:vAlign w:val="center"/>
          </w:tcPr>
          <w:p w14:paraId="587287AA">
            <w:pPr>
              <w:spacing w:line="360" w:lineRule="auto"/>
              <w:rPr>
                <w:rFonts w:asciiTheme="majorEastAsia" w:hAnsiTheme="majorEastAsia" w:eastAsiaTheme="majorEastAsia"/>
                <w:color w:val="auto"/>
                <w:sz w:val="18"/>
                <w:szCs w:val="18"/>
              </w:rPr>
            </w:pPr>
            <w:r>
              <w:rPr>
                <w:rFonts w:cs="仿宋_GB2312" w:asciiTheme="majorEastAsia" w:hAnsiTheme="majorEastAsia" w:eastAsiaTheme="majorEastAsia"/>
                <w:color w:val="auto"/>
                <w:kern w:val="0"/>
                <w:sz w:val="18"/>
                <w:szCs w:val="18"/>
              </w:rPr>
              <w:t>1.00</w:t>
            </w:r>
            <w:r>
              <w:rPr>
                <w:rFonts w:hint="eastAsia" w:cs="仿宋_GB2312" w:asciiTheme="majorEastAsia" w:hAnsiTheme="majorEastAsia" w:eastAsiaTheme="majorEastAsia"/>
                <w:color w:val="auto"/>
                <w:kern w:val="0"/>
                <w:sz w:val="18"/>
                <w:szCs w:val="18"/>
              </w:rPr>
              <w:t>元</w:t>
            </w:r>
          </w:p>
        </w:tc>
      </w:tr>
      <w:tr w14:paraId="752F1D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3F53F3E3">
            <w:pPr>
              <w:spacing w:line="360" w:lineRule="auto"/>
              <w:jc w:val="left"/>
              <w:rPr>
                <w:rFonts w:asciiTheme="majorEastAsia" w:hAnsiTheme="majorEastAsia" w:eastAsiaTheme="majorEastAsia"/>
                <w:b/>
                <w:color w:val="auto"/>
                <w:sz w:val="18"/>
                <w:szCs w:val="18"/>
              </w:rPr>
            </w:pPr>
            <w:r>
              <w:rPr>
                <w:rFonts w:hint="eastAsia" w:ascii="宋体" w:hAnsi="宋体"/>
                <w:b/>
                <w:bCs/>
                <w:color w:val="auto"/>
                <w:kern w:val="0"/>
                <w:sz w:val="18"/>
                <w:szCs w:val="18"/>
              </w:rPr>
              <w:t>理财产品份额净值</w:t>
            </w:r>
          </w:p>
        </w:tc>
        <w:tc>
          <w:tcPr>
            <w:tcW w:w="7704" w:type="dxa"/>
            <w:shd w:val="solid" w:color="FFFFFF" w:fill="FFFFFF"/>
            <w:vAlign w:val="center"/>
          </w:tcPr>
          <w:p w14:paraId="79DDDC54">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w:t>
            </w:r>
            <w:r>
              <w:rPr>
                <w:rFonts w:asciiTheme="majorEastAsia" w:hAnsiTheme="majorEastAsia" w:eastAsiaTheme="majorEastAsia"/>
                <w:color w:val="auto"/>
                <w:sz w:val="18"/>
                <w:szCs w:val="18"/>
              </w:rPr>
              <w:t>.</w:t>
            </w:r>
            <w:r>
              <w:rPr>
                <w:rFonts w:asciiTheme="majorEastAsia" w:hAnsiTheme="majorEastAsia" w:eastAsiaTheme="majorEastAsia"/>
                <w:bCs/>
                <w:color w:val="auto"/>
                <w:sz w:val="18"/>
                <w:szCs w:val="18"/>
              </w:rPr>
              <w:t>若产品投资资产运作出现损失的，产品份额净值下降，投资</w:t>
            </w:r>
            <w:r>
              <w:rPr>
                <w:rFonts w:hint="eastAsia" w:asciiTheme="majorEastAsia" w:hAnsiTheme="majorEastAsia" w:eastAsiaTheme="majorEastAsia"/>
                <w:bCs/>
                <w:color w:val="auto"/>
                <w:sz w:val="18"/>
                <w:szCs w:val="18"/>
              </w:rPr>
              <w:t>者</w:t>
            </w:r>
            <w:r>
              <w:rPr>
                <w:rFonts w:asciiTheme="majorEastAsia" w:hAnsiTheme="majorEastAsia" w:eastAsiaTheme="majorEastAsia"/>
                <w:bCs/>
                <w:color w:val="auto"/>
                <w:sz w:val="18"/>
                <w:szCs w:val="18"/>
              </w:rPr>
              <w:t>分配所得可能小于投资</w:t>
            </w:r>
            <w:r>
              <w:rPr>
                <w:rFonts w:hint="eastAsia" w:asciiTheme="majorEastAsia" w:hAnsiTheme="majorEastAsia" w:eastAsiaTheme="majorEastAsia"/>
                <w:bCs/>
                <w:color w:val="auto"/>
                <w:sz w:val="18"/>
                <w:szCs w:val="18"/>
              </w:rPr>
              <w:t>者</w:t>
            </w:r>
            <w:r>
              <w:rPr>
                <w:rFonts w:asciiTheme="majorEastAsia" w:hAnsiTheme="majorEastAsia" w:eastAsiaTheme="majorEastAsia"/>
                <w:bCs/>
                <w:color w:val="auto"/>
                <w:sz w:val="18"/>
                <w:szCs w:val="18"/>
              </w:rPr>
              <w:t>初始投资资金。投资</w:t>
            </w:r>
            <w:r>
              <w:rPr>
                <w:rFonts w:hint="eastAsia" w:asciiTheme="majorEastAsia" w:hAnsiTheme="majorEastAsia" w:eastAsiaTheme="majorEastAsia"/>
                <w:bCs/>
                <w:color w:val="auto"/>
                <w:sz w:val="18"/>
                <w:szCs w:val="18"/>
              </w:rPr>
              <w:t>者</w:t>
            </w:r>
            <w:r>
              <w:rPr>
                <w:rFonts w:asciiTheme="majorEastAsia" w:hAnsiTheme="majorEastAsia" w:eastAsiaTheme="majorEastAsia"/>
                <w:bCs/>
                <w:color w:val="auto"/>
                <w:sz w:val="18"/>
                <w:szCs w:val="18"/>
              </w:rPr>
              <w:t>分配所得以实际到账金额为准。</w:t>
            </w:r>
          </w:p>
          <w:p w14:paraId="72B67D2D">
            <w:pPr>
              <w:spacing w:line="360" w:lineRule="auto"/>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2．产品实际</w:t>
            </w:r>
            <w:r>
              <w:rPr>
                <w:rFonts w:hint="eastAsia" w:asciiTheme="majorEastAsia" w:hAnsiTheme="majorEastAsia" w:eastAsiaTheme="majorEastAsia"/>
                <w:bCs/>
                <w:color w:val="auto"/>
                <w:sz w:val="18"/>
                <w:szCs w:val="18"/>
              </w:rPr>
              <w:t>终止</w:t>
            </w:r>
            <w:r>
              <w:rPr>
                <w:rFonts w:asciiTheme="majorEastAsia" w:hAnsiTheme="majorEastAsia" w:eastAsiaTheme="majorEastAsia"/>
                <w:bCs/>
                <w:color w:val="auto"/>
                <w:sz w:val="18"/>
                <w:szCs w:val="18"/>
              </w:rPr>
              <w:t>日之前的估值日公布的产品份额净值已扣除</w:t>
            </w:r>
            <w:r>
              <w:rPr>
                <w:rFonts w:hint="eastAsia" w:asciiTheme="majorEastAsia" w:hAnsiTheme="majorEastAsia" w:eastAsiaTheme="majorEastAsia"/>
                <w:bCs/>
                <w:color w:val="auto"/>
                <w:sz w:val="18"/>
                <w:szCs w:val="18"/>
              </w:rPr>
              <w:t>理财产品</w:t>
            </w:r>
            <w:r>
              <w:rPr>
                <w:rFonts w:asciiTheme="majorEastAsia" w:hAnsiTheme="majorEastAsia" w:eastAsiaTheme="majorEastAsia"/>
                <w:bCs/>
                <w:color w:val="auto"/>
                <w:sz w:val="18"/>
                <w:szCs w:val="18"/>
              </w:rPr>
              <w:t>的费用和税收。</w:t>
            </w:r>
          </w:p>
          <w:p w14:paraId="4CA2072D">
            <w:pPr>
              <w:spacing w:line="360" w:lineRule="auto"/>
              <w:jc w:val="left"/>
              <w:rPr>
                <w:rFonts w:cs="Times New Roman" w:asciiTheme="minorEastAsia" w:hAnsiTheme="minorEastAsia"/>
                <w:color w:val="auto"/>
                <w:sz w:val="18"/>
                <w:szCs w:val="18"/>
              </w:rPr>
            </w:pPr>
            <w:r>
              <w:rPr>
                <w:rFonts w:asciiTheme="majorEastAsia" w:hAnsiTheme="majorEastAsia" w:eastAsiaTheme="majorEastAsia"/>
                <w:bCs/>
                <w:color w:val="auto"/>
                <w:sz w:val="18"/>
                <w:szCs w:val="18"/>
              </w:rPr>
              <w:t>3．产品管理人依约定公布产品份额净值</w:t>
            </w:r>
            <w:r>
              <w:rPr>
                <w:rFonts w:hint="eastAsia" w:asciiTheme="majorEastAsia" w:hAnsiTheme="majorEastAsia" w:eastAsiaTheme="majorEastAsia"/>
                <w:bCs/>
                <w:color w:val="auto"/>
                <w:sz w:val="18"/>
                <w:szCs w:val="18"/>
              </w:rPr>
              <w:t>，产品管理人</w:t>
            </w:r>
            <w:r>
              <w:rPr>
                <w:rFonts w:asciiTheme="majorEastAsia" w:hAnsiTheme="majorEastAsia" w:eastAsiaTheme="majorEastAsia"/>
                <w:bCs/>
                <w:color w:val="auto"/>
                <w:sz w:val="18"/>
                <w:szCs w:val="18"/>
              </w:rPr>
              <w:t>以</w:t>
            </w:r>
            <w:r>
              <w:rPr>
                <w:rFonts w:hint="eastAsia" w:asciiTheme="majorEastAsia" w:hAnsiTheme="majorEastAsia" w:eastAsiaTheme="majorEastAsia"/>
                <w:bCs/>
                <w:color w:val="auto"/>
                <w:sz w:val="18"/>
                <w:szCs w:val="18"/>
              </w:rPr>
              <w:t>赎回日</w:t>
            </w:r>
            <w:r>
              <w:rPr>
                <w:rFonts w:asciiTheme="majorEastAsia" w:hAnsiTheme="majorEastAsia" w:eastAsiaTheme="majorEastAsia"/>
                <w:bCs/>
                <w:color w:val="auto"/>
                <w:sz w:val="18"/>
                <w:szCs w:val="18"/>
              </w:rPr>
              <w:t>产品份额净值为基础进行利益分配。</w:t>
            </w:r>
          </w:p>
        </w:tc>
      </w:tr>
      <w:tr w14:paraId="4F9FB1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52488098">
            <w:pPr>
              <w:spacing w:line="360" w:lineRule="auto"/>
              <w:jc w:val="left"/>
              <w:rPr>
                <w:rFonts w:asciiTheme="majorEastAsia" w:hAnsiTheme="majorEastAsia" w:eastAsiaTheme="majorEastAsia"/>
                <w:b/>
                <w:color w:val="auto"/>
                <w:sz w:val="18"/>
                <w:szCs w:val="18"/>
              </w:rPr>
            </w:pPr>
            <w:r>
              <w:rPr>
                <w:rFonts w:hint="eastAsia"/>
                <w:color w:val="auto"/>
                <w:sz w:val="18"/>
                <w:szCs w:val="18"/>
              </w:rPr>
              <w:t>★</w:t>
            </w:r>
            <w:r>
              <w:rPr>
                <w:rFonts w:hint="eastAsia" w:asciiTheme="majorEastAsia" w:hAnsiTheme="majorEastAsia" w:eastAsiaTheme="majorEastAsia"/>
                <w:b/>
                <w:bCs/>
                <w:color w:val="auto"/>
                <w:sz w:val="18"/>
                <w:szCs w:val="18"/>
              </w:rPr>
              <w:t>业绩比较基准</w:t>
            </w:r>
          </w:p>
        </w:tc>
        <w:tc>
          <w:tcPr>
            <w:tcW w:w="7704" w:type="dxa"/>
            <w:shd w:val="solid" w:color="FFFFFF" w:fill="FFFFFF"/>
            <w:vAlign w:val="center"/>
          </w:tcPr>
          <w:p w14:paraId="1898DAFD">
            <w:pPr>
              <w:spacing w:line="360" w:lineRule="auto"/>
              <w:jc w:val="left"/>
              <w:rPr>
                <w:rFonts w:hAnsi="宋体"/>
                <w:bCs/>
                <w:color w:val="auto"/>
                <w:sz w:val="18"/>
                <w:szCs w:val="18"/>
              </w:rPr>
            </w:pPr>
            <w:r>
              <w:rPr>
                <w:rFonts w:hint="eastAsia" w:hAnsi="宋体"/>
                <w:bCs/>
                <w:color w:val="auto"/>
                <w:sz w:val="18"/>
                <w:szCs w:val="18"/>
              </w:rPr>
              <w:t>（适用</w:t>
            </w:r>
            <w:r>
              <w:rPr>
                <w:rFonts w:hint="eastAsia" w:hAnsi="宋体"/>
                <w:bCs/>
                <w:color w:val="auto"/>
                <w:sz w:val="18"/>
                <w:szCs w:val="18"/>
                <w:lang w:eastAsia="zh-CN"/>
              </w:rPr>
              <w:t>【F】类</w:t>
            </w:r>
            <w:r>
              <w:rPr>
                <w:rFonts w:hAnsi="宋体"/>
                <w:bCs/>
                <w:color w:val="auto"/>
                <w:sz w:val="18"/>
                <w:szCs w:val="18"/>
              </w:rPr>
              <w:t>份额</w:t>
            </w:r>
            <w:r>
              <w:rPr>
                <w:rFonts w:hint="eastAsia" w:hAnsi="宋体"/>
                <w:bCs/>
                <w:color w:val="auto"/>
                <w:sz w:val="18"/>
                <w:szCs w:val="18"/>
              </w:rPr>
              <w:t>）</w:t>
            </w:r>
          </w:p>
          <w:p w14:paraId="2C58FE58">
            <w:pPr>
              <w:spacing w:line="360" w:lineRule="auto"/>
              <w:jc w:val="left"/>
              <w:rPr>
                <w:rFonts w:ascii="宋体" w:hAnsi="宋体"/>
                <w:bCs/>
                <w:color w:val="auto"/>
                <w:sz w:val="18"/>
                <w:szCs w:val="18"/>
              </w:rPr>
            </w:pPr>
            <w:r>
              <w:rPr>
                <w:rFonts w:ascii="宋体" w:hAnsi="宋体"/>
                <w:bCs/>
                <w:color w:val="auto"/>
                <w:sz w:val="18"/>
                <w:szCs w:val="18"/>
              </w:rPr>
              <w:t>1.业绩比较基准的设置</w:t>
            </w:r>
          </w:p>
          <w:p w14:paraId="0BE182C8">
            <w:pPr>
              <w:autoSpaceDE w:val="0"/>
              <w:autoSpaceDN w:val="0"/>
              <w:adjustRightInd w:val="0"/>
              <w:spacing w:line="360" w:lineRule="auto"/>
              <w:jc w:val="left"/>
              <w:rPr>
                <w:rFonts w:asciiTheme="majorEastAsia" w:hAnsiTheme="majorEastAsia" w:eastAsiaTheme="majorEastAsia"/>
                <w:bCs/>
                <w:color w:val="auto"/>
                <w:kern w:val="0"/>
                <w:sz w:val="18"/>
                <w:szCs w:val="18"/>
              </w:rPr>
            </w:pP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 xml:space="preserve"> </w:t>
            </w:r>
            <w:r>
              <w:rPr>
                <w:rFonts w:hint="eastAsia" w:asciiTheme="majorEastAsia" w:hAnsiTheme="majorEastAsia" w:eastAsiaTheme="majorEastAsia"/>
                <w:bCs/>
                <w:color w:val="auto"/>
                <w:kern w:val="0"/>
                <w:sz w:val="18"/>
                <w:szCs w:val="18"/>
              </w:rPr>
              <w:t>产品管理人设置业绩比较基准。</w:t>
            </w:r>
          </w:p>
          <w:p w14:paraId="726344EE">
            <w:pPr>
              <w:spacing w:line="360" w:lineRule="auto"/>
              <w:jc w:val="left"/>
              <w:rPr>
                <w:rFonts w:asciiTheme="majorEastAsia" w:hAnsiTheme="majorEastAsia"/>
                <w:bCs/>
                <w:color w:val="auto"/>
                <w:sz w:val="18"/>
                <w:szCs w:val="18"/>
              </w:rPr>
            </w:pPr>
            <w:r>
              <w:rPr>
                <w:rFonts w:hint="eastAsia" w:ascii="宋体" w:hAnsi="宋体"/>
                <w:bCs/>
                <w:color w:val="auto"/>
                <w:sz w:val="18"/>
                <w:szCs w:val="18"/>
              </w:rPr>
              <w:t>（</w:t>
            </w:r>
            <w:r>
              <w:rPr>
                <w:rFonts w:ascii="宋体" w:hAnsi="宋体"/>
                <w:bCs/>
                <w:color w:val="auto"/>
                <w:sz w:val="18"/>
                <w:szCs w:val="18"/>
              </w:rPr>
              <w:t>1）业绩比较基准的说明：【</w:t>
            </w:r>
            <w:r>
              <w:rPr>
                <w:rFonts w:hint="eastAsia" w:asciiTheme="majorEastAsia" w:hAnsiTheme="majorEastAsia" w:eastAsiaTheme="majorEastAsia"/>
                <w:bCs/>
                <w:color w:val="auto"/>
                <w:sz w:val="18"/>
                <w:szCs w:val="18"/>
              </w:rPr>
              <w:t>基于当前对未来市场的判断，根据拟投资债权类资产的信用利差、久期敞口以及流动性溢价，预判组合的波动幅度</w:t>
            </w:r>
            <w:r>
              <w:rPr>
                <w:rFonts w:ascii="宋体" w:hAnsi="宋体"/>
                <w:bCs/>
                <w:color w:val="auto"/>
                <w:sz w:val="18"/>
                <w:szCs w:val="18"/>
              </w:rPr>
              <w:t>】</w:t>
            </w:r>
            <w:r>
              <w:rPr>
                <w:rFonts w:hint="eastAsia" w:ascii="宋体" w:hAnsi="宋体"/>
                <w:bCs/>
                <w:color w:val="auto"/>
                <w:sz w:val="18"/>
                <w:szCs w:val="18"/>
              </w:rPr>
              <w:t>。</w:t>
            </w:r>
          </w:p>
          <w:p w14:paraId="5AFC8B21">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2）业绩比较基准的设定</w:t>
            </w:r>
            <w:r>
              <w:rPr>
                <w:rFonts w:hint="eastAsia" w:asciiTheme="majorEastAsia" w:hAnsiTheme="majorEastAsia" w:eastAsiaTheme="majorEastAsia"/>
                <w:bCs/>
                <w:color w:val="auto"/>
                <w:sz w:val="18"/>
                <w:szCs w:val="18"/>
              </w:rPr>
              <w:t>：</w:t>
            </w:r>
            <w:r>
              <w:rPr>
                <w:rFonts w:hint="eastAsia" w:asciiTheme="majorEastAsia" w:hAnsiTheme="majorEastAsia"/>
                <w:bCs/>
                <w:color w:val="auto"/>
                <w:sz w:val="18"/>
              </w:rPr>
              <w:t>管理人对</w:t>
            </w:r>
            <w:r>
              <w:rPr>
                <w:rFonts w:asciiTheme="majorEastAsia" w:hAnsiTheme="majorEastAsia"/>
                <w:bCs/>
                <w:color w:val="auto"/>
                <w:sz w:val="18"/>
              </w:rPr>
              <w:t>本产品设定</w:t>
            </w:r>
            <w:r>
              <w:rPr>
                <w:rFonts w:hint="eastAsia" w:asciiTheme="majorEastAsia" w:hAnsiTheme="majorEastAsia"/>
                <w:bCs/>
                <w:color w:val="auto"/>
                <w:sz w:val="18"/>
              </w:rPr>
              <w:t>业绩比较基准：</w:t>
            </w:r>
            <w:r>
              <w:rPr>
                <w:rFonts w:hint="eastAsia" w:ascii="宋体" w:hAnsi="宋体"/>
                <w:bCs/>
                <w:color w:val="auto"/>
                <w:sz w:val="18"/>
                <w:szCs w:val="18"/>
              </w:rPr>
              <w:t>【</w:t>
            </w:r>
            <w:r>
              <w:rPr>
                <w:rFonts w:hint="eastAsia" w:ascii="宋体" w:hAnsi="宋体"/>
                <w:bCs/>
                <w:color w:val="auto"/>
                <w:sz w:val="18"/>
                <w:szCs w:val="18"/>
                <w:lang w:val="en-US" w:eastAsia="zh-CN"/>
              </w:rPr>
              <w:t>人民银行7天通知存款利率</w:t>
            </w:r>
            <w:r>
              <w:rPr>
                <w:rFonts w:ascii="宋体" w:hAnsi="宋体"/>
                <w:bCs/>
                <w:color w:val="auto"/>
                <w:sz w:val="18"/>
                <w:szCs w:val="18"/>
              </w:rPr>
              <w:t>】</w:t>
            </w:r>
            <w:r>
              <w:rPr>
                <w:rFonts w:hint="eastAsia" w:ascii="宋体" w:hAnsi="宋体"/>
                <w:bCs/>
                <w:color w:val="auto"/>
                <w:sz w:val="18"/>
                <w:szCs w:val="18"/>
              </w:rPr>
              <w:t>。</w:t>
            </w:r>
          </w:p>
          <w:p w14:paraId="5B09F6FC">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kern w:val="0"/>
                <w:sz w:val="18"/>
                <w:szCs w:val="18"/>
              </w:rPr>
              <w:t>□</w:t>
            </w:r>
            <w:r>
              <w:rPr>
                <w:rFonts w:asciiTheme="majorEastAsia" w:hAnsiTheme="majorEastAsia" w:eastAsiaTheme="majorEastAsia"/>
                <w:bCs/>
                <w:color w:val="auto"/>
                <w:kern w:val="0"/>
                <w:sz w:val="18"/>
                <w:szCs w:val="18"/>
              </w:rPr>
              <w:t xml:space="preserve"> </w:t>
            </w:r>
            <w:r>
              <w:rPr>
                <w:rFonts w:hint="eastAsia" w:asciiTheme="majorEastAsia" w:hAnsiTheme="majorEastAsia" w:eastAsiaTheme="majorEastAsia"/>
                <w:bCs/>
                <w:color w:val="auto"/>
                <w:kern w:val="0"/>
                <w:sz w:val="18"/>
                <w:szCs w:val="18"/>
              </w:rPr>
              <w:t>产品管理人不设置业绩比较基准。</w:t>
            </w:r>
          </w:p>
          <w:p w14:paraId="393DCAFC">
            <w:pPr>
              <w:spacing w:line="360" w:lineRule="auto"/>
              <w:jc w:val="left"/>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2.业绩比较基准的提示：</w:t>
            </w:r>
          </w:p>
          <w:p w14:paraId="25DAAB1A">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1）</w:t>
            </w:r>
            <w:r>
              <w:rPr>
                <w:rFonts w:hint="eastAsia" w:ascii="黑体" w:hAnsi="黑体" w:eastAsia="黑体" w:cs="黑体"/>
                <w:bCs/>
                <w:color w:val="auto"/>
                <w:sz w:val="18"/>
                <w:szCs w:val="18"/>
              </w:rPr>
              <w:t>★</w:t>
            </w:r>
            <w:r>
              <w:rPr>
                <w:rFonts w:hint="eastAsia" w:ascii="黑体" w:hAnsi="黑体" w:eastAsia="黑体" w:cs="黑体"/>
                <w:bCs/>
                <w:color w:val="auto"/>
                <w:sz w:val="18"/>
              </w:rPr>
              <w:t>业绩比较基准</w:t>
            </w:r>
            <w:r>
              <w:rPr>
                <w:rFonts w:hint="eastAsia" w:ascii="黑体" w:hAnsi="黑体" w:eastAsia="黑体" w:cs="黑体"/>
                <w:bCs/>
                <w:color w:val="auto"/>
                <w:sz w:val="18"/>
                <w:szCs w:val="18"/>
              </w:rPr>
              <w:t>不是预期收益率，</w:t>
            </w:r>
            <w:r>
              <w:rPr>
                <w:rFonts w:hint="eastAsia" w:ascii="黑体" w:hAnsi="黑体" w:eastAsia="黑体" w:cs="黑体"/>
                <w:bCs/>
                <w:color w:val="auto"/>
                <w:sz w:val="18"/>
              </w:rPr>
              <w:t>不代表产品</w:t>
            </w:r>
            <w:r>
              <w:rPr>
                <w:rFonts w:hint="eastAsia" w:ascii="黑体" w:hAnsi="黑体" w:eastAsia="黑体" w:cs="黑体"/>
                <w:bCs/>
                <w:color w:val="auto"/>
                <w:sz w:val="18"/>
                <w:szCs w:val="18"/>
              </w:rPr>
              <w:t>的</w:t>
            </w:r>
            <w:r>
              <w:rPr>
                <w:rFonts w:hint="eastAsia" w:ascii="黑体" w:hAnsi="黑体" w:eastAsia="黑体" w:cs="黑体"/>
                <w:bCs/>
                <w:color w:val="auto"/>
                <w:sz w:val="18"/>
              </w:rPr>
              <w:t>未来表现</w:t>
            </w:r>
            <w:r>
              <w:rPr>
                <w:rFonts w:hint="eastAsia" w:ascii="黑体" w:hAnsi="黑体" w:eastAsia="黑体" w:cs="黑体"/>
                <w:bCs/>
                <w:color w:val="auto"/>
                <w:sz w:val="18"/>
                <w:szCs w:val="18"/>
              </w:rPr>
              <w:t>和</w:t>
            </w:r>
            <w:r>
              <w:rPr>
                <w:rFonts w:hint="eastAsia" w:ascii="黑体" w:hAnsi="黑体" w:eastAsia="黑体" w:cs="黑体"/>
                <w:bCs/>
                <w:color w:val="auto"/>
                <w:sz w:val="18"/>
              </w:rPr>
              <w:t>实际收益，不</w:t>
            </w:r>
            <w:r>
              <w:rPr>
                <w:rFonts w:hint="eastAsia" w:ascii="黑体" w:hAnsi="黑体" w:eastAsia="黑体" w:cs="黑体"/>
                <w:bCs/>
                <w:color w:val="auto"/>
                <w:sz w:val="18"/>
                <w:szCs w:val="18"/>
              </w:rPr>
              <w:t>构成对</w:t>
            </w:r>
            <w:r>
              <w:rPr>
                <w:rFonts w:hint="eastAsia" w:ascii="黑体" w:hAnsi="黑体" w:eastAsia="黑体" w:cs="黑体"/>
                <w:bCs/>
                <w:color w:val="auto"/>
                <w:sz w:val="18"/>
              </w:rPr>
              <w:t>产品收益的</w:t>
            </w:r>
            <w:r>
              <w:rPr>
                <w:rFonts w:hint="eastAsia" w:ascii="黑体" w:hAnsi="黑体" w:eastAsia="黑体" w:cs="黑体"/>
                <w:bCs/>
                <w:color w:val="auto"/>
                <w:sz w:val="18"/>
                <w:szCs w:val="18"/>
              </w:rPr>
              <w:t>承诺</w:t>
            </w:r>
            <w:r>
              <w:rPr>
                <w:rFonts w:hint="eastAsia" w:ascii="黑体" w:hAnsi="黑体" w:eastAsia="黑体" w:cs="黑体"/>
                <w:bCs/>
                <w:color w:val="auto"/>
                <w:sz w:val="18"/>
              </w:rPr>
              <w:t>，投资须谨慎。</w:t>
            </w:r>
          </w:p>
          <w:p w14:paraId="6D06E351">
            <w:pPr>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color w:val="auto"/>
                <w:sz w:val="18"/>
                <w:szCs w:val="18"/>
              </w:rPr>
              <w:t>。</w:t>
            </w:r>
          </w:p>
        </w:tc>
      </w:tr>
      <w:tr w14:paraId="20C2E0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039F5919">
            <w:pPr>
              <w:spacing w:line="360" w:lineRule="auto"/>
              <w:jc w:val="left"/>
              <w:rPr>
                <w:color w:val="auto"/>
                <w:sz w:val="18"/>
                <w:szCs w:val="18"/>
              </w:rPr>
            </w:pPr>
            <w:r>
              <w:rPr>
                <w:rFonts w:hint="eastAsia"/>
                <w:color w:val="auto"/>
                <w:sz w:val="18"/>
                <w:szCs w:val="18"/>
              </w:rPr>
              <w:t>★</w:t>
            </w:r>
            <w:r>
              <w:rPr>
                <w:rFonts w:hint="eastAsia"/>
                <w:b/>
                <w:color w:val="auto"/>
                <w:sz w:val="18"/>
                <w:szCs w:val="18"/>
              </w:rPr>
              <w:t>业绩报酬计提基准</w:t>
            </w:r>
          </w:p>
        </w:tc>
        <w:tc>
          <w:tcPr>
            <w:tcW w:w="7704" w:type="dxa"/>
            <w:shd w:val="solid" w:color="FFFFFF" w:fill="FFFFFF"/>
            <w:vAlign w:val="center"/>
          </w:tcPr>
          <w:p w14:paraId="454BC156">
            <w:pPr>
              <w:spacing w:line="360" w:lineRule="auto"/>
              <w:jc w:val="left"/>
              <w:rPr>
                <w:rFonts w:ascii="宋体" w:hAnsi="宋体"/>
                <w:bCs/>
                <w:color w:val="auto"/>
                <w:sz w:val="18"/>
                <w:szCs w:val="18"/>
              </w:rPr>
            </w:pPr>
            <w:r>
              <w:rPr>
                <w:rFonts w:hint="eastAsia" w:ascii="宋体" w:hAnsi="宋体"/>
                <w:bCs/>
                <w:color w:val="auto"/>
                <w:sz w:val="18"/>
                <w:szCs w:val="18"/>
              </w:rPr>
              <w:t>（适用</w:t>
            </w:r>
            <w:r>
              <w:rPr>
                <w:rFonts w:hint="eastAsia" w:ascii="宋体" w:hAnsi="宋体"/>
                <w:bCs/>
                <w:color w:val="auto"/>
                <w:sz w:val="18"/>
                <w:szCs w:val="18"/>
                <w:lang w:eastAsia="zh-CN"/>
              </w:rPr>
              <w:t>【F】类</w:t>
            </w:r>
            <w:r>
              <w:rPr>
                <w:rFonts w:hint="eastAsia" w:ascii="宋体" w:hAnsi="宋体"/>
                <w:bCs/>
                <w:color w:val="auto"/>
                <w:sz w:val="18"/>
                <w:szCs w:val="18"/>
              </w:rPr>
              <w:t>份额）</w:t>
            </w:r>
          </w:p>
          <w:p w14:paraId="68AAA193">
            <w:pPr>
              <w:spacing w:line="360" w:lineRule="auto"/>
              <w:jc w:val="left"/>
              <w:rPr>
                <w:rFonts w:ascii="宋体" w:hAnsi="宋体"/>
                <w:bCs/>
                <w:color w:val="auto"/>
                <w:sz w:val="18"/>
                <w:szCs w:val="18"/>
              </w:rPr>
            </w:pPr>
            <w:r>
              <w:rPr>
                <w:rFonts w:ascii="宋体" w:hAnsi="宋体"/>
                <w:bCs/>
                <w:color w:val="auto"/>
                <w:sz w:val="18"/>
                <w:szCs w:val="18"/>
              </w:rPr>
              <w:t>1.业绩报酬计提基准的设置</w:t>
            </w:r>
          </w:p>
          <w:p w14:paraId="627A7500">
            <w:pPr>
              <w:autoSpaceDE w:val="0"/>
              <w:autoSpaceDN w:val="0"/>
              <w:adjustRightInd w:val="0"/>
              <w:spacing w:line="360" w:lineRule="auto"/>
              <w:jc w:val="left"/>
              <w:rPr>
                <w:rFonts w:asciiTheme="majorEastAsia" w:hAnsiTheme="majorEastAsia" w:eastAsiaTheme="majorEastAsia"/>
                <w:bCs/>
                <w:color w:val="auto"/>
                <w:kern w:val="0"/>
                <w:sz w:val="18"/>
                <w:szCs w:val="18"/>
              </w:rPr>
            </w:pPr>
            <w:r>
              <w:rPr>
                <w:rFonts w:hint="eastAsia" w:asciiTheme="majorEastAsia" w:hAnsiTheme="majorEastAsia" w:eastAsiaTheme="majorEastAsia"/>
                <w:bCs/>
                <w:color w:val="auto"/>
                <w:kern w:val="0"/>
                <w:sz w:val="18"/>
                <w:szCs w:val="18"/>
              </w:rPr>
              <w:t>□</w:t>
            </w:r>
            <w:r>
              <w:rPr>
                <w:rFonts w:asciiTheme="majorEastAsia" w:hAnsiTheme="majorEastAsia" w:eastAsiaTheme="majorEastAsia"/>
                <w:bCs/>
                <w:color w:val="auto"/>
                <w:kern w:val="0"/>
                <w:sz w:val="18"/>
                <w:szCs w:val="18"/>
              </w:rPr>
              <w:t xml:space="preserve"> </w:t>
            </w:r>
            <w:r>
              <w:rPr>
                <w:rFonts w:hint="eastAsia" w:asciiTheme="majorEastAsia" w:hAnsiTheme="majorEastAsia" w:eastAsiaTheme="majorEastAsia"/>
                <w:bCs/>
                <w:color w:val="auto"/>
                <w:kern w:val="0"/>
                <w:sz w:val="18"/>
                <w:szCs w:val="18"/>
              </w:rPr>
              <w:t>产品管理人设置业绩报酬计提基准。</w:t>
            </w:r>
          </w:p>
          <w:p w14:paraId="245FA6AD">
            <w:pPr>
              <w:spacing w:line="360" w:lineRule="auto"/>
              <w:jc w:val="left"/>
              <w:rPr>
                <w:rFonts w:ascii="宋体" w:hAnsi="宋体"/>
                <w:bCs/>
                <w:color w:val="auto"/>
                <w:sz w:val="18"/>
              </w:rPr>
            </w:pPr>
            <w:r>
              <w:rPr>
                <w:rFonts w:ascii="宋体" w:hAnsi="宋体"/>
                <w:bCs/>
                <w:color w:val="auto"/>
                <w:sz w:val="18"/>
                <w:szCs w:val="18"/>
              </w:rPr>
              <w:t>业绩报酬计提基准的</w:t>
            </w:r>
            <w:r>
              <w:rPr>
                <w:rFonts w:ascii="宋体" w:hAnsi="宋体"/>
                <w:bCs/>
                <w:color w:val="auto"/>
                <w:sz w:val="18"/>
              </w:rPr>
              <w:t>设定</w:t>
            </w:r>
            <w:r>
              <w:rPr>
                <w:rFonts w:hint="eastAsia" w:ascii="宋体" w:hAnsi="宋体"/>
                <w:bCs/>
                <w:color w:val="auto"/>
                <w:sz w:val="18"/>
              </w:rPr>
              <w:t>：管理人</w:t>
            </w:r>
            <w:r>
              <w:rPr>
                <w:rFonts w:ascii="宋体" w:hAnsi="宋体"/>
                <w:bCs/>
                <w:color w:val="auto"/>
                <w:sz w:val="18"/>
              </w:rPr>
              <w:t>对本产品设定</w:t>
            </w:r>
            <w:r>
              <w:rPr>
                <w:rFonts w:hint="eastAsia" w:ascii="宋体" w:hAnsi="宋体"/>
                <w:bCs/>
                <w:color w:val="auto"/>
                <w:sz w:val="18"/>
              </w:rPr>
              <w:t>业绩报酬计提基准：【】。</w:t>
            </w:r>
          </w:p>
          <w:p w14:paraId="6CFFEC2D">
            <w:pPr>
              <w:spacing w:line="360" w:lineRule="auto"/>
              <w:jc w:val="left"/>
              <w:rPr>
                <w:rFonts w:ascii="宋体" w:hAnsi="宋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kern w:val="0"/>
                <w:sz w:val="18"/>
                <w:szCs w:val="18"/>
              </w:rPr>
              <w:t xml:space="preserve"> </w:t>
            </w:r>
            <w:r>
              <w:rPr>
                <w:rFonts w:hint="eastAsia" w:asciiTheme="majorEastAsia" w:hAnsiTheme="majorEastAsia" w:eastAsiaTheme="majorEastAsia"/>
                <w:bCs/>
                <w:color w:val="auto"/>
                <w:kern w:val="0"/>
                <w:sz w:val="18"/>
                <w:szCs w:val="18"/>
              </w:rPr>
              <w:t>产品管理人不设置业绩报酬计提基准。</w:t>
            </w:r>
          </w:p>
          <w:p w14:paraId="72FC56E6">
            <w:pPr>
              <w:spacing w:line="360" w:lineRule="auto"/>
              <w:jc w:val="left"/>
              <w:rPr>
                <w:rFonts w:ascii="宋体" w:hAnsi="宋体"/>
                <w:bCs/>
                <w:color w:val="auto"/>
                <w:sz w:val="18"/>
                <w:szCs w:val="18"/>
              </w:rPr>
            </w:pPr>
            <w:r>
              <w:rPr>
                <w:rFonts w:ascii="宋体" w:hAnsi="宋体"/>
                <w:bCs/>
                <w:color w:val="auto"/>
                <w:sz w:val="18"/>
                <w:szCs w:val="18"/>
              </w:rPr>
              <w:t>2.业绩报酬计提基准的提示</w:t>
            </w:r>
            <w:r>
              <w:rPr>
                <w:rFonts w:hint="eastAsia" w:ascii="宋体" w:hAnsi="宋体"/>
                <w:bCs/>
                <w:color w:val="auto"/>
                <w:sz w:val="18"/>
                <w:szCs w:val="18"/>
              </w:rPr>
              <w:t>：</w:t>
            </w:r>
          </w:p>
          <w:p w14:paraId="7BB3FA94">
            <w:pPr>
              <w:autoSpaceDE w:val="0"/>
              <w:autoSpaceDN w:val="0"/>
              <w:adjustRightInd w:val="0"/>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1）</w:t>
            </w:r>
            <w:r>
              <w:rPr>
                <w:rFonts w:hint="eastAsia" w:ascii="黑体" w:hAnsi="黑体" w:eastAsia="黑体" w:cs="黑体"/>
                <w:bCs/>
                <w:color w:val="auto"/>
                <w:sz w:val="18"/>
                <w:szCs w:val="18"/>
              </w:rPr>
              <w:t>★业绩报酬计提基准仅作为管理人计算超额业绩报酬的参照标准。业绩报酬计提基准不是预期收益率，不代表产品的未来表现和实际收益，不构成对产品收益的承诺，投资须谨慎。</w:t>
            </w:r>
          </w:p>
          <w:p w14:paraId="74D83F50">
            <w:pPr>
              <w:spacing w:line="360" w:lineRule="auto"/>
              <w:jc w:val="left"/>
              <w:rPr>
                <w:rFonts w:ascii="宋体" w:hAnsi="宋体"/>
                <w:bCs/>
                <w:color w:val="auto"/>
                <w:sz w:val="18"/>
                <w:szCs w:val="18"/>
              </w:rPr>
            </w:pPr>
            <w:r>
              <w:rPr>
                <w:rFonts w:hint="eastAsia" w:ascii="宋体" w:hAnsi="宋体"/>
                <w:bCs/>
                <w:color w:val="auto"/>
                <w:sz w:val="18"/>
                <w:szCs w:val="18"/>
              </w:rPr>
              <w:t>（</w:t>
            </w:r>
            <w:r>
              <w:rPr>
                <w:rFonts w:ascii="宋体" w:hAnsi="宋体"/>
                <w:bCs/>
                <w:color w:val="auto"/>
                <w:sz w:val="18"/>
                <w:szCs w:val="18"/>
              </w:rPr>
              <w:t>2）</w:t>
            </w:r>
            <w:r>
              <w:rPr>
                <w:rFonts w:hint="eastAsia" w:ascii="宋体" w:hAnsi="宋体"/>
                <w:bCs/>
                <w:color w:val="auto"/>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14:paraId="0C35A2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14:paraId="62285FA5">
            <w:pPr>
              <w:spacing w:line="360" w:lineRule="auto"/>
              <w:jc w:val="left"/>
              <w:rPr>
                <w:color w:val="auto"/>
                <w:sz w:val="18"/>
                <w:szCs w:val="18"/>
              </w:rPr>
            </w:pPr>
            <w:r>
              <w:rPr>
                <w:rFonts w:hint="eastAsia" w:hAnsi="宋体"/>
                <w:b/>
                <w:color w:val="auto"/>
                <w:sz w:val="18"/>
                <w:szCs w:val="18"/>
              </w:rPr>
              <w:t>★</w:t>
            </w:r>
            <w:r>
              <w:rPr>
                <w:rFonts w:hint="eastAsia"/>
                <w:b/>
                <w:color w:val="auto"/>
                <w:sz w:val="18"/>
                <w:szCs w:val="18"/>
              </w:rPr>
              <w:t>理财产品利益分配</w:t>
            </w:r>
          </w:p>
        </w:tc>
        <w:tc>
          <w:tcPr>
            <w:tcW w:w="7704" w:type="dxa"/>
            <w:shd w:val="solid" w:color="FFFFFF" w:fill="FFFFFF"/>
            <w:vAlign w:val="center"/>
          </w:tcPr>
          <w:p w14:paraId="20DE306E">
            <w:pPr>
              <w:spacing w:line="360" w:lineRule="auto"/>
              <w:jc w:val="left"/>
              <w:rPr>
                <w:rFonts w:hAnsi="宋体"/>
                <w:bCs/>
                <w:color w:val="auto"/>
                <w:sz w:val="18"/>
                <w:szCs w:val="18"/>
              </w:rPr>
            </w:pPr>
            <w:r>
              <w:rPr>
                <w:rFonts w:hint="eastAsia" w:hAnsi="宋体"/>
                <w:bCs/>
                <w:color w:val="auto"/>
                <w:sz w:val="18"/>
                <w:szCs w:val="18"/>
              </w:rPr>
              <w:t>1</w:t>
            </w:r>
            <w:r>
              <w:rPr>
                <w:rFonts w:hAnsi="宋体"/>
                <w:bCs/>
                <w:color w:val="auto"/>
                <w:sz w:val="18"/>
                <w:szCs w:val="18"/>
              </w:rPr>
              <w:t>.</w:t>
            </w:r>
            <w:r>
              <w:rPr>
                <w:rFonts w:hint="eastAsia" w:hAnsi="宋体"/>
                <w:bCs/>
                <w:color w:val="auto"/>
                <w:sz w:val="18"/>
                <w:szCs w:val="18"/>
              </w:rPr>
              <w:t>理财产品存续期间，产品管理人有权视理财产品收益情况进行主动分配，相应分配基准日、分配方案由管理人及时披露。</w:t>
            </w:r>
          </w:p>
          <w:p w14:paraId="0066BE96">
            <w:pPr>
              <w:spacing w:line="360" w:lineRule="auto"/>
              <w:jc w:val="left"/>
              <w:rPr>
                <w:rFonts w:ascii="宋体" w:hAnsi="宋体"/>
                <w:bCs/>
                <w:color w:val="auto"/>
                <w:sz w:val="18"/>
                <w:szCs w:val="18"/>
              </w:rPr>
            </w:pPr>
            <w:r>
              <w:rPr>
                <w:rFonts w:hint="eastAsia" w:hAnsi="宋体"/>
                <w:bCs/>
                <w:color w:val="auto"/>
                <w:sz w:val="18"/>
                <w:szCs w:val="18"/>
              </w:rPr>
              <w:t>2</w:t>
            </w:r>
            <w:r>
              <w:rPr>
                <w:rFonts w:hAnsi="宋体"/>
                <w:bCs/>
                <w:color w:val="auto"/>
                <w:sz w:val="18"/>
                <w:szCs w:val="18"/>
              </w:rPr>
              <w:t>.具体理财产品利益分配</w:t>
            </w:r>
            <w:r>
              <w:rPr>
                <w:rFonts w:hint="eastAsia" w:hAnsi="宋体"/>
                <w:bCs/>
                <w:color w:val="auto"/>
                <w:sz w:val="18"/>
                <w:szCs w:val="18"/>
              </w:rPr>
              <w:t>详见《产品说明书》“第八条 理财产品的利益分配”。</w:t>
            </w:r>
          </w:p>
        </w:tc>
      </w:tr>
      <w:tr w14:paraId="6A7897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1863E99A">
            <w:pPr>
              <w:spacing w:line="360" w:lineRule="auto"/>
              <w:jc w:val="left"/>
              <w:rPr>
                <w:rFonts w:asciiTheme="majorEastAsia" w:hAnsiTheme="majorEastAsia" w:eastAsiaTheme="majorEastAsia"/>
                <w:b/>
                <w:color w:val="auto"/>
                <w:sz w:val="18"/>
                <w:szCs w:val="18"/>
              </w:rPr>
            </w:pPr>
            <w:r>
              <w:rPr>
                <w:rFonts w:hint="eastAsia" w:hAnsi="宋体"/>
                <w:color w:val="auto"/>
                <w:sz w:val="18"/>
                <w:szCs w:val="18"/>
              </w:rPr>
              <w:t>★</w:t>
            </w:r>
            <w:r>
              <w:rPr>
                <w:rFonts w:hint="eastAsia" w:asciiTheme="majorEastAsia" w:hAnsiTheme="majorEastAsia" w:eastAsiaTheme="majorEastAsia"/>
                <w:b/>
                <w:bCs/>
                <w:color w:val="auto"/>
                <w:sz w:val="18"/>
                <w:szCs w:val="18"/>
              </w:rPr>
              <w:t>理财产品费用</w:t>
            </w:r>
          </w:p>
        </w:tc>
        <w:tc>
          <w:tcPr>
            <w:tcW w:w="7704" w:type="dxa"/>
            <w:shd w:val="solid" w:color="FFFFFF" w:fill="FFFFFF"/>
            <w:vAlign w:val="center"/>
          </w:tcPr>
          <w:p w14:paraId="64A115CC">
            <w:pPr>
              <w:spacing w:line="360" w:lineRule="auto"/>
              <w:jc w:val="left"/>
              <w:rPr>
                <w:rFonts w:cs="黑体" w:asciiTheme="minorEastAsia" w:hAnsiTheme="minorEastAsia" w:eastAsiaTheme="minorEastAsia"/>
                <w:bCs/>
                <w:color w:val="auto"/>
                <w:sz w:val="18"/>
                <w:szCs w:val="18"/>
              </w:rPr>
            </w:pPr>
            <w:r>
              <w:rPr>
                <w:rFonts w:hint="eastAsia" w:cs="黑体" w:asciiTheme="minorEastAsia" w:hAnsiTheme="minorEastAsia" w:eastAsiaTheme="minorEastAsia"/>
                <w:bCs/>
                <w:color w:val="auto"/>
                <w:sz w:val="18"/>
                <w:szCs w:val="18"/>
              </w:rPr>
              <w:t>（适用</w:t>
            </w:r>
            <w:r>
              <w:rPr>
                <w:rFonts w:hint="eastAsia" w:cs="黑体" w:asciiTheme="minorEastAsia" w:hAnsiTheme="minorEastAsia" w:eastAsiaTheme="minorEastAsia"/>
                <w:bCs/>
                <w:color w:val="auto"/>
                <w:sz w:val="18"/>
                <w:szCs w:val="18"/>
                <w:lang w:eastAsia="zh-CN"/>
              </w:rPr>
              <w:t>【F】类</w:t>
            </w:r>
            <w:r>
              <w:rPr>
                <w:rFonts w:cs="黑体" w:asciiTheme="minorEastAsia" w:hAnsiTheme="minorEastAsia" w:eastAsiaTheme="minorEastAsia"/>
                <w:bCs/>
                <w:color w:val="auto"/>
                <w:sz w:val="18"/>
                <w:szCs w:val="18"/>
              </w:rPr>
              <w:t>份额</w:t>
            </w:r>
            <w:r>
              <w:rPr>
                <w:rFonts w:hint="eastAsia" w:cs="黑体" w:asciiTheme="minorEastAsia" w:hAnsiTheme="minorEastAsia" w:eastAsiaTheme="minorEastAsia"/>
                <w:bCs/>
                <w:color w:val="auto"/>
                <w:sz w:val="18"/>
                <w:szCs w:val="18"/>
              </w:rPr>
              <w:t>）</w:t>
            </w:r>
          </w:p>
          <w:p w14:paraId="2C0FFC82">
            <w:pPr>
              <w:spacing w:line="360" w:lineRule="auto"/>
              <w:jc w:val="left"/>
              <w:rPr>
                <w:rFonts w:ascii="黑体" w:hAnsi="黑体" w:eastAsia="黑体" w:cs="黑体"/>
                <w:bCs/>
                <w:color w:val="auto"/>
                <w:sz w:val="18"/>
                <w:szCs w:val="18"/>
              </w:rPr>
            </w:pPr>
            <w:r>
              <w:rPr>
                <w:rFonts w:ascii="黑体" w:hAnsi="黑体" w:eastAsia="黑体" w:cs="黑体"/>
                <w:bCs/>
                <w:color w:val="auto"/>
                <w:sz w:val="18"/>
                <w:szCs w:val="18"/>
              </w:rPr>
              <w:t>1.</w:t>
            </w:r>
            <w:r>
              <w:rPr>
                <w:rFonts w:hint="eastAsia" w:ascii="黑体" w:hAnsi="黑体" w:eastAsia="黑体" w:cs="黑体"/>
                <w:bCs/>
                <w:color w:val="auto"/>
                <w:sz w:val="18"/>
                <w:szCs w:val="18"/>
              </w:rPr>
              <w:t>理财产品的费率标准</w:t>
            </w:r>
          </w:p>
          <w:p w14:paraId="1E71A9D7">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1）认购费：</w:t>
            </w:r>
            <w:r>
              <w:rPr>
                <w:rFonts w:hint="eastAsia" w:ascii="黑体" w:hAnsi="黑体" w:eastAsia="黑体" w:cs="黑体"/>
                <w:bCs/>
                <w:color w:val="auto"/>
                <w:sz w:val="18"/>
                <w:szCs w:val="18"/>
              </w:rPr>
              <w:t>【</w:t>
            </w:r>
            <w:r>
              <w:rPr>
                <w:rFonts w:hint="eastAsia" w:ascii="黑体" w:hAnsi="黑体" w:eastAsia="黑体" w:cs="黑体"/>
                <w:bCs/>
                <w:color w:val="auto"/>
                <w:sz w:val="18"/>
                <w:szCs w:val="18"/>
                <w:lang w:val="en-US" w:eastAsia="zh-CN"/>
              </w:rPr>
              <w:t>/</w:t>
            </w:r>
            <w:r>
              <w:rPr>
                <w:rFonts w:hint="eastAsia" w:ascii="黑体" w:hAnsi="黑体" w:eastAsia="黑体" w:cs="黑体"/>
                <w:bCs/>
                <w:color w:val="auto"/>
                <w:sz w:val="18"/>
                <w:szCs w:val="18"/>
              </w:rPr>
              <w:t>】。</w:t>
            </w:r>
          </w:p>
          <w:p w14:paraId="1C907F61">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2）申购费：</w:t>
            </w:r>
            <w:r>
              <w:rPr>
                <w:rFonts w:hint="eastAsia" w:ascii="黑体" w:hAnsi="黑体" w:eastAsia="黑体" w:cs="黑体"/>
                <w:bCs/>
                <w:color w:val="auto"/>
                <w:sz w:val="18"/>
                <w:szCs w:val="18"/>
              </w:rPr>
              <w:t>【</w:t>
            </w:r>
            <w:r>
              <w:rPr>
                <w:rFonts w:hint="eastAsia" w:ascii="黑体" w:hAnsi="黑体" w:eastAsia="黑体" w:cs="黑体"/>
                <w:bCs/>
                <w:color w:val="auto"/>
                <w:sz w:val="18"/>
                <w:szCs w:val="18"/>
                <w:lang w:val="en-US" w:eastAsia="zh-CN"/>
              </w:rPr>
              <w:t>/</w:t>
            </w:r>
            <w:r>
              <w:rPr>
                <w:rFonts w:hint="eastAsia" w:ascii="黑体" w:hAnsi="黑体" w:eastAsia="黑体" w:cs="黑体"/>
                <w:bCs/>
                <w:color w:val="auto"/>
                <w:sz w:val="18"/>
                <w:szCs w:val="18"/>
              </w:rPr>
              <w:t>】。</w:t>
            </w:r>
          </w:p>
          <w:p w14:paraId="47D90ECA">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3）赎回费：</w:t>
            </w:r>
            <w:r>
              <w:rPr>
                <w:rFonts w:hint="eastAsia" w:ascii="黑体" w:hAnsi="黑体" w:eastAsia="黑体" w:cs="黑体"/>
                <w:bCs/>
                <w:color w:val="auto"/>
                <w:sz w:val="18"/>
                <w:szCs w:val="18"/>
              </w:rPr>
              <w:t>【</w:t>
            </w:r>
            <w:r>
              <w:rPr>
                <w:rFonts w:hint="eastAsia" w:ascii="黑体" w:hAnsi="黑体" w:eastAsia="黑体" w:cs="黑体"/>
                <w:bCs/>
                <w:color w:val="auto"/>
                <w:sz w:val="18"/>
                <w:szCs w:val="18"/>
                <w:lang w:val="en-US" w:eastAsia="zh-CN"/>
              </w:rPr>
              <w:t>/</w:t>
            </w:r>
            <w:r>
              <w:rPr>
                <w:rFonts w:hint="eastAsia" w:ascii="黑体" w:hAnsi="黑体" w:eastAsia="黑体" w:cs="黑体"/>
                <w:bCs/>
                <w:color w:val="auto"/>
                <w:sz w:val="18"/>
                <w:szCs w:val="18"/>
              </w:rPr>
              <w:t>】。</w:t>
            </w:r>
          </w:p>
          <w:p w14:paraId="3C91BCA3">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4）销售服</w:t>
            </w:r>
            <w:r>
              <w:rPr>
                <w:rFonts w:hint="eastAsia" w:ascii="黑体" w:hAnsi="黑体" w:eastAsia="黑体" w:cs="黑体"/>
                <w:bCs/>
                <w:color w:val="auto"/>
                <w:sz w:val="18"/>
                <w:szCs w:val="18"/>
              </w:rPr>
              <w:t>务费：</w:t>
            </w:r>
            <w:r>
              <w:rPr>
                <w:rFonts w:ascii="黑体" w:hAnsi="黑体" w:eastAsia="黑体" w:cs="黑体"/>
                <w:bCs/>
                <w:color w:val="auto"/>
                <w:sz w:val="18"/>
                <w:szCs w:val="18"/>
              </w:rPr>
              <w:t>年化费率</w:t>
            </w:r>
            <w:r>
              <w:rPr>
                <w:rFonts w:hint="eastAsia" w:ascii="宋体" w:hAnsi="宋体"/>
                <w:color w:val="auto"/>
                <w:sz w:val="18"/>
                <w:szCs w:val="18"/>
              </w:rPr>
              <w:t>【</w:t>
            </w:r>
            <w:r>
              <w:rPr>
                <w:rFonts w:ascii="宋体" w:hAnsi="宋体"/>
                <w:color w:val="auto"/>
                <w:sz w:val="18"/>
                <w:szCs w:val="18"/>
              </w:rPr>
              <w:t>0.</w:t>
            </w:r>
            <w:r>
              <w:rPr>
                <w:rFonts w:hint="eastAsia" w:ascii="宋体" w:hAnsi="宋体"/>
                <w:color w:val="auto"/>
                <w:sz w:val="18"/>
                <w:szCs w:val="18"/>
                <w:lang w:val="en-US" w:eastAsia="zh-CN"/>
              </w:rPr>
              <w:t>4</w:t>
            </w:r>
            <w:r>
              <w:rPr>
                <w:rFonts w:hint="eastAsia" w:ascii="宋体" w:hAnsi="宋体"/>
                <w:color w:val="auto"/>
                <w:sz w:val="18"/>
                <w:szCs w:val="18"/>
              </w:rPr>
              <w:t>0</w:t>
            </w:r>
            <w:r>
              <w:rPr>
                <w:rFonts w:ascii="宋体" w:hAnsi="宋体"/>
                <w:color w:val="auto"/>
                <w:sz w:val="18"/>
                <w:szCs w:val="18"/>
              </w:rPr>
              <w:t>%</w:t>
            </w:r>
            <w:r>
              <w:rPr>
                <w:rFonts w:hint="eastAsia" w:ascii="黑体" w:hAnsi="黑体" w:eastAsia="黑体" w:cs="黑体"/>
                <w:bCs/>
                <w:color w:val="auto"/>
                <w:sz w:val="18"/>
                <w:szCs w:val="18"/>
              </w:rPr>
              <w:t>】。</w:t>
            </w:r>
          </w:p>
          <w:p w14:paraId="3A6F77A4">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5）投资管理费：</w:t>
            </w:r>
            <w:r>
              <w:rPr>
                <w:rFonts w:hint="eastAsia" w:ascii="黑体" w:hAnsi="黑体" w:eastAsia="黑体" w:cs="黑体"/>
                <w:bCs/>
                <w:color w:val="auto"/>
                <w:sz w:val="18"/>
                <w:szCs w:val="18"/>
              </w:rPr>
              <w:t>年化</w:t>
            </w:r>
            <w:r>
              <w:rPr>
                <w:rFonts w:ascii="黑体" w:hAnsi="黑体" w:eastAsia="黑体" w:cs="黑体"/>
                <w:bCs/>
                <w:color w:val="auto"/>
                <w:sz w:val="18"/>
                <w:szCs w:val="18"/>
              </w:rPr>
              <w:t>费率</w:t>
            </w:r>
            <w:r>
              <w:rPr>
                <w:rFonts w:hint="eastAsia" w:ascii="黑体" w:hAnsi="黑体" w:eastAsia="黑体" w:cs="黑体"/>
                <w:bCs/>
                <w:color w:val="auto"/>
                <w:sz w:val="18"/>
                <w:szCs w:val="18"/>
              </w:rPr>
              <w:t>【</w:t>
            </w:r>
            <w:r>
              <w:rPr>
                <w:rFonts w:hint="eastAsia" w:ascii="宋体" w:hAnsi="宋体"/>
                <w:color w:val="auto"/>
                <w:sz w:val="18"/>
                <w:szCs w:val="18"/>
              </w:rPr>
              <w:t>0.30%</w:t>
            </w:r>
            <w:r>
              <w:rPr>
                <w:rFonts w:ascii="黑体" w:hAnsi="黑体" w:eastAsia="黑体" w:cs="黑体"/>
                <w:bCs/>
                <w:color w:val="auto"/>
                <w:sz w:val="18"/>
                <w:szCs w:val="18"/>
              </w:rPr>
              <w:t>】</w:t>
            </w:r>
            <w:r>
              <w:rPr>
                <w:rFonts w:hint="eastAsia" w:ascii="黑体" w:hAnsi="黑体" w:eastAsia="黑体" w:cs="黑体"/>
                <w:bCs/>
                <w:color w:val="auto"/>
                <w:sz w:val="18"/>
                <w:szCs w:val="18"/>
              </w:rPr>
              <w:t>。</w:t>
            </w:r>
          </w:p>
          <w:p w14:paraId="47B9E6B9">
            <w:pPr>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6）产品托管费：</w:t>
            </w:r>
            <w:r>
              <w:rPr>
                <w:rFonts w:hint="eastAsia" w:ascii="黑体" w:hAnsi="黑体" w:eastAsia="黑体" w:cs="黑体"/>
                <w:bCs/>
                <w:color w:val="auto"/>
                <w:sz w:val="18"/>
                <w:szCs w:val="18"/>
              </w:rPr>
              <w:t>年化</w:t>
            </w:r>
            <w:r>
              <w:rPr>
                <w:rFonts w:ascii="黑体" w:hAnsi="黑体" w:eastAsia="黑体" w:cs="黑体"/>
                <w:bCs/>
                <w:color w:val="auto"/>
                <w:sz w:val="18"/>
                <w:szCs w:val="18"/>
              </w:rPr>
              <w:t>费率</w:t>
            </w:r>
            <w:r>
              <w:rPr>
                <w:rFonts w:hint="eastAsia" w:ascii="黑体" w:hAnsi="黑体" w:eastAsia="黑体" w:cs="黑体"/>
                <w:bCs/>
                <w:color w:val="auto"/>
                <w:sz w:val="18"/>
                <w:szCs w:val="18"/>
              </w:rPr>
              <w:t>【</w:t>
            </w:r>
            <w:r>
              <w:rPr>
                <w:rFonts w:hint="eastAsia" w:ascii="宋体" w:hAnsi="宋体"/>
                <w:color w:val="auto"/>
                <w:sz w:val="18"/>
                <w:szCs w:val="18"/>
              </w:rPr>
              <w:t>0.03%</w:t>
            </w:r>
            <w:r>
              <w:rPr>
                <w:rFonts w:hint="eastAsia" w:ascii="黑体" w:hAnsi="黑体" w:eastAsia="黑体" w:cs="黑体"/>
                <w:bCs/>
                <w:color w:val="auto"/>
                <w:sz w:val="18"/>
                <w:szCs w:val="18"/>
              </w:rPr>
              <w:t>】。</w:t>
            </w:r>
          </w:p>
          <w:p w14:paraId="5E38EE9E">
            <w:pPr>
              <w:widowControl/>
              <w:autoSpaceDE w:val="0"/>
              <w:autoSpaceDN w:val="0"/>
              <w:adjustRightInd w:val="0"/>
              <w:spacing w:line="360" w:lineRule="auto"/>
              <w:jc w:val="left"/>
              <w:rPr>
                <w:rFonts w:ascii="黑体" w:hAnsi="黑体" w:eastAsia="黑体" w:cs="黑体"/>
                <w:bCs/>
                <w:color w:val="auto"/>
                <w:sz w:val="18"/>
                <w:szCs w:val="18"/>
              </w:rPr>
            </w:pPr>
            <w:r>
              <w:rPr>
                <w:rFonts w:hint="eastAsia" w:ascii="黑体" w:hAnsi="黑体" w:eastAsia="黑体" w:cs="黑体"/>
                <w:bCs/>
                <w:color w:val="auto"/>
                <w:sz w:val="18"/>
                <w:szCs w:val="18"/>
              </w:rPr>
              <w:t>（</w:t>
            </w:r>
            <w:r>
              <w:rPr>
                <w:rFonts w:ascii="黑体" w:hAnsi="黑体" w:eastAsia="黑体" w:cs="黑体"/>
                <w:bCs/>
                <w:color w:val="auto"/>
                <w:sz w:val="18"/>
                <w:szCs w:val="18"/>
              </w:rPr>
              <w:t>7）超额业绩报酬：</w:t>
            </w:r>
          </w:p>
          <w:p w14:paraId="5558B4AD">
            <w:pPr>
              <w:widowControl/>
              <w:autoSpaceDE w:val="0"/>
              <w:autoSpaceDN w:val="0"/>
              <w:adjustRightInd w:val="0"/>
              <w:spacing w:line="360" w:lineRule="auto"/>
              <w:jc w:val="left"/>
              <w:rPr>
                <w:rFonts w:ascii="宋体" w:hAnsi="宋体" w:cs="黑体"/>
                <w:bCs/>
                <w:color w:val="auto"/>
                <w:sz w:val="18"/>
                <w:szCs w:val="18"/>
              </w:rPr>
            </w:pPr>
            <w:r>
              <w:rPr>
                <w:rFonts w:ascii="宋体" w:hAnsi="宋体" w:cs="黑体"/>
                <w:bCs/>
                <w:color w:val="auto"/>
                <w:sz w:val="18"/>
                <w:szCs w:val="18"/>
              </w:rPr>
              <w:t>本产品不收取超额业绩报酬</w:t>
            </w:r>
            <w:r>
              <w:rPr>
                <w:rFonts w:hint="eastAsia" w:ascii="宋体" w:hAnsi="宋体" w:cs="黑体"/>
                <w:bCs/>
                <w:color w:val="auto"/>
                <w:sz w:val="18"/>
                <w:szCs w:val="18"/>
              </w:rPr>
              <w:t>。</w:t>
            </w:r>
          </w:p>
          <w:p w14:paraId="0B16F8CE">
            <w:pPr>
              <w:autoSpaceDE w:val="0"/>
              <w:autoSpaceDN w:val="0"/>
              <w:adjustRightInd w:val="0"/>
              <w:spacing w:line="360" w:lineRule="auto"/>
              <w:jc w:val="left"/>
              <w:rPr>
                <w:rFonts w:ascii="黑体" w:hAnsi="黑体" w:eastAsia="黑体"/>
                <w:bCs/>
                <w:color w:val="auto"/>
                <w:sz w:val="18"/>
                <w:szCs w:val="18"/>
              </w:rPr>
            </w:pPr>
            <w:r>
              <w:rPr>
                <w:rFonts w:ascii="黑体" w:hAnsi="黑体" w:eastAsia="黑体" w:cs="黑体"/>
                <w:bCs/>
                <w:color w:val="auto"/>
                <w:sz w:val="18"/>
                <w:szCs w:val="18"/>
              </w:rPr>
              <w:t>2.</w:t>
            </w:r>
            <w:r>
              <w:rPr>
                <w:rFonts w:hint="eastAsia" w:ascii="黑体" w:hAnsi="黑体" w:eastAsia="黑体" w:cs="黑体"/>
                <w:bCs/>
                <w:color w:val="auto"/>
                <w:sz w:val="18"/>
                <w:szCs w:val="18"/>
              </w:rPr>
              <w:t>产品管理人</w:t>
            </w:r>
            <w:r>
              <w:rPr>
                <w:rFonts w:ascii="黑体" w:hAnsi="黑体" w:eastAsia="黑体" w:cs="黑体"/>
                <w:bCs/>
                <w:color w:val="auto"/>
                <w:sz w:val="18"/>
                <w:szCs w:val="18"/>
              </w:rPr>
              <w:t>保留变更</w:t>
            </w:r>
            <w:r>
              <w:rPr>
                <w:rFonts w:hint="eastAsia" w:ascii="黑体" w:hAnsi="黑体" w:eastAsia="黑体" w:cs="黑体"/>
                <w:bCs/>
                <w:color w:val="auto"/>
                <w:sz w:val="18"/>
                <w:szCs w:val="18"/>
              </w:rPr>
              <w:t>上述</w:t>
            </w:r>
            <w:r>
              <w:rPr>
                <w:rFonts w:ascii="黑体" w:hAnsi="黑体" w:eastAsia="黑体" w:cs="黑体"/>
                <w:bCs/>
                <w:color w:val="auto"/>
                <w:sz w:val="18"/>
                <w:szCs w:val="18"/>
              </w:rPr>
              <w:t>理财产品</w:t>
            </w:r>
            <w:r>
              <w:rPr>
                <w:rFonts w:hint="eastAsia" w:ascii="黑体" w:hAnsi="黑体" w:eastAsia="黑体" w:cs="黑体"/>
                <w:bCs/>
                <w:color w:val="auto"/>
                <w:sz w:val="18"/>
                <w:szCs w:val="18"/>
              </w:rPr>
              <w:t>收取</w:t>
            </w:r>
            <w:r>
              <w:rPr>
                <w:rFonts w:ascii="黑体" w:hAnsi="黑体" w:eastAsia="黑体" w:cs="黑体"/>
                <w:bCs/>
                <w:color w:val="auto"/>
                <w:sz w:val="18"/>
                <w:szCs w:val="18"/>
              </w:rPr>
              <w:t>费率</w:t>
            </w:r>
            <w:r>
              <w:rPr>
                <w:rFonts w:hint="eastAsia" w:ascii="黑体" w:hAnsi="黑体" w:eastAsia="黑体" w:cs="黑体"/>
                <w:bCs/>
                <w:color w:val="auto"/>
                <w:sz w:val="18"/>
                <w:szCs w:val="18"/>
              </w:rPr>
              <w:t>标准</w:t>
            </w:r>
            <w:r>
              <w:rPr>
                <w:rFonts w:ascii="黑体" w:hAnsi="黑体" w:eastAsia="黑体" w:cs="黑体"/>
                <w:bCs/>
                <w:color w:val="auto"/>
                <w:sz w:val="18"/>
                <w:szCs w:val="18"/>
              </w:rPr>
              <w:t>的权利</w:t>
            </w:r>
            <w:r>
              <w:rPr>
                <w:rFonts w:hint="eastAsia" w:ascii="黑体" w:hAnsi="黑体" w:eastAsia="黑体" w:cs="黑体"/>
                <w:bCs/>
                <w:color w:val="auto"/>
                <w:sz w:val="18"/>
                <w:szCs w:val="18"/>
              </w:rPr>
              <w:t>。</w:t>
            </w:r>
          </w:p>
        </w:tc>
      </w:tr>
      <w:tr w14:paraId="2ED129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5E79209A">
            <w:pPr>
              <w:spacing w:line="360" w:lineRule="auto"/>
              <w:jc w:val="left"/>
              <w:rPr>
                <w:rFonts w:hAnsi="宋体"/>
                <w:color w:val="auto"/>
                <w:sz w:val="18"/>
                <w:szCs w:val="18"/>
              </w:rPr>
            </w:pPr>
            <w:r>
              <w:rPr>
                <w:rFonts w:hint="eastAsia" w:ascii="宋体" w:hAnsi="宋体"/>
                <w:b/>
                <w:bCs/>
                <w:color w:val="auto"/>
                <w:kern w:val="0"/>
                <w:sz w:val="18"/>
                <w:szCs w:val="18"/>
              </w:rPr>
              <w:t>税收</w:t>
            </w:r>
          </w:p>
        </w:tc>
        <w:tc>
          <w:tcPr>
            <w:tcW w:w="7704" w:type="dxa"/>
            <w:shd w:val="solid" w:color="FFFFFF" w:fill="FFFFFF"/>
            <w:vAlign w:val="center"/>
          </w:tcPr>
          <w:p w14:paraId="518FD327">
            <w:pPr>
              <w:spacing w:line="360" w:lineRule="auto"/>
              <w:rPr>
                <w:rFonts w:ascii="宋体" w:hAnsi="宋体"/>
                <w:bCs/>
                <w:color w:val="auto"/>
                <w:sz w:val="18"/>
                <w:szCs w:val="18"/>
              </w:rPr>
            </w:pPr>
            <w:r>
              <w:rPr>
                <w:rFonts w:hint="eastAsia" w:hAnsi="宋体" w:cs="仿宋_GB2312"/>
                <w:color w:val="auto"/>
                <w:sz w:val="18"/>
                <w:szCs w:val="18"/>
              </w:rPr>
              <w:t>本理财产品运作过程中涉及的各纳税主体，其纳税义务按国家税收法律、法规执行。</w:t>
            </w:r>
          </w:p>
        </w:tc>
      </w:tr>
      <w:tr w14:paraId="55766B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1481F61">
            <w:pPr>
              <w:spacing w:line="360" w:lineRule="auto"/>
              <w:jc w:val="left"/>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理财产品份额的转让</w:t>
            </w:r>
          </w:p>
        </w:tc>
        <w:tc>
          <w:tcPr>
            <w:tcW w:w="7704" w:type="dxa"/>
            <w:shd w:val="solid" w:color="FFFFFF" w:fill="FFFFFF"/>
            <w:vAlign w:val="center"/>
          </w:tcPr>
          <w:p w14:paraId="5F4940AA">
            <w:pPr>
              <w:spacing w:line="360" w:lineRule="auto"/>
              <w:jc w:val="left"/>
              <w:rPr>
                <w:rFonts w:ascii="宋体" w:hAnsi="宋体"/>
                <w:color w:val="auto"/>
                <w:sz w:val="18"/>
                <w:szCs w:val="18"/>
              </w:rPr>
            </w:pPr>
            <w:r>
              <w:rPr>
                <w:rFonts w:hint="eastAsia" w:ascii="宋体" w:hAnsi="宋体"/>
                <w:color w:val="auto"/>
                <w:sz w:val="18"/>
                <w:szCs w:val="18"/>
              </w:rPr>
              <w:t>理财产品份额的转让将依照理财产品销售文件及销售机构的业务政策执行。</w:t>
            </w:r>
          </w:p>
        </w:tc>
      </w:tr>
      <w:tr w14:paraId="5ACC7F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14:paraId="45FADCB2">
            <w:pPr>
              <w:spacing w:line="360" w:lineRule="auto"/>
              <w:jc w:val="left"/>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理财产品份额的质押</w:t>
            </w:r>
          </w:p>
        </w:tc>
        <w:tc>
          <w:tcPr>
            <w:tcW w:w="7704" w:type="dxa"/>
            <w:shd w:val="solid" w:color="FFFFFF" w:fill="FFFFFF"/>
            <w:vAlign w:val="center"/>
          </w:tcPr>
          <w:p w14:paraId="62140924">
            <w:pPr>
              <w:spacing w:line="360" w:lineRule="auto"/>
              <w:jc w:val="left"/>
              <w:rPr>
                <w:rFonts w:ascii="宋体" w:hAnsi="宋体"/>
                <w:color w:val="auto"/>
                <w:sz w:val="18"/>
                <w:szCs w:val="18"/>
              </w:rPr>
            </w:pPr>
            <w:r>
              <w:rPr>
                <w:rFonts w:hint="eastAsia" w:ascii="宋体" w:hAnsi="宋体"/>
                <w:color w:val="auto"/>
                <w:sz w:val="18"/>
                <w:szCs w:val="18"/>
              </w:rPr>
              <w:t>理财产品份额的质押将依照理财产品销售文件及销售机构的业务政策执行。</w:t>
            </w:r>
          </w:p>
        </w:tc>
      </w:tr>
      <w:permEnd w:id="13"/>
    </w:tbl>
    <w:p w14:paraId="6A064022">
      <w:pPr>
        <w:pStyle w:val="34"/>
        <w:spacing w:line="360" w:lineRule="auto"/>
        <w:rPr>
          <w:rFonts w:hAnsi="宋体"/>
          <w:sz w:val="18"/>
          <w:szCs w:val="18"/>
        </w:rPr>
      </w:pPr>
    </w:p>
    <w:p w14:paraId="43E73CCF">
      <w:pPr>
        <w:widowControl/>
        <w:spacing w:line="360" w:lineRule="auto"/>
        <w:jc w:val="left"/>
        <w:rPr>
          <w:rFonts w:ascii="宋体" w:hAnsi="宋体"/>
          <w:color w:val="000000"/>
          <w:kern w:val="0"/>
          <w:sz w:val="18"/>
          <w:szCs w:val="18"/>
        </w:rPr>
      </w:pPr>
      <w:r>
        <w:rPr>
          <w:rFonts w:hAnsi="宋体"/>
          <w:sz w:val="18"/>
          <w:szCs w:val="18"/>
        </w:rPr>
        <w:br w:type="page"/>
      </w:r>
    </w:p>
    <w:p w14:paraId="5FE0F814">
      <w:pPr>
        <w:pStyle w:val="2"/>
        <w:spacing w:before="0" w:after="0" w:line="360" w:lineRule="auto"/>
        <w:jc w:val="center"/>
        <w:rPr>
          <w:rFonts w:ascii="Times New Roman"/>
          <w:sz w:val="30"/>
        </w:rPr>
      </w:pPr>
      <w:bookmarkStart w:id="12" w:name="_Toc103260530"/>
      <w:bookmarkStart w:id="13" w:name="_Toc22117"/>
      <w:bookmarkStart w:id="14" w:name="_Toc26096"/>
      <w:bookmarkStart w:id="15" w:name="_Toc20890"/>
      <w:bookmarkStart w:id="16" w:name="_Toc79154666"/>
      <w:bookmarkStart w:id="17" w:name="_Toc92377132"/>
      <w:r>
        <w:rPr>
          <w:rFonts w:ascii="Times New Roman"/>
          <w:sz w:val="30"/>
        </w:rPr>
        <w:t>第</w:t>
      </w:r>
      <w:r>
        <w:rPr>
          <w:rFonts w:hint="eastAsia" w:ascii="Times New Roman"/>
          <w:sz w:val="30"/>
        </w:rPr>
        <w:t>三条</w:t>
      </w:r>
      <w:r>
        <w:rPr>
          <w:rFonts w:ascii="Times New Roman"/>
          <w:sz w:val="30"/>
        </w:rPr>
        <w:t xml:space="preserve">  </w:t>
      </w:r>
      <w:bookmarkStart w:id="18" w:name="_Toc79392573"/>
      <w:r>
        <w:rPr>
          <w:rFonts w:hint="eastAsia" w:ascii="Times New Roman"/>
          <w:sz w:val="30"/>
        </w:rPr>
        <w:t>理财产品的认购</w:t>
      </w:r>
      <w:bookmarkEnd w:id="12"/>
      <w:bookmarkEnd w:id="13"/>
      <w:bookmarkEnd w:id="14"/>
      <w:bookmarkEnd w:id="15"/>
      <w:bookmarkEnd w:id="16"/>
      <w:bookmarkEnd w:id="17"/>
    </w:p>
    <w:p w14:paraId="6F34FFAA">
      <w:pPr>
        <w:spacing w:line="360" w:lineRule="auto"/>
        <w:ind w:firstLine="361" w:firstLineChars="200"/>
        <w:rPr>
          <w:rFonts w:asciiTheme="minorEastAsia" w:hAnsiTheme="minorEastAsia"/>
          <w:b/>
          <w:bCs/>
          <w:sz w:val="18"/>
          <w:szCs w:val="18"/>
        </w:rPr>
      </w:pPr>
      <w:bookmarkStart w:id="19" w:name="_Hlt88031774"/>
      <w:bookmarkEnd w:id="19"/>
      <w:bookmarkStart w:id="20" w:name="_Hlt88031741"/>
      <w:r>
        <w:rPr>
          <w:rFonts w:hint="eastAsia" w:asciiTheme="minorEastAsia" w:hAnsiTheme="minorEastAsia"/>
          <w:b/>
          <w:bCs/>
          <w:sz w:val="18"/>
          <w:szCs w:val="18"/>
        </w:rPr>
        <w:t>（一）理财产品的认购</w:t>
      </w:r>
    </w:p>
    <w:p w14:paraId="234F29E8">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48EEBD08">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68AD2AAB">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300B458E">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6CF8BE33">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57C14A9A">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09717C3C">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84"/>
        <w:gridCol w:w="4267"/>
        <w:gridCol w:w="1610"/>
      </w:tblGrid>
      <w:tr w14:paraId="7CA32A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35C4AB51">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6C6D876D">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03851BC7">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5E1E10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0A94306E">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7F2996D7">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w:t>
            </w:r>
            <w:r>
              <w:rPr>
                <w:rFonts w:hint="eastAsia" w:cs="Times New Roman" w:asciiTheme="minorEastAsia" w:hAnsiTheme="minorEastAsia" w:eastAsiaTheme="minorEastAsia"/>
                <w:bCs/>
                <w:sz w:val="18"/>
                <w:szCs w:val="18"/>
              </w:rPr>
              <w:t>，并登记理财份额</w:t>
            </w:r>
            <w:r>
              <w:rPr>
                <w:rFonts w:hint="eastAsia" w:cs="Times New Roman" w:asciiTheme="minorEastAsia" w:hAnsiTheme="minorEastAsia"/>
                <w:bCs/>
                <w:kern w:val="0"/>
                <w:sz w:val="18"/>
                <w:szCs w:val="18"/>
              </w:rPr>
              <w:t>。</w:t>
            </w:r>
          </w:p>
        </w:tc>
        <w:tc>
          <w:tcPr>
            <w:tcW w:w="1610" w:type="dxa"/>
            <w:vAlign w:val="center"/>
          </w:tcPr>
          <w:p w14:paraId="3B83ABDA">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05621656">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w:t>
      </w:r>
      <w:r>
        <w:rPr>
          <w:rFonts w:hint="eastAsia" w:asciiTheme="minorEastAsia" w:hAnsiTheme="minorEastAsia" w:eastAsiaTheme="minorEastAsia"/>
          <w:sz w:val="18"/>
          <w:szCs w:val="18"/>
        </w:rPr>
        <w:t>，</w:t>
      </w:r>
      <w:r>
        <w:rPr>
          <w:rFonts w:hint="eastAsia" w:asciiTheme="majorEastAsia" w:hAnsiTheme="majorEastAsia" w:eastAsiaTheme="majorEastAsia"/>
          <w:sz w:val="18"/>
          <w:szCs w:val="18"/>
        </w:rPr>
        <w:t>是否成功以管理人的确认结果为准</w:t>
      </w:r>
      <w:r>
        <w:rPr>
          <w:rFonts w:hint="eastAsia" w:asciiTheme="minorEastAsia" w:hAnsiTheme="minorEastAsia" w:eastAsiaTheme="minorEastAsia"/>
          <w:sz w:val="18"/>
          <w:szCs w:val="18"/>
        </w:rPr>
        <w:t>。</w:t>
      </w:r>
    </w:p>
    <w:p w14:paraId="3BA53BB5">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73D64875">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60DBA102">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1F63DA9D">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333E73D0">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p>
    <w:p w14:paraId="187E845C">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56FE9A08">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066AC0D3">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2D2190DD">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14:paraId="518C0703">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34974FE0">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10B2197F">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24212C2A">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110D6BCD">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4F8123AB">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28159A97">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14:paraId="2B129E5F">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13B96DC1">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0A5D5596">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6C3EBD52">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566BCCDB">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332BE4F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4382057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5A2AA57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4CB6A3B0">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25017607">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7FC14E5F">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4BAC90F9">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0B098637">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2D5CDDDC">
      <w:pPr>
        <w:spacing w:line="360" w:lineRule="auto"/>
        <w:ind w:firstLine="360" w:firstLineChars="200"/>
        <w:rPr>
          <w:rFonts w:asciiTheme="minorEastAsia" w:hAnsiTheme="minorEastAsia"/>
          <w:bCs/>
          <w:sz w:val="18"/>
          <w:szCs w:val="18"/>
        </w:rPr>
      </w:pPr>
    </w:p>
    <w:p w14:paraId="0528C0BA">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14:paraId="3992D19E">
      <w:pPr>
        <w:pStyle w:val="2"/>
        <w:spacing w:before="0" w:after="0" w:line="360" w:lineRule="auto"/>
        <w:jc w:val="center"/>
        <w:rPr>
          <w:rFonts w:ascii="Times New Roman"/>
          <w:sz w:val="30"/>
        </w:rPr>
      </w:pPr>
      <w:bookmarkStart w:id="21" w:name="_Toc16237"/>
      <w:bookmarkStart w:id="22" w:name="_Toc27778"/>
      <w:bookmarkStart w:id="23" w:name="_Toc18500"/>
      <w:bookmarkStart w:id="24" w:name="_Toc92377133"/>
      <w:bookmarkStart w:id="25" w:name="_Toc79154667"/>
      <w:bookmarkStart w:id="26" w:name="_Toc103260531"/>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21"/>
      <w:bookmarkEnd w:id="22"/>
      <w:bookmarkEnd w:id="23"/>
      <w:bookmarkEnd w:id="24"/>
      <w:bookmarkEnd w:id="25"/>
      <w:bookmarkEnd w:id="26"/>
    </w:p>
    <w:bookmarkEnd w:id="20"/>
    <w:p w14:paraId="60BCDFBC">
      <w:pPr>
        <w:spacing w:line="360" w:lineRule="auto"/>
        <w:ind w:firstLine="420" w:firstLineChars="200"/>
      </w:pPr>
    </w:p>
    <w:p w14:paraId="657BC07F">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14:paraId="09213A22">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14:paraId="67D8FF12">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14:paraId="720DACC6">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2.申购的方式</w:t>
      </w:r>
    </w:p>
    <w:p w14:paraId="531F4F8E">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7866624A">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14:paraId="69DA24CC">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14:paraId="59D90C13">
      <w:pPr>
        <w:pStyle w:val="34"/>
        <w:spacing w:line="360" w:lineRule="auto"/>
        <w:ind w:firstLine="361" w:firstLineChars="200"/>
        <w:rPr>
          <w:rFonts w:asciiTheme="minorEastAsia" w:hAnsiTheme="minorEastAsia" w:eastAsiaTheme="minorEastAsia"/>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14:paraId="0FBC2B4F">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14:paraId="1C93657A">
      <w:pPr>
        <w:pStyle w:val="34"/>
        <w:spacing w:line="360" w:lineRule="auto"/>
        <w:ind w:firstLine="360" w:firstLineChars="200"/>
        <w:rPr>
          <w:rFonts w:asciiTheme="minorEastAsia" w:hAnsiTheme="minorEastAsia" w:eastAsiaTheme="minorEastAsia"/>
          <w:bCs/>
          <w:color w:val="auto"/>
          <w:sz w:val="18"/>
          <w:szCs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14:paraId="49A1C072">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14:paraId="1368670B">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申购价格为申购日的产品份额净值。</w:t>
      </w:r>
    </w:p>
    <w:p w14:paraId="2724AEA3">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14:paraId="2806D44E">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7FEFCB84">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14:paraId="41E005EF">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14:paraId="24BEAED6">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w:t>
      </w:r>
      <w:r>
        <w:rPr>
          <w:rFonts w:asciiTheme="minorEastAsia" w:hAnsiTheme="minorEastAsia"/>
          <w:bCs/>
          <w:color w:val="auto"/>
          <w:sz w:val="18"/>
          <w:szCs w:val="18"/>
        </w:rPr>
        <w:t>=申购金额/（1+申购费率）</w:t>
      </w:r>
    </w:p>
    <w:p w14:paraId="1241548F">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w:t>
      </w:r>
      <w:r>
        <w:rPr>
          <w:rFonts w:asciiTheme="minorEastAsia" w:hAnsiTheme="minorEastAsia"/>
          <w:bCs/>
          <w:color w:val="auto"/>
          <w:sz w:val="18"/>
          <w:szCs w:val="18"/>
        </w:rPr>
        <w:t>=申购金额－净申购金额</w:t>
      </w:r>
    </w:p>
    <w:p w14:paraId="1F4D93DF">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w:t>
      </w:r>
      <w:r>
        <w:rPr>
          <w:rFonts w:asciiTheme="minorEastAsia" w:hAnsiTheme="minorEastAsia"/>
          <w:bCs/>
          <w:color w:val="auto"/>
          <w:sz w:val="18"/>
          <w:szCs w:val="18"/>
        </w:rPr>
        <w:t>=净申购金额/申购日产品份额净值</w:t>
      </w:r>
    </w:p>
    <w:p w14:paraId="34DF6E7B">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14:paraId="7A641591">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14:paraId="5B56DAD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07F19FE1">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14:paraId="707A3EC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5B5F3275">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14:paraId="0B5A08CD">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14:paraId="407717A0">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14:paraId="79FF4E43">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2.赎回的方式</w:t>
      </w:r>
    </w:p>
    <w:p w14:paraId="660F181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14:paraId="3094C35C">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14:paraId="0BDFCD7E">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14:paraId="0815E63A">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14:paraId="10DEFE80">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14:paraId="60E110D7">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14:paraId="77FC6591">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14:paraId="7DE9E95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bCs/>
          <w:color w:val="auto"/>
          <w:sz w:val="18"/>
          <w:szCs w:val="18"/>
        </w:rPr>
        <w:t>赎回</w:t>
      </w:r>
      <w:r>
        <w:rPr>
          <w:rFonts w:asciiTheme="majorEastAsia" w:hAnsiTheme="majorEastAsia" w:eastAsiaTheme="majorEastAsia"/>
          <w:bCs/>
          <w:color w:val="auto"/>
          <w:sz w:val="18"/>
          <w:szCs w:val="18"/>
        </w:rPr>
        <w:t>价格为赎回日</w:t>
      </w:r>
      <w:r>
        <w:rPr>
          <w:rFonts w:hint="eastAsia" w:asciiTheme="majorEastAsia" w:hAnsiTheme="majorEastAsia" w:eastAsiaTheme="majorEastAsia"/>
          <w:bCs/>
          <w:color w:val="auto"/>
          <w:sz w:val="18"/>
          <w:szCs w:val="18"/>
        </w:rPr>
        <w:t>的</w:t>
      </w:r>
      <w:r>
        <w:rPr>
          <w:rFonts w:asciiTheme="majorEastAsia" w:hAnsiTheme="majorEastAsia" w:eastAsiaTheme="majorEastAsia"/>
          <w:bCs/>
          <w:color w:val="auto"/>
          <w:sz w:val="18"/>
          <w:szCs w:val="18"/>
        </w:rPr>
        <w:t>产品份额净值</w:t>
      </w:r>
      <w:r>
        <w:rPr>
          <w:rFonts w:hint="eastAsia" w:asciiTheme="majorEastAsia" w:hAnsiTheme="majorEastAsia" w:eastAsiaTheme="majorEastAsia"/>
          <w:bCs/>
          <w:color w:val="auto"/>
          <w:sz w:val="18"/>
          <w:szCs w:val="18"/>
        </w:rPr>
        <w:t>。</w:t>
      </w:r>
    </w:p>
    <w:p w14:paraId="2E45B209">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14:paraId="1F9E375A">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bCs/>
          <w:sz w:val="18"/>
          <w:szCs w:val="18"/>
        </w:rPr>
        <w:t>。</w:t>
      </w:r>
    </w:p>
    <w:p w14:paraId="35E88088">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14:paraId="114A7B87">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14:paraId="0F1D46F4">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w:t>
      </w:r>
      <w:r>
        <w:rPr>
          <w:rFonts w:asciiTheme="majorEastAsia" w:hAnsiTheme="majorEastAsia" w:eastAsiaTheme="majorEastAsia"/>
          <w:color w:val="auto"/>
          <w:sz w:val="18"/>
          <w:szCs w:val="18"/>
        </w:rPr>
        <w:t>=赎回份额×赎回日该产品份额净值</w:t>
      </w:r>
    </w:p>
    <w:p w14:paraId="2D6A6C0C">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w:t>
      </w:r>
      <w:r>
        <w:rPr>
          <w:rFonts w:asciiTheme="majorEastAsia" w:hAnsiTheme="majorEastAsia" w:eastAsiaTheme="majorEastAsia"/>
          <w:color w:val="auto"/>
          <w:sz w:val="18"/>
          <w:szCs w:val="18"/>
        </w:rPr>
        <w:t>=赎回总金额×赎回费率</w:t>
      </w:r>
    </w:p>
    <w:p w14:paraId="50F33B75">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w:t>
      </w:r>
      <w:r>
        <w:rPr>
          <w:rFonts w:asciiTheme="majorEastAsia" w:hAnsiTheme="majorEastAsia" w:eastAsiaTheme="majorEastAsia"/>
          <w:color w:val="auto"/>
          <w:sz w:val="18"/>
          <w:szCs w:val="18"/>
        </w:rPr>
        <w:t>=赎回总金额-赎回费用</w:t>
      </w:r>
    </w:p>
    <w:p w14:paraId="0DA5806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14:paraId="5CD58838">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14:paraId="2B732728">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w:t>
      </w:r>
      <w:r>
        <w:rPr>
          <w:rFonts w:asciiTheme="minorEastAsia" w:hAnsiTheme="minorEastAsia" w:eastAsiaTheme="minorEastAsia"/>
          <w:color w:val="auto"/>
          <w:sz w:val="18"/>
          <w:szCs w:val="18"/>
        </w:rPr>
        <w:t xml:space="preserve"> </w:t>
      </w:r>
      <w:r>
        <w:rPr>
          <w:rFonts w:hint="eastAsia" w:asciiTheme="minorEastAsia" w:hAnsiTheme="minorEastAsia" w:eastAsiaTheme="minorEastAsia"/>
          <w:color w:val="auto"/>
          <w:sz w:val="18"/>
          <w:szCs w:val="18"/>
        </w:rPr>
        <w:t>理财产品基本情况”。</w:t>
      </w:r>
    </w:p>
    <w:p w14:paraId="30E7E0FB">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14:paraId="493C39A4">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14:paraId="56BE8588">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未知价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原则，即本产品申购申请和赎回申请提交时，适用的产品份额净值都是未知的。</w:t>
      </w:r>
    </w:p>
    <w:p w14:paraId="388EA87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申请可以在对应申购</w:t>
      </w:r>
      <w:r>
        <w:rPr>
          <w:rFonts w:hint="eastAsia" w:asciiTheme="majorEastAsia" w:hAnsiTheme="majorEastAsia" w:eastAsiaTheme="majorEastAsia"/>
          <w:color w:val="auto"/>
          <w:sz w:val="18"/>
          <w:szCs w:val="18"/>
        </w:rPr>
        <w:t>日、</w:t>
      </w:r>
      <w:r>
        <w:rPr>
          <w:rFonts w:asciiTheme="majorEastAsia" w:hAnsiTheme="majorEastAsia" w:eastAsiaTheme="majorEastAsia"/>
          <w:color w:val="auto"/>
          <w:sz w:val="18"/>
          <w:szCs w:val="18"/>
        </w:rPr>
        <w:t>赎回</w:t>
      </w:r>
      <w:r>
        <w:rPr>
          <w:rFonts w:hint="eastAsia" w:asciiTheme="majorEastAsia" w:hAnsiTheme="majorEastAsia" w:eastAsiaTheme="majorEastAsia"/>
          <w:color w:val="auto"/>
          <w:sz w:val="18"/>
          <w:szCs w:val="18"/>
        </w:rPr>
        <w:t>日交易时间截止</w:t>
      </w:r>
      <w:r>
        <w:rPr>
          <w:rFonts w:asciiTheme="majorEastAsia" w:hAnsiTheme="majorEastAsia" w:eastAsiaTheme="majorEastAsia"/>
          <w:color w:val="auto"/>
          <w:sz w:val="18"/>
          <w:szCs w:val="18"/>
        </w:rPr>
        <w:t>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62661FE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赎回遵循“先进先出”原则，即按照投资者认购、申购的先后次序进行顺序赎回。</w:t>
      </w:r>
    </w:p>
    <w:p w14:paraId="1196EB0F">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14:paraId="77472459">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14:paraId="0BB8DB3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27007E5D">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14:paraId="53ECA0C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70F9096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14:paraId="0E6E939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14:paraId="78D81AD8">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14:paraId="63B30279">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53301C4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14:paraId="565CFF30">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14:paraId="2E22AF90">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14:paraId="2EC9EE76">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14:paraId="0F5F496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14:paraId="2E01E87B">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14:paraId="3CB7D78E">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14:paraId="76D7A4B9">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14:paraId="5ADD8D9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14:paraId="2A68A19E">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14:paraId="1CE01BC1">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14:paraId="77918178">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14:paraId="6B96578A">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14:paraId="74092D26">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14:paraId="000E527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14:paraId="69EDDB48">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14:paraId="0E7A9C07">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14:paraId="5A7CC622">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6B24DF5D">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14:paraId="12F1CB06">
      <w:pPr>
        <w:widowControl/>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出现巨额赎回时，产品管理人有权决定：（1）</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2）延缓支付赎回款项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w:t>
      </w:r>
      <w:r>
        <w:rPr>
          <w:rFonts w:asciiTheme="minorEastAsia" w:hAnsiTheme="minorEastAsia"/>
          <w:bCs/>
          <w:sz w:val="18"/>
          <w:szCs w:val="18"/>
        </w:rPr>
        <w:t>3</w:t>
      </w:r>
      <w:r>
        <w:rPr>
          <w:rFonts w:hint="eastAsia" w:asciiTheme="minorEastAsia" w:hAnsiTheme="minorEastAsia"/>
          <w:bCs/>
          <w:sz w:val="18"/>
          <w:szCs w:val="18"/>
        </w:rPr>
        <w:t>）理财产品连续两个开放日（含）发生因巨额赎回导致拒绝赎回情况的，产品管理人可暂停接受投资者的赎回申请。投资者根据产品管理人披露的开放日可重新进行申购和赎回。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）法律法规规定或监管机构规定的其他措施。</w:t>
      </w:r>
    </w:p>
    <w:p w14:paraId="4D566549">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14:paraId="68CEB402">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14:paraId="40E19ED1">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14:paraId="686EF327">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14:paraId="253DC281">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14:paraId="441C5C54">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662FC20A">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18"/>
    <w:p w14:paraId="00FB3646">
      <w:pPr>
        <w:pStyle w:val="2"/>
        <w:spacing w:before="0" w:after="0" w:line="360" w:lineRule="auto"/>
        <w:jc w:val="center"/>
        <w:rPr>
          <w:rFonts w:ascii="Times New Roman"/>
          <w:sz w:val="30"/>
        </w:rPr>
      </w:pPr>
      <w:bookmarkStart w:id="27" w:name="_Toc79154668"/>
      <w:bookmarkStart w:id="28" w:name="_Toc74065741"/>
      <w:bookmarkStart w:id="29" w:name="_Toc103260532"/>
      <w:bookmarkStart w:id="30" w:name="_Toc25928"/>
      <w:bookmarkStart w:id="31" w:name="_Toc27189"/>
      <w:bookmarkStart w:id="32" w:name="_Toc90742688"/>
      <w:bookmarkStart w:id="33" w:name="_Toc7151"/>
      <w:bookmarkStart w:id="34" w:name="_Toc22074"/>
      <w:bookmarkStart w:id="35" w:name="_Toc29948"/>
      <w:bookmarkStart w:id="36" w:name="_Toc6714"/>
      <w:bookmarkStart w:id="37" w:name="_Toc16265"/>
      <w:bookmarkStart w:id="38" w:name="_Toc27226"/>
      <w:bookmarkStart w:id="39" w:name="_Toc24347"/>
      <w:bookmarkStart w:id="40" w:name="_Toc90742321"/>
      <w:bookmarkStart w:id="41" w:name="_Toc92377134"/>
      <w:bookmarkStart w:id="42" w:name="_Toc90742390"/>
      <w:bookmarkStart w:id="43" w:name="_Toc3266"/>
      <w:bookmarkStart w:id="44" w:name="_Toc15203"/>
      <w:bookmarkStart w:id="45" w:name="_Toc29784"/>
      <w:bookmarkStart w:id="46" w:name="_Toc20838"/>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E817A5D">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2DC3312E">
      <w:pPr>
        <w:pStyle w:val="34"/>
        <w:spacing w:line="360" w:lineRule="auto"/>
        <w:ind w:firstLine="360" w:firstLineChars="200"/>
        <w:rPr>
          <w:rFonts w:asciiTheme="majorEastAsia" w:hAnsiTheme="majorEastAsia" w:eastAsiaTheme="majorEastAsia"/>
          <w:color w:val="auto"/>
          <w:sz w:val="18"/>
          <w:szCs w:val="18"/>
        </w:rPr>
      </w:pPr>
      <w:permStart w:id="14" w:edGrp="everyone"/>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ermEnd w:id="14"/>
    <w:p w14:paraId="20C7A10A">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66D02CDB">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15D266A4">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14:paraId="546EEAF0">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permStart w:id="15" w:edGrp="everyone"/>
      <w:r>
        <w:rPr>
          <w:rFonts w:hint="eastAsia" w:asciiTheme="majorEastAsia" w:hAnsiTheme="majorEastAsia" w:eastAsiaTheme="majorEastAsia"/>
          <w:bCs/>
          <w:sz w:val="18"/>
          <w:szCs w:val="18"/>
        </w:rPr>
        <w:t>（1）银行存款、债券逆回购、货币基金等货币市场工具及其它银行间和交易所资金融通工具。</w:t>
      </w:r>
    </w:p>
    <w:p w14:paraId="6AE2A06B">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等银行间和交易所市场债券及债务融资工具，以及其他固定收益类投资工具等。</w:t>
      </w:r>
    </w:p>
    <w:p w14:paraId="2D7460FD">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（3）投资于上述资产的符合监管要求的公募基金、基金公司或子公司资产管理计划、证券公司资产管理计划、保险资产管理计划及信托计划等。</w:t>
      </w:r>
    </w:p>
    <w:p w14:paraId="028A8BC8">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（4）本产品不投资于非标准化债权类资产、不投资于权益类资产、不投资于商品和金融衍生品类资产。</w:t>
      </w:r>
    </w:p>
    <w:permEnd w:id="15"/>
    <w:p w14:paraId="38FE8A19">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105927C1">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14:paraId="14C9D1F6">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本产品100%投资于债权类资产。</w:t>
      </w:r>
    </w:p>
    <w:permEnd w:id="16"/>
    <w:p w14:paraId="5CFD020E">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13CBB9AA">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.如果法律法规对本销售文件约定投资组合比例限制进行变更的，以变更后的规定为准。</w:t>
      </w:r>
    </w:p>
    <w:p w14:paraId="7DBAD7ED">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2FA6B170">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67A8D25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3EE87622">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14:paraId="0DAAB76C">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166B8949">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14:paraId="24BC8C94">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7666EBAD">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kern w:val="0"/>
          <w:sz w:val="18"/>
          <w:szCs w:val="18"/>
        </w:rPr>
        <w:t>（1）每只公募理财产品投资单只证券或者单只公募证券投资基金的市值不得超过该理财产品净资产的10%。</w:t>
      </w:r>
    </w:p>
    <w:p w14:paraId="643E2724">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14:paraId="1B2B4B55">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（3）每只开放式公募理财产品直接投资于流动性受限资产的市值在开放日不得超过该产品资产净值的15%。</w:t>
      </w:r>
    </w:p>
    <w:p w14:paraId="0C1E66D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14:paraId="2F330E21">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14:paraId="2F8060D3">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 xml:space="preserve">（5）每只开放式理财产品每日确认且需当日支付的净赎回申请不超过前一工作日产品7个工作日可变现资产的可变现价值，银保监会另有规定的除外。在开放日前一工作日内，每只开放式理财产品7个工作日可变现资产的可变现价值应当不低于该产品资产净值的10%。 </w:t>
      </w:r>
    </w:p>
    <w:p w14:paraId="5B0077BC">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（6）本产品因为流动性需要可开展存单质押、债券正回购等融资业务，本产品总资产不超过净资产的140%。</w:t>
      </w:r>
    </w:p>
    <w:p w14:paraId="4B76BFC1">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（7）本产品投资不存在活跃交易市场，并且需要采用估值技术确定公允价值的资产占理财产品净资产的比例低于50%。</w:t>
      </w:r>
    </w:p>
    <w:p w14:paraId="35363938">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14:paraId="77E5489D">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14:paraId="1F98FB12">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7C839FEB">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665F7C8B">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0C9E8618">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5AA8C040">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534DE92F">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14:paraId="2148191F">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6D935F3C">
      <w:pPr>
        <w:pStyle w:val="34"/>
        <w:spacing w:line="360" w:lineRule="auto"/>
        <w:ind w:firstLine="360" w:firstLineChars="200"/>
        <w:rPr>
          <w:rFonts w:asciiTheme="majorEastAsia" w:hAnsiTheme="majorEastAsia" w:eastAsiaTheme="majorEastAsia"/>
          <w:bCs/>
          <w:sz w:val="18"/>
          <w:szCs w:val="18"/>
        </w:rPr>
      </w:pPr>
      <w:permStart w:id="19"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 】</w:t>
      </w:r>
    </w:p>
    <w:permEnd w:id="19"/>
    <w:p w14:paraId="3819ED7C">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14:paraId="41118D94">
      <w:pPr>
        <w:pStyle w:val="2"/>
        <w:spacing w:before="0" w:after="0" w:line="360" w:lineRule="auto"/>
        <w:jc w:val="center"/>
        <w:rPr>
          <w:rFonts w:ascii="Times New Roman"/>
          <w:sz w:val="30"/>
        </w:rPr>
      </w:pPr>
      <w:bookmarkStart w:id="47" w:name="_Toc26100"/>
      <w:bookmarkStart w:id="48" w:name="_Toc141703885"/>
      <w:bookmarkStart w:id="49" w:name="_Toc26986"/>
      <w:bookmarkStart w:id="50" w:name="_Toc18526"/>
      <w:bookmarkStart w:id="51" w:name="_Toc92377135"/>
      <w:bookmarkStart w:id="52" w:name="_Toc79154669"/>
      <w:bookmarkStart w:id="53" w:name="_Toc17912"/>
      <w:bookmarkStart w:id="54" w:name="_Toc7848"/>
      <w:bookmarkStart w:id="55" w:name="_Toc103260533"/>
      <w:bookmarkStart w:id="56" w:name="_Toc14893"/>
      <w:bookmarkStart w:id="57" w:name="_Toc18329"/>
      <w:bookmarkStart w:id="58" w:name="_Toc139991735"/>
      <w:bookmarkStart w:id="59" w:name="_Toc4741"/>
      <w:bookmarkStart w:id="60" w:name="_Toc20302"/>
      <w:bookmarkStart w:id="61" w:name="_Toc1823"/>
      <w:bookmarkStart w:id="62" w:name="_Toc74065742"/>
      <w:bookmarkStart w:id="63" w:name="_Toc18797"/>
      <w:bookmarkStart w:id="64" w:name="_Toc16372"/>
      <w:bookmarkStart w:id="65" w:name="_Toc21988"/>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D206F9B">
      <w:pPr>
        <w:pStyle w:val="34"/>
        <w:spacing w:line="360" w:lineRule="auto"/>
        <w:ind w:firstLine="361" w:firstLineChars="200"/>
        <w:rPr>
          <w:rFonts w:asciiTheme="majorEastAsia" w:hAnsiTheme="majorEastAsia" w:eastAsiaTheme="majorEastAsia"/>
          <w:b/>
          <w:color w:val="auto"/>
          <w:sz w:val="18"/>
          <w:szCs w:val="18"/>
        </w:rPr>
      </w:pPr>
      <w:bookmarkStart w:id="66" w:name="_Hlk490214295"/>
      <w:r>
        <w:rPr>
          <w:rFonts w:hint="eastAsia" w:asciiTheme="majorEastAsia" w:hAnsiTheme="majorEastAsia" w:eastAsiaTheme="majorEastAsia"/>
          <w:b/>
          <w:color w:val="auto"/>
          <w:sz w:val="18"/>
          <w:szCs w:val="18"/>
        </w:rPr>
        <w:t>（一）理财产品的资产的保管和处分</w:t>
      </w:r>
    </w:p>
    <w:p w14:paraId="7607D06A">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2AFAFE59">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22B36AB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2A70AA75">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04BE9D31">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0C0ED51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42915C70">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66"/>
    <w:p w14:paraId="3F10D151">
      <w:pPr>
        <w:pStyle w:val="2"/>
        <w:spacing w:before="0" w:after="0" w:line="360" w:lineRule="auto"/>
        <w:jc w:val="center"/>
        <w:rPr>
          <w:rFonts w:ascii="Times New Roman"/>
          <w:sz w:val="28"/>
          <w:szCs w:val="28"/>
        </w:rPr>
      </w:pPr>
      <w:bookmarkStart w:id="67" w:name="_Toc83391971"/>
      <w:bookmarkStart w:id="68" w:name="_Toc11569"/>
      <w:bookmarkStart w:id="69" w:name="_Toc10138"/>
      <w:bookmarkStart w:id="70" w:name="_Toc12709"/>
      <w:bookmarkStart w:id="71" w:name="_Toc92377136"/>
      <w:bookmarkStart w:id="72" w:name="_Toc103260534"/>
      <w:bookmarkStart w:id="73" w:name="_Toc7920"/>
      <w:bookmarkStart w:id="74" w:name="_Toc139991736"/>
      <w:bookmarkStart w:id="75" w:name="_Toc1427"/>
      <w:bookmarkStart w:id="76" w:name="_Toc123102453"/>
      <w:bookmarkStart w:id="77" w:name="_Toc123112234"/>
      <w:bookmarkStart w:id="78" w:name="_Toc79154670"/>
      <w:bookmarkStart w:id="79" w:name="_Toc74065743"/>
      <w:bookmarkStart w:id="80" w:name="_Toc23261"/>
      <w:bookmarkStart w:id="81" w:name="_Toc141703886"/>
      <w:bookmarkStart w:id="82" w:name="_Toc20733"/>
      <w:bookmarkStart w:id="83" w:name="_Toc98560352"/>
      <w:bookmarkStart w:id="84" w:name="_Toc17244"/>
      <w:bookmarkStart w:id="85" w:name="_Toc1270"/>
      <w:bookmarkStart w:id="86" w:name="_Toc123051452"/>
      <w:bookmarkStart w:id="87" w:name="_Toc79392606"/>
      <w:bookmarkStart w:id="88" w:name="_Toc610"/>
      <w:bookmarkStart w:id="89" w:name="_Toc4003"/>
      <w:bookmarkStart w:id="90" w:name="_Toc23822"/>
      <w:bookmarkStart w:id="91" w:name="_Toc48649707"/>
      <w:bookmarkStart w:id="92" w:name="_Toc10463"/>
      <w:r>
        <w:rPr>
          <w:rFonts w:hint="eastAsia" w:ascii="Times New Roman"/>
          <w:sz w:val="28"/>
          <w:szCs w:val="28"/>
        </w:rPr>
        <w:t>第七条</w:t>
      </w:r>
      <w:r>
        <w:rPr>
          <w:rFonts w:ascii="Times New Roman"/>
          <w:sz w:val="28"/>
          <w:szCs w:val="28"/>
        </w:rPr>
        <w:t xml:space="preserve">  </w:t>
      </w:r>
      <w:r>
        <w:rPr>
          <w:rFonts w:hint="eastAsia" w:ascii="Times New Roman"/>
          <w:sz w:val="28"/>
          <w:szCs w:val="28"/>
        </w:rPr>
        <w:t>理财产品项下资产的估值</w:t>
      </w:r>
      <w:bookmarkEnd w:id="67"/>
      <w:bookmarkEnd w:id="68"/>
      <w:bookmarkEnd w:id="69"/>
      <w:bookmarkEnd w:id="70"/>
      <w:bookmarkEnd w:id="71"/>
      <w:bookmarkEnd w:id="72"/>
    </w:p>
    <w:p w14:paraId="4F1BFD24">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668240A9">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（一）估值目的</w:t>
      </w:r>
    </w:p>
    <w:p w14:paraId="62CFF83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理财资产估值的目的是客观、准确地反映理财资产是否保值、增值。</w:t>
      </w:r>
    </w:p>
    <w:p w14:paraId="76E6A7D6">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（二）估值频率</w:t>
      </w:r>
    </w:p>
    <w:p w14:paraId="41AFAEE6">
      <w:pPr>
        <w:pStyle w:val="20"/>
        <w:spacing w:line="360" w:lineRule="auto"/>
        <w:ind w:firstLine="360" w:firstLineChars="200"/>
        <w:rPr>
          <w:rFonts w:asciiTheme="minorEastAsia" w:hAnsiTheme="minorEastAsia" w:eastAsiaTheme="minorEastAsia"/>
          <w:color w:val="2E3033"/>
          <w:sz w:val="18"/>
          <w:szCs w:val="18"/>
        </w:rPr>
      </w:pPr>
      <w:permStart w:id="20" w:edGrp="everyone"/>
      <w:r>
        <w:rPr>
          <w:rFonts w:hint="eastAsia"/>
          <w:sz w:val="18"/>
          <w:szCs w:val="18"/>
        </w:rPr>
        <w:t>本产品存续期间，每【</w:t>
      </w:r>
      <w:r>
        <w:rPr>
          <w:rFonts w:hint="eastAsia"/>
          <w:sz w:val="18"/>
          <w:szCs w:val="18"/>
          <w:lang w:val="en-US" w:eastAsia="zh-CN"/>
        </w:rPr>
        <w:t>周</w:t>
      </w:r>
      <w:r>
        <w:rPr>
          <w:rFonts w:hint="eastAsia"/>
          <w:sz w:val="18"/>
          <w:szCs w:val="18"/>
        </w:rPr>
        <w:t>】进行一次估值。如遇产品申购日/赎回日、季度末、半年度末、年度末等时间节点管理人将增加估值日。</w:t>
      </w:r>
    </w:p>
    <w:permEnd w:id="20"/>
    <w:p w14:paraId="2A4B4DE0">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（三）估值对象</w:t>
      </w:r>
    </w:p>
    <w:p w14:paraId="6F2759D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本产品所拥有的各类证券、资产管理产品、银行存款、应收款项、其它投资等资产及负债。</w:t>
      </w:r>
    </w:p>
    <w:p w14:paraId="0875B908">
      <w:pPr>
        <w:pStyle w:val="34"/>
        <w:spacing w:line="360" w:lineRule="auto"/>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（四）估值方法</w:t>
      </w:r>
    </w:p>
    <w:p w14:paraId="27718B06">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w:t>
      </w:r>
      <w:r>
        <w:rPr>
          <w:rFonts w:hint="eastAsia" w:asciiTheme="minorEastAsia" w:hAnsiTheme="minorEastAsia" w:eastAsiaTheme="minorEastAsia"/>
          <w:bCs/>
          <w:color w:val="auto"/>
          <w:sz w:val="18"/>
          <w:szCs w:val="18"/>
        </w:rPr>
        <w:t>标准化债权类资产估值</w:t>
      </w:r>
    </w:p>
    <w:p w14:paraId="67BB567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14:paraId="10F25932">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标准化债权类</w:t>
      </w:r>
      <w:r>
        <w:rPr>
          <w:rFonts w:asciiTheme="majorEastAsia" w:hAnsiTheme="majorEastAsia" w:eastAsiaTheme="majorEastAsia"/>
          <w:bCs/>
          <w:color w:val="auto"/>
          <w:sz w:val="18"/>
          <w:szCs w:val="18"/>
        </w:rPr>
        <w:t>资产以公允价值计量，主要依据为第三方估值机构提供的价格数据。</w:t>
      </w:r>
      <w:r>
        <w:rPr>
          <w:rFonts w:hint="eastAsia" w:asciiTheme="majorEastAsia" w:hAnsiTheme="majorEastAsia" w:eastAsiaTheme="majorEastAsia"/>
          <w:bCs/>
          <w:color w:val="auto"/>
          <w:sz w:val="18"/>
          <w:szCs w:val="18"/>
        </w:rPr>
        <w:t>第三方估值机构包括：中央国债登记结算公司和中证指数有限公司。</w:t>
      </w:r>
    </w:p>
    <w:p w14:paraId="33EAB1D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（2）对已发行但未上市流通，且第三方估值机构未提供估值数据的标准化债权类资产，采用当前情况下适用并且有足够可利用数据和其他信息支持的估值技术确定其公允价值。</w:t>
      </w:r>
    </w:p>
    <w:p w14:paraId="5E48942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asciiTheme="majorEastAsia" w:hAnsiTheme="majorEastAsia" w:eastAsiaTheme="majorEastAsia"/>
          <w:bCs/>
          <w:color w:val="auto"/>
          <w:sz w:val="18"/>
          <w:szCs w:val="18"/>
        </w:rPr>
        <w:t>所处的市场及相应的估值标准，分别进行估值。</w:t>
      </w:r>
    </w:p>
    <w:p w14:paraId="62A44B9B">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2.</w:t>
      </w:r>
      <w:r>
        <w:rPr>
          <w:rFonts w:hint="eastAsia" w:asciiTheme="minorEastAsia" w:hAnsiTheme="minorEastAsia" w:eastAsiaTheme="minorEastAsia"/>
          <w:bCs/>
          <w:color w:val="auto"/>
          <w:sz w:val="18"/>
          <w:szCs w:val="18"/>
        </w:rPr>
        <w:t>境外债券</w:t>
      </w:r>
    </w:p>
    <w:p w14:paraId="421872E2">
      <w:pPr>
        <w:pStyle w:val="34"/>
        <w:spacing w:line="360" w:lineRule="auto"/>
        <w:ind w:firstLine="360" w:firstLineChars="200"/>
        <w:rPr>
          <w:rFonts w:asciiTheme="majorEastAsia" w:hAnsi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14:paraId="6CC01806">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3.非标准化债权类资产</w:t>
      </w:r>
    </w:p>
    <w:p w14:paraId="40C3992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非标准化债权类资产，是指不满足中国人民银行制定的标准化债权类资产认定标准的债权类资产。可选取第三方估值机构的价格数据或采用估值技术进行估值。</w:t>
      </w:r>
    </w:p>
    <w:p w14:paraId="61454A31">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4.上市公司股票</w:t>
      </w:r>
      <w:r>
        <w:rPr>
          <w:rFonts w:hint="eastAsia" w:asciiTheme="minorEastAsia" w:hAnsiTheme="minorEastAsia" w:eastAsiaTheme="minorEastAsia"/>
          <w:bCs/>
          <w:color w:val="auto"/>
          <w:sz w:val="18"/>
          <w:szCs w:val="18"/>
        </w:rPr>
        <w:t>估值</w:t>
      </w:r>
    </w:p>
    <w:p w14:paraId="29C48604">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上市公司股票包括正常流通普通股、流通受限股票、长期停牌股票和新发行未上市股票。具体估值方法如下：</w:t>
      </w:r>
    </w:p>
    <w:p w14:paraId="2DF1F46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4570A7D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2）送股、转增股、配股和公开增发新股等发行未上市的股票，按估值日在证券交易所上市的同一股票的收盘价或最近交易日的收盘价确定公允价值。</w:t>
      </w:r>
    </w:p>
    <w:p w14:paraId="7C5AD51C">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3）通过公开、非公开等方式取得且有明确限售期的股票，在限售期内，应以证券交易所上市交易的同一股票的公允价值为基础，引入流动性折扣进行估值。</w:t>
      </w:r>
      <w:r>
        <w:rPr>
          <w:rFonts w:hint="eastAsia" w:asciiTheme="minorEastAsia" w:hAnsiTheme="minorEastAsia" w:eastAsiaTheme="minorEastAsia"/>
          <w:color w:val="auto"/>
          <w:sz w:val="18"/>
          <w:szCs w:val="18"/>
        </w:rPr>
        <w:t>流动性折扣可依据第三方估值机构提供的数据，或采用看跌期权法以及其他合理的估值方法分析确定。</w:t>
      </w:r>
    </w:p>
    <w:p w14:paraId="04B0EA10">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4）长期停牌股票，</w:t>
      </w:r>
      <w:r>
        <w:rPr>
          <w:rFonts w:hint="eastAsia" w:asciiTheme="minorEastAsia" w:hAnsiTheme="minorEastAsia" w:eastAsiaTheme="minorEastAsia"/>
          <w:color w:val="auto"/>
          <w:sz w:val="18"/>
          <w:szCs w:val="18"/>
        </w:rPr>
        <w:t>根据停牌原因、停牌时间及停牌公司公告等信息，采用估值技术确定公允价值。</w:t>
      </w:r>
    </w:p>
    <w:p w14:paraId="5B774C75">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5）</w:t>
      </w:r>
      <w:r>
        <w:rPr>
          <w:rFonts w:hint="eastAsia" w:asciiTheme="minorEastAsia" w:hAnsiTheme="minorEastAsia" w:eastAsiaTheme="minor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14:paraId="3ECDA726">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5.未上市公司股权</w:t>
      </w:r>
    </w:p>
    <w:p w14:paraId="5911B2DB">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asciiTheme="minorEastAsia" w:hAnsiTheme="minorEastAsia" w:eastAsiaTheme="minorEastAsia"/>
          <w:color w:val="auto"/>
          <w:sz w:val="18"/>
          <w:szCs w:val="18"/>
        </w:rPr>
        <w:t>。</w:t>
      </w:r>
    </w:p>
    <w:p w14:paraId="4E189475">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6.</w:t>
      </w:r>
      <w:r>
        <w:rPr>
          <w:rFonts w:hint="eastAsia" w:asciiTheme="minorEastAsia" w:hAnsiTheme="minorEastAsia" w:eastAsiaTheme="minorEastAsia"/>
          <w:bCs/>
          <w:color w:val="auto"/>
          <w:sz w:val="18"/>
          <w:szCs w:val="18"/>
        </w:rPr>
        <w:t>优先股</w:t>
      </w:r>
    </w:p>
    <w:p w14:paraId="50CC1E3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36CE9C6E">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7.</w:t>
      </w:r>
      <w:r>
        <w:rPr>
          <w:rFonts w:hint="eastAsia" w:asciiTheme="minorEastAsia" w:hAnsiTheme="minorEastAsia" w:eastAsiaTheme="minorEastAsia"/>
          <w:bCs/>
          <w:color w:val="auto"/>
          <w:sz w:val="18"/>
          <w:szCs w:val="18"/>
        </w:rPr>
        <w:t>证券投资基金估值</w:t>
      </w:r>
    </w:p>
    <w:p w14:paraId="28E193BB">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1）非上市基金估值</w:t>
      </w:r>
    </w:p>
    <w:p w14:paraId="02B6766B">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1)本产品投资的境内非货币市场基金，按所投资基金估值日的基金份额净值估值；估值日基金净值未公布的，以基金管理人最近公布的基金份额净值计算。</w:t>
      </w:r>
    </w:p>
    <w:p w14:paraId="6DEE5F4B">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14:paraId="615EFA0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2）上市基金估值</w:t>
      </w:r>
    </w:p>
    <w:p w14:paraId="587938BC">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1)本产品投资的ETF基金、境内上市定期开放式基金、封闭式基金，按照所投资基金估值日的收盘价估</w:t>
      </w:r>
      <w:r>
        <w:rPr>
          <w:rFonts w:hint="eastAsia" w:asciiTheme="minorEastAsia" w:hAnsiTheme="minorEastAsia" w:eastAsiaTheme="minorEastAsia"/>
          <w:color w:val="auto"/>
          <w:sz w:val="18"/>
          <w:szCs w:val="18"/>
        </w:rPr>
        <w:t>值；估值日无交易的，以最近交易日的收盘价估值。</w:t>
      </w:r>
    </w:p>
    <w:p w14:paraId="64F0FDF9">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2)本产品投资的境内上市开放式基金（LOF），按所投资基金估值日的基金份额净值估值；估值日基金净值未公布的，以基金管理人最近公布的基金份额净值计算。</w:t>
      </w:r>
    </w:p>
    <w:p w14:paraId="0B7C5714">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r>
        <w:rPr>
          <w:rFonts w:asciiTheme="minorEastAsia" w:hAnsiTheme="minorEastAsia" w:eastAsiaTheme="minorEastAsia"/>
          <w:color w:val="auto"/>
          <w:sz w:val="18"/>
          <w:szCs w:val="18"/>
        </w:rPr>
        <w:t>。</w:t>
      </w:r>
    </w:p>
    <w:p w14:paraId="305F9A59">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8.</w:t>
      </w:r>
      <w:r>
        <w:rPr>
          <w:rFonts w:hint="eastAsia" w:asciiTheme="minorEastAsia" w:hAnsiTheme="minorEastAsia" w:eastAsiaTheme="minorEastAsia"/>
          <w:bCs/>
          <w:color w:val="auto"/>
          <w:sz w:val="18"/>
          <w:szCs w:val="18"/>
        </w:rPr>
        <w:t>其他资产管理产品的估值</w:t>
      </w:r>
    </w:p>
    <w:p w14:paraId="2F105447">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其他资产管理产品，指理财产品投资的除证券投资基金以外的其他资产管理产品，主要包括：</w:t>
      </w:r>
      <w:r>
        <w:rPr>
          <w:rFonts w:hint="eastAsia" w:asciiTheme="minorEastAsia" w:hAnsiTheme="minorEastAsia" w:eastAsiaTheme="minorEastAsia"/>
          <w:bCs/>
          <w:sz w:val="18"/>
          <w:szCs w:val="18"/>
        </w:rPr>
        <w:t>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4300BEAE">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9.衍生金融工具估值</w:t>
      </w:r>
    </w:p>
    <w:p w14:paraId="7F143544">
      <w:pPr>
        <w:pStyle w:val="34"/>
        <w:spacing w:line="360" w:lineRule="auto"/>
        <w:ind w:firstLine="360" w:firstLineChars="200"/>
        <w:rPr>
          <w:rFonts w:cs="Times New Roman"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089CCC18">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r>
        <w:rPr>
          <w:rFonts w:asciiTheme="minorEastAsia" w:hAnsiTheme="minorEastAsia" w:eastAsiaTheme="minorEastAsia"/>
          <w:color w:val="auto"/>
          <w:sz w:val="18"/>
          <w:szCs w:val="18"/>
        </w:rPr>
        <w:t xml:space="preserve"> </w:t>
      </w:r>
    </w:p>
    <w:p w14:paraId="67507861">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bCs/>
          <w:color w:val="auto"/>
          <w:sz w:val="18"/>
          <w:szCs w:val="18"/>
        </w:rPr>
        <w:t>10.</w:t>
      </w:r>
      <w:r>
        <w:rPr>
          <w:rFonts w:hint="eastAsia" w:asciiTheme="minorEastAsia" w:hAnsiTheme="minorEastAsia" w:eastAsiaTheme="minorEastAsia"/>
          <w:bCs/>
          <w:color w:val="auto"/>
          <w:sz w:val="18"/>
          <w:szCs w:val="18"/>
        </w:rPr>
        <w:t>存款、拆借、回购等货币市场工具的估值</w:t>
      </w:r>
    </w:p>
    <w:p w14:paraId="0D1DB6C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sz w:val="18"/>
          <w:szCs w:val="18"/>
        </w:rPr>
        <w:t>以本金列示，按商定利率在实际持有期间内逐日计提利息。如有估值技术能更准确反映其公允价值的，采用估值技术进行估值。</w:t>
      </w:r>
    </w:p>
    <w:p w14:paraId="229ABE27">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11.</w:t>
      </w:r>
      <w:r>
        <w:rPr>
          <w:rFonts w:hint="eastAsia" w:asciiTheme="minorEastAsia" w:hAnsiTheme="minorEastAsia" w:eastAsiaTheme="minor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159B95D1">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14:paraId="517CCFE5">
      <w:pPr>
        <w:pStyle w:val="34"/>
        <w:spacing w:line="360" w:lineRule="auto"/>
        <w:ind w:firstLine="360" w:firstLineChars="200"/>
        <w:rPr>
          <w:rFonts w:ascii="黑体" w:hAnsi="黑体" w:eastAsia="黑体"/>
          <w:color w:val="auto"/>
          <w:sz w:val="18"/>
          <w:szCs w:val="18"/>
        </w:rPr>
      </w:pPr>
      <w:r>
        <w:rPr>
          <w:rFonts w:ascii="黑体" w:hAnsi="黑体" w:eastAsia="黑体"/>
          <w:color w:val="auto"/>
          <w:sz w:val="18"/>
          <w:szCs w:val="18"/>
        </w:rPr>
        <w:t>1</w:t>
      </w:r>
      <w:r>
        <w:rPr>
          <w:rFonts w:hint="eastAsia" w:ascii="黑体" w:hAnsi="黑体" w:eastAsia="黑体"/>
          <w:color w:val="auto"/>
          <w:sz w:val="18"/>
          <w:szCs w:val="18"/>
        </w:rPr>
        <w:t>3</w:t>
      </w:r>
      <w:r>
        <w:rPr>
          <w:rFonts w:ascii="黑体" w:hAnsi="黑体" w:eastAsia="黑体"/>
          <w:color w:val="auto"/>
          <w:sz w:val="18"/>
          <w:szCs w:val="18"/>
        </w:rPr>
        <w:t>.</w:t>
      </w:r>
      <w:r>
        <w:rPr>
          <w:rFonts w:hint="eastAsia" w:ascii="黑体" w:hAnsi="黑体" w:eastAsia="黑体"/>
          <w:color w:val="auto"/>
          <w:sz w:val="18"/>
          <w:szCs w:val="18"/>
        </w:rPr>
        <w:t>★估值方法的调整</w:t>
      </w:r>
    </w:p>
    <w:p w14:paraId="64E9F5EF">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若因相关法律法规以及监管部门有规定，需要调整估值方法的，管理人应按相关规定要求使用调整后的估值方法进行估值。</w:t>
      </w:r>
    </w:p>
    <w:p w14:paraId="392EF6F4">
      <w:pPr>
        <w:pStyle w:val="34"/>
        <w:spacing w:line="360" w:lineRule="auto"/>
        <w:ind w:firstLine="361" w:firstLineChars="200"/>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（五）估值程序</w:t>
      </w:r>
    </w:p>
    <w:p w14:paraId="622CFFA9">
      <w:pPr>
        <w:pStyle w:val="34"/>
        <w:spacing w:line="360" w:lineRule="auto"/>
        <w:ind w:firstLine="360" w:firstLineChars="200"/>
        <w:rPr>
          <w:rFonts w:asciiTheme="minorEastAsia" w:hAnsiTheme="minorEastAsia" w:eastAsiaTheme="minorEastAsia"/>
          <w:bCs/>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产品份额净值是按照估值日产品资产净值除以当日产品总份额计算，</w:t>
      </w:r>
      <w:r>
        <w:rPr>
          <w:rFonts w:asciiTheme="minorEastAsia" w:hAnsiTheme="minorEastAsia" w:eastAsiaTheme="minorEastAsia"/>
          <w:bCs/>
          <w:color w:val="auto"/>
          <w:sz w:val="18"/>
          <w:szCs w:val="18"/>
        </w:rPr>
        <w:t>四舍五入保留5位小数</w:t>
      </w:r>
      <w:r>
        <w:rPr>
          <w:rFonts w:hint="eastAsia" w:asciiTheme="minorEastAsia" w:hAnsiTheme="minorEastAsia" w:eastAsiaTheme="minorEastAsia"/>
          <w:color w:val="auto"/>
          <w:sz w:val="18"/>
          <w:szCs w:val="18"/>
        </w:rPr>
        <w:t>。国家另有规定的，从其规定。</w:t>
      </w:r>
      <w:r>
        <w:rPr>
          <w:rFonts w:hint="eastAsia" w:asciiTheme="minorEastAsia" w:hAnsiTheme="minorEastAsia" w:eastAsiaTheme="minorEastAsia"/>
          <w:bCs/>
          <w:color w:val="auto"/>
          <w:sz w:val="18"/>
          <w:szCs w:val="18"/>
        </w:rPr>
        <w:t>发生巨额赎回时，为保护投资者利益，产品管理人可提高单位产品净值的精度。</w:t>
      </w:r>
    </w:p>
    <w:p w14:paraId="3B6E6BA2">
      <w:pPr>
        <w:pStyle w:val="34"/>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 xml:space="preserve">2.产品管理人对理财资产估值后，将产品份额净值发送产品托管人，经产品托管人复核无误后，由产品管理人按规定对外公布。 </w:t>
      </w:r>
    </w:p>
    <w:p w14:paraId="363B67DA">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14:paraId="0354CABB">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14:paraId="00D28016">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3FC52961">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05B18073">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7AC3A18D">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4B4CE69F">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38C02748">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3756BD4A">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72327558">
      <w:pPr>
        <w:widowControl/>
        <w:spacing w:line="360" w:lineRule="auto"/>
        <w:jc w:val="left"/>
        <w:rPr>
          <w:rFonts w:ascii="宋体" w:hAnsi="宋体"/>
          <w:kern w:val="0"/>
          <w:sz w:val="18"/>
          <w:szCs w:val="18"/>
        </w:rPr>
      </w:pPr>
      <w:r>
        <w:rPr>
          <w:rFonts w:hAnsi="宋体"/>
          <w:sz w:val="18"/>
          <w:szCs w:val="18"/>
        </w:rPr>
        <w:br w:type="page"/>
      </w:r>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4033BA1">
      <w:pPr>
        <w:pStyle w:val="2"/>
        <w:spacing w:before="0" w:after="0" w:line="360" w:lineRule="auto"/>
        <w:ind w:left="60" w:firstLine="10"/>
        <w:jc w:val="center"/>
        <w:rPr>
          <w:rFonts w:ascii="Times New Roman"/>
          <w:sz w:val="30"/>
        </w:rPr>
      </w:pPr>
      <w:bookmarkStart w:id="93" w:name="_Hlt70481650"/>
      <w:bookmarkEnd w:id="93"/>
      <w:bookmarkStart w:id="94" w:name="_Toc6405"/>
      <w:bookmarkStart w:id="95" w:name="_Toc31653"/>
      <w:bookmarkStart w:id="96" w:name="_Toc123102454"/>
      <w:bookmarkStart w:id="97" w:name="_Toc29251"/>
      <w:bookmarkStart w:id="98" w:name="_Toc79154671"/>
      <w:bookmarkStart w:id="99" w:name="_Toc18706"/>
      <w:bookmarkStart w:id="100" w:name="_Toc3805"/>
      <w:bookmarkStart w:id="101" w:name="_Toc103260535"/>
      <w:bookmarkStart w:id="102" w:name="_Toc98560353"/>
      <w:bookmarkStart w:id="103" w:name="_Toc123051453"/>
      <w:bookmarkStart w:id="104" w:name="_Toc15143"/>
      <w:bookmarkStart w:id="105" w:name="_Toc26207"/>
      <w:bookmarkStart w:id="106" w:name="_Toc92377137"/>
      <w:bookmarkStart w:id="107" w:name="_Toc14373"/>
      <w:bookmarkStart w:id="108" w:name="_Toc123112235"/>
      <w:bookmarkStart w:id="109" w:name="_Toc14835"/>
      <w:bookmarkStart w:id="110" w:name="_Toc3601"/>
      <w:bookmarkStart w:id="111" w:name="_Toc31644"/>
      <w:bookmarkStart w:id="112" w:name="_Toc31235"/>
      <w:bookmarkStart w:id="113" w:name="_Toc141703887"/>
      <w:bookmarkStart w:id="114" w:name="_Toc74065744"/>
      <w:bookmarkStart w:id="115" w:name="_Toc139991737"/>
      <w:bookmarkStart w:id="116" w:name="_Toc12245"/>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Start w:id="117" w:name="_Hlt55355235"/>
      <w:bookmarkEnd w:id="117"/>
      <w:bookmarkStart w:id="118" w:name="_Toc523711668"/>
      <w:bookmarkStart w:id="119" w:name="_Toc57530239"/>
      <w:bookmarkStart w:id="120" w:name="_Toc15118234"/>
      <w:bookmarkStart w:id="121" w:name="_Toc79392580"/>
    </w:p>
    <w:p w14:paraId="76B089EE">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541C2AFF">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14:paraId="28AD54F7">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14:paraId="0AE34AD0">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7E5B6F94">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14:paraId="32A3EAC5">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14:paraId="2E44DF2C">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14:paraId="7A2E0815">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7477B81B">
      <w:pPr>
        <w:pStyle w:val="34"/>
        <w:spacing w:line="360" w:lineRule="auto"/>
        <w:ind w:firstLine="361" w:firstLineChars="200"/>
        <w:rPr>
          <w:rFonts w:hAnsi="宋体"/>
          <w:b/>
          <w:bCs/>
          <w:color w:val="auto"/>
          <w:sz w:val="18"/>
          <w:szCs w:val="18"/>
        </w:rPr>
      </w:pPr>
      <w:permStart w:id="21" w:edGrp="everyone"/>
      <w:r>
        <w:rPr>
          <w:rFonts w:hint="eastAsia" w:hAnsi="宋体"/>
          <w:b/>
          <w:bCs/>
          <w:color w:val="auto"/>
          <w:sz w:val="18"/>
          <w:szCs w:val="18"/>
        </w:rPr>
        <w:t>1.分配方案要点：</w:t>
      </w:r>
    </w:p>
    <w:p w14:paraId="126D26F3">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14:paraId="5BCB3376">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14:paraId="00177C8E">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0AA6C66B">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ermEnd w:id="21"/>
    </w:p>
    <w:p w14:paraId="69CE4846">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624B2FB6">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14:paraId="18F34D25">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14:paraId="55211ED3">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14:paraId="344B57E2">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14:paraId="61F30DC3">
      <w:pPr>
        <w:widowControl/>
        <w:spacing w:line="360" w:lineRule="auto"/>
        <w:jc w:val="left"/>
        <w:rPr>
          <w:rFonts w:ascii="宋体" w:hAnsi="宋体"/>
          <w:kern w:val="0"/>
          <w:sz w:val="18"/>
          <w:szCs w:val="18"/>
        </w:rPr>
      </w:pPr>
      <w:r>
        <w:rPr>
          <w:rFonts w:hAnsi="宋体"/>
          <w:sz w:val="18"/>
          <w:szCs w:val="18"/>
        </w:rPr>
        <w:br w:type="page"/>
      </w:r>
    </w:p>
    <w:bookmarkEnd w:id="118"/>
    <w:bookmarkEnd w:id="119"/>
    <w:bookmarkEnd w:id="120"/>
    <w:bookmarkEnd w:id="121"/>
    <w:p w14:paraId="41207F49">
      <w:pPr>
        <w:pStyle w:val="2"/>
        <w:spacing w:before="0" w:after="0" w:line="360" w:lineRule="auto"/>
        <w:jc w:val="center"/>
        <w:rPr>
          <w:rFonts w:ascii="Times New Roman"/>
          <w:sz w:val="30"/>
        </w:rPr>
      </w:pPr>
      <w:bookmarkStart w:id="122" w:name="_Hlt88825574"/>
      <w:bookmarkEnd w:id="122"/>
      <w:bookmarkStart w:id="123" w:name="_Hlt88897298"/>
      <w:bookmarkEnd w:id="123"/>
      <w:bookmarkStart w:id="124" w:name="_Toc25783"/>
      <w:bookmarkStart w:id="125" w:name="_Toc9706"/>
      <w:bookmarkStart w:id="126" w:name="_Toc79392583"/>
      <w:bookmarkStart w:id="127" w:name="_Toc20951"/>
      <w:bookmarkStart w:id="128" w:name="_Toc123102455"/>
      <w:bookmarkStart w:id="129" w:name="_Toc79154672"/>
      <w:bookmarkStart w:id="130" w:name="_Toc3771"/>
      <w:bookmarkStart w:id="131" w:name="_Toc18567"/>
      <w:bookmarkStart w:id="132" w:name="_Toc123112236"/>
      <w:bookmarkStart w:id="133" w:name="_Toc123051454"/>
      <w:bookmarkStart w:id="134" w:name="_Toc3321"/>
      <w:bookmarkStart w:id="135" w:name="_Toc103260536"/>
      <w:bookmarkStart w:id="136" w:name="_Toc11030"/>
      <w:bookmarkStart w:id="137" w:name="_Toc74065745"/>
      <w:bookmarkStart w:id="138" w:name="_Toc12257"/>
      <w:bookmarkStart w:id="139" w:name="_Toc139991738"/>
      <w:bookmarkStart w:id="140" w:name="_Toc5653"/>
      <w:bookmarkStart w:id="141" w:name="_Toc98560354"/>
      <w:bookmarkStart w:id="142" w:name="_Toc4559"/>
      <w:bookmarkStart w:id="143" w:name="_Toc92377138"/>
      <w:bookmarkStart w:id="144" w:name="_Toc141703888"/>
      <w:bookmarkStart w:id="145" w:name="_Toc7058"/>
      <w:bookmarkStart w:id="146" w:name="_Toc6447"/>
      <w:bookmarkStart w:id="147" w:name="_Toc10650"/>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B377E80">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14:paraId="307693D4">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14:paraId="63C7B841">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14:paraId="2F07B335">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14:paraId="5363A2FD">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14:paraId="34C71CC4">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14:paraId="1FFFDD22">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14:paraId="21564154">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14:paraId="36A23A5F">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14:paraId="28220804">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14:paraId="6A54D63B">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14:paraId="2138A707">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14:paraId="30C99FF6">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3D3C790F">
      <w:pPr>
        <w:widowControl/>
        <w:spacing w:line="360" w:lineRule="auto"/>
        <w:ind w:firstLine="360" w:firstLineChars="200"/>
        <w:jc w:val="left"/>
        <w:rPr>
          <w:rStyle w:val="30"/>
          <w:rFonts w:ascii="宋体" w:hAnsi="宋体"/>
          <w:kern w:val="0"/>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14:paraId="0713DB1C">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14:paraId="208C9EA7">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14:paraId="0D0B738F">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14:paraId="045FC995">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14:paraId="005983C3">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4A526194">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14:paraId="5A8E5D0F">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14:paraId="0C7BCF56">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14:paraId="1F756526">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3D58DCB6">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14:paraId="4E9005FE">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14:paraId="2FB243DE">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14:paraId="461EA894">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14:paraId="760D8252">
      <w:pPr>
        <w:widowControl/>
        <w:spacing w:line="360" w:lineRule="auto"/>
        <w:ind w:firstLine="360" w:firstLineChars="200"/>
        <w:jc w:val="left"/>
        <w:rPr>
          <w:rFonts w:asciiTheme="majorEastAsia" w:hAnsiTheme="majorEastAsia" w:eastAsiaTheme="majorEastAsia"/>
          <w:sz w:val="18"/>
          <w:szCs w:val="18"/>
        </w:rPr>
      </w:pPr>
      <w:permStart w:id="23" w:edGrp="everyone"/>
      <w:r>
        <w:rPr>
          <w:rFonts w:hint="eastAsia" w:ascii="宋体" w:hAnsi="宋体"/>
          <w:kern w:val="0"/>
          <w:sz w:val="18"/>
          <w:szCs w:val="18"/>
        </w:rPr>
        <w:t>本产品</w:t>
      </w:r>
      <w:r>
        <w:rPr>
          <w:rFonts w:ascii="宋体" w:hAnsi="宋体"/>
          <w:kern w:val="0"/>
          <w:sz w:val="18"/>
          <w:szCs w:val="18"/>
        </w:rPr>
        <w:t>不收取超额业绩报酬。</w:t>
      </w:r>
    </w:p>
    <w:permEnd w:id="23"/>
    <w:p w14:paraId="294641E5">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14:paraId="10AE9971">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14:paraId="2DB08AFC">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14:paraId="0617E417">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14:paraId="2504C972">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14:paraId="1D913783">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14:paraId="3949D4FA">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14:paraId="069AF48C">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14:paraId="42292B0E">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14:paraId="56615F16">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14:paraId="0D357187">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14:paraId="6CD6BE7D">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14:paraId="43DCED71">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14:paraId="31C143D4">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3ACB3AFB">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5D061009">
      <w:pPr>
        <w:pStyle w:val="2"/>
        <w:spacing w:line="360" w:lineRule="auto"/>
        <w:jc w:val="center"/>
      </w:pPr>
      <w:bookmarkStart w:id="148" w:name="_Toc3963"/>
      <w:bookmarkStart w:id="149" w:name="_Toc1745"/>
      <w:r>
        <w:br w:type="page"/>
      </w:r>
      <w:bookmarkStart w:id="150" w:name="_Toc123102456"/>
      <w:bookmarkStart w:id="151" w:name="_Toc98560355"/>
      <w:bookmarkStart w:id="152" w:name="_Toc725"/>
      <w:bookmarkStart w:id="153" w:name="_Toc92377139"/>
      <w:bookmarkStart w:id="154" w:name="_Toc3080"/>
      <w:bookmarkStart w:id="155" w:name="_Toc16164"/>
      <w:bookmarkStart w:id="156" w:name="_Toc24853"/>
      <w:bookmarkStart w:id="157" w:name="_Toc19648"/>
      <w:bookmarkStart w:id="158" w:name="_Toc123051455"/>
      <w:bookmarkStart w:id="159" w:name="_Toc10398"/>
      <w:bookmarkStart w:id="160" w:name="_Toc31821"/>
      <w:bookmarkStart w:id="161" w:name="_Toc3880"/>
      <w:bookmarkStart w:id="162" w:name="_Toc123112237"/>
      <w:bookmarkStart w:id="163" w:name="_Toc21735"/>
      <w:bookmarkStart w:id="164" w:name="_Toc3572"/>
      <w:bookmarkStart w:id="165" w:name="_Toc74065746"/>
      <w:bookmarkStart w:id="166" w:name="_Toc79154673"/>
      <w:bookmarkStart w:id="167" w:name="_Toc139991739"/>
      <w:bookmarkStart w:id="168" w:name="_Toc141703889"/>
      <w:bookmarkStart w:id="169" w:name="_Toc103260537"/>
      <w:bookmarkStart w:id="170" w:name="_Toc18206"/>
      <w:r>
        <w:rPr>
          <w:rFonts w:hint="eastAsia"/>
          <w:sz w:val="30"/>
        </w:rPr>
        <w:t>第十条</w:t>
      </w:r>
      <w:r>
        <w:rPr>
          <w:sz w:val="30"/>
        </w:rPr>
        <w:t xml:space="preserve">  </w:t>
      </w:r>
      <w:r>
        <w:rPr>
          <w:rFonts w:hint="eastAsia"/>
          <w:sz w:val="30"/>
        </w:rPr>
        <w:t>理财产品的终止与清算</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EF6DEDF">
      <w:pPr>
        <w:spacing w:line="360" w:lineRule="auto"/>
        <w:ind w:firstLine="361" w:firstLineChars="200"/>
        <w:rPr>
          <w:rFonts w:asciiTheme="majorEastAsia" w:hAnsiTheme="majorEastAsia" w:eastAsiaTheme="majorEastAsia"/>
          <w:b/>
          <w:bCs/>
          <w:sz w:val="18"/>
          <w:szCs w:val="18"/>
        </w:rPr>
      </w:pPr>
      <w:bookmarkStart w:id="171" w:name="_Toc15118245"/>
      <w:bookmarkStart w:id="172" w:name="_Toc57530252"/>
      <w:bookmarkStart w:id="173" w:name="_Toc79392593"/>
      <w:r>
        <w:rPr>
          <w:rFonts w:hint="eastAsia" w:asciiTheme="majorEastAsia" w:hAnsiTheme="majorEastAsia" w:eastAsiaTheme="majorEastAsia"/>
          <w:b/>
          <w:bCs/>
          <w:sz w:val="18"/>
          <w:szCs w:val="18"/>
        </w:rPr>
        <w:t>（一）理财产品的终止</w:t>
      </w:r>
    </w:p>
    <w:p w14:paraId="3026B622">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35615445">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34D1A5B1">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08C132A8">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1E0140D1">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05104AB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60BB87B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568AE2C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2ADD338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06B044F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5BB7F56C">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53CBE279">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208A2CE5">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6D7FB2E7">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0266AA06">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08D1F719">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5F3BC2AB">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57B05EA9">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4AA413EF">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71"/>
    <w:bookmarkEnd w:id="172"/>
    <w:bookmarkEnd w:id="173"/>
    <w:p w14:paraId="2BDE1565">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14:paraId="70DCDAA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53B4834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14:paraId="6F9A077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14:paraId="6834F28D">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14:paraId="05A714C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157575F9">
      <w:pPr>
        <w:pStyle w:val="2"/>
        <w:spacing w:before="0" w:after="0" w:line="360" w:lineRule="auto"/>
        <w:jc w:val="center"/>
        <w:rPr>
          <w:rFonts w:ascii="Times New Roman"/>
          <w:sz w:val="18"/>
          <w:szCs w:val="18"/>
        </w:rPr>
      </w:pPr>
      <w:r>
        <w:rPr>
          <w:rFonts w:ascii="Times New Roman"/>
          <w:b w:val="0"/>
          <w:bCs w:val="0"/>
          <w:kern w:val="2"/>
        </w:rPr>
        <w:br w:type="page"/>
      </w:r>
      <w:bookmarkStart w:id="174" w:name="_Toc103260538"/>
      <w:bookmarkStart w:id="175" w:name="_Toc22283"/>
      <w:bookmarkStart w:id="176" w:name="_Toc23820"/>
      <w:bookmarkStart w:id="177" w:name="_Toc9552"/>
      <w:bookmarkStart w:id="178" w:name="_Toc92377140"/>
      <w:bookmarkStart w:id="179" w:name="_Toc83391975"/>
      <w:bookmarkStart w:id="180" w:name="_Toc21237"/>
      <w:bookmarkStart w:id="181" w:name="_Toc32092"/>
      <w:bookmarkStart w:id="182" w:name="_Toc123112238"/>
      <w:bookmarkStart w:id="183" w:name="_Toc17920"/>
      <w:bookmarkStart w:id="184" w:name="_Toc17198"/>
      <w:bookmarkStart w:id="185" w:name="_Toc48649708"/>
      <w:bookmarkStart w:id="186" w:name="_Toc74065747"/>
      <w:bookmarkStart w:id="187" w:name="_Toc139991740"/>
      <w:bookmarkStart w:id="188" w:name="_Toc32584"/>
      <w:bookmarkStart w:id="189" w:name="_Toc29408"/>
      <w:bookmarkStart w:id="190" w:name="_Toc141703890"/>
      <w:bookmarkStart w:id="191" w:name="_Toc739"/>
      <w:bookmarkStart w:id="192" w:name="_Toc79154674"/>
      <w:bookmarkStart w:id="193" w:name="_Toc123051456"/>
      <w:bookmarkStart w:id="194" w:name="_Toc3329"/>
      <w:bookmarkStart w:id="195" w:name="_Toc123102457"/>
      <w:bookmarkStart w:id="196" w:name="_Toc8791"/>
      <w:bookmarkStart w:id="197" w:name="_Toc5170"/>
      <w:bookmarkStart w:id="198" w:name="_Toc79392622"/>
      <w:bookmarkStart w:id="199" w:name="_Toc98560356"/>
      <w:r>
        <w:rPr>
          <w:rFonts w:hint="eastAsia" w:ascii="Times New Roman"/>
          <w:sz w:val="28"/>
          <w:szCs w:val="28"/>
        </w:rPr>
        <w:t>第十一条</w:t>
      </w:r>
      <w:r>
        <w:rPr>
          <w:rFonts w:ascii="Times New Roman"/>
          <w:sz w:val="28"/>
          <w:szCs w:val="28"/>
        </w:rPr>
        <w:t xml:space="preserve">  </w:t>
      </w:r>
      <w:r>
        <w:rPr>
          <w:rFonts w:hint="eastAsia" w:ascii="Times New Roman"/>
          <w:sz w:val="28"/>
          <w:szCs w:val="28"/>
        </w:rPr>
        <w:t>理财产品的信息披露</w:t>
      </w:r>
      <w:bookmarkEnd w:id="174"/>
      <w:bookmarkEnd w:id="175"/>
      <w:bookmarkEnd w:id="176"/>
      <w:bookmarkEnd w:id="177"/>
      <w:bookmarkEnd w:id="178"/>
    </w:p>
    <w:p w14:paraId="1120E7B3">
      <w:pPr>
        <w:spacing w:line="360" w:lineRule="auto"/>
        <w:ind w:firstLine="361" w:firstLineChars="200"/>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14:paraId="770AA782">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29F8C984">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14:paraId="003A7D06">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hint="eastAsia" w:ascii="宋体" w:hAnsi="宋体"/>
          <w:bCs/>
          <w:sz w:val="18"/>
          <w:szCs w:val="18"/>
        </w:rPr>
        <w:t>产品管理人</w:t>
      </w:r>
      <w:r>
        <w:rPr>
          <w:rFonts w:ascii="宋体" w:hAnsi="宋体"/>
          <w:bCs/>
          <w:sz w:val="18"/>
          <w:szCs w:val="18"/>
        </w:rPr>
        <w:t>或销售机构的信息披露渠道开展理财产品的信息披露工作。请投资者及时关注。</w:t>
      </w:r>
    </w:p>
    <w:p w14:paraId="18C41FDF">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22CD1E56">
      <w:pPr>
        <w:spacing w:line="360" w:lineRule="auto"/>
        <w:ind w:firstLine="360" w:firstLineChars="20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14:paraId="68682CF4">
      <w:pPr>
        <w:spacing w:line="360" w:lineRule="auto"/>
        <w:ind w:firstLine="360" w:firstLineChars="20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14:paraId="1976814B">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14:paraId="76C02017">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25BC3685">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14:paraId="5399699C">
      <w:pPr>
        <w:spacing w:line="360" w:lineRule="auto"/>
        <w:ind w:firstLine="360" w:firstLineChars="200"/>
        <w:rPr>
          <w:rFonts w:ascii="宋体" w:hAnsi="宋体"/>
          <w:bCs/>
          <w:sz w:val="18"/>
          <w:szCs w:val="18"/>
        </w:rPr>
      </w:pPr>
      <w:r>
        <w:rPr>
          <w:rFonts w:ascii="宋体" w:hAnsi="宋体"/>
          <w:bCs/>
          <w:sz w:val="18"/>
          <w:szCs w:val="18"/>
        </w:rPr>
        <w:t>1.产品成立公告</w:t>
      </w:r>
    </w:p>
    <w:p w14:paraId="155A34FC">
      <w:pPr>
        <w:spacing w:line="360" w:lineRule="auto"/>
        <w:ind w:firstLine="360" w:firstLineChars="20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14:paraId="6AF05B81">
      <w:pPr>
        <w:spacing w:line="360" w:lineRule="auto"/>
        <w:ind w:firstLine="360" w:firstLineChars="20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14:paraId="738F7A31">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17490992">
      <w:pPr>
        <w:spacing w:line="360" w:lineRule="auto"/>
        <w:ind w:firstLine="360" w:firstLineChars="200"/>
        <w:rPr>
          <w:rFonts w:ascii="宋体" w:hAnsi="宋体"/>
          <w:bCs/>
          <w:sz w:val="18"/>
          <w:szCs w:val="18"/>
        </w:rPr>
      </w:pPr>
      <w:r>
        <w:rPr>
          <w:rFonts w:ascii="宋体" w:hAnsi="宋体"/>
          <w:bCs/>
          <w:sz w:val="18"/>
          <w:szCs w:val="18"/>
        </w:rPr>
        <w:t>3.定期报告</w:t>
      </w:r>
    </w:p>
    <w:p w14:paraId="2113BEBD">
      <w:pPr>
        <w:spacing w:line="360" w:lineRule="auto"/>
        <w:ind w:firstLine="360" w:firstLineChars="20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46DBC4B6">
      <w:pPr>
        <w:spacing w:line="360" w:lineRule="auto"/>
        <w:ind w:firstLine="360" w:firstLineChars="200"/>
        <w:rPr>
          <w:rFonts w:ascii="宋体" w:hAnsi="宋体"/>
          <w:bCs/>
          <w:sz w:val="18"/>
          <w:szCs w:val="18"/>
        </w:rPr>
      </w:pPr>
      <w:r>
        <w:rPr>
          <w:rFonts w:ascii="宋体" w:hAnsi="宋体"/>
          <w:bCs/>
          <w:sz w:val="18"/>
          <w:szCs w:val="18"/>
        </w:rPr>
        <w:t>4.到期公告</w:t>
      </w:r>
    </w:p>
    <w:p w14:paraId="3F202805">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14:paraId="0E69A842">
      <w:pPr>
        <w:spacing w:line="360" w:lineRule="auto"/>
        <w:ind w:firstLine="360" w:firstLineChars="200"/>
        <w:rPr>
          <w:rFonts w:ascii="宋体" w:hAnsi="宋体"/>
          <w:bCs/>
          <w:sz w:val="18"/>
          <w:szCs w:val="18"/>
        </w:rPr>
      </w:pPr>
      <w:r>
        <w:rPr>
          <w:rFonts w:ascii="宋体" w:hAnsi="宋体"/>
          <w:bCs/>
          <w:sz w:val="18"/>
          <w:szCs w:val="18"/>
        </w:rPr>
        <w:t>5.开放日</w:t>
      </w:r>
      <w:r>
        <w:rPr>
          <w:rFonts w:hint="eastAsia" w:ascii="宋体" w:hAnsi="宋体"/>
          <w:bCs/>
          <w:sz w:val="18"/>
          <w:szCs w:val="18"/>
        </w:rPr>
        <w:t>/估值日</w:t>
      </w:r>
      <w:r>
        <w:rPr>
          <w:rFonts w:ascii="宋体" w:hAnsi="宋体"/>
          <w:bCs/>
          <w:sz w:val="18"/>
          <w:szCs w:val="18"/>
        </w:rPr>
        <w:t>公告</w:t>
      </w:r>
    </w:p>
    <w:p w14:paraId="71E31B1C">
      <w:pPr>
        <w:spacing w:line="360" w:lineRule="auto"/>
        <w:ind w:firstLine="360" w:firstLineChars="200"/>
        <w:rPr>
          <w:rFonts w:ascii="宋体" w:hAnsi="宋体"/>
          <w:bCs/>
          <w:sz w:val="18"/>
          <w:szCs w:val="18"/>
        </w:rPr>
      </w:pPr>
      <w:permStart w:id="24" w:edGrp="everyone"/>
      <w:r>
        <w:rPr>
          <w:rFonts w:hint="eastAsia" w:ascii="宋体" w:hAnsi="宋体"/>
          <w:sz w:val="18"/>
          <w:szCs w:val="18"/>
        </w:rPr>
        <w:t>产品管理人</w:t>
      </w:r>
      <w:r>
        <w:rPr>
          <w:rFonts w:hint="eastAsia" w:ascii="宋体" w:hAnsi="宋体"/>
          <w:bCs/>
          <w:sz w:val="18"/>
          <w:szCs w:val="18"/>
        </w:rPr>
        <w:t>在申购日</w:t>
      </w:r>
      <w:r>
        <w:rPr>
          <w:rFonts w:ascii="宋体" w:hAnsi="宋体"/>
          <w:bCs/>
          <w:sz w:val="18"/>
          <w:szCs w:val="18"/>
        </w:rPr>
        <w:t>/赎回日结束后2个工作日内披露公告，公告内容包括申购日/赎回日</w:t>
      </w:r>
      <w:r>
        <w:rPr>
          <w:rFonts w:hint="eastAsia" w:ascii="宋体" w:hAnsi="宋体"/>
          <w:bCs/>
          <w:sz w:val="18"/>
          <w:szCs w:val="18"/>
        </w:rPr>
        <w:t>的产品份额净值、产品份额累计净值等。如遇法定节假日顺延。此外，如遇其他特殊情况，以产品管理人信息披露为准。</w:t>
      </w:r>
    </w:p>
    <w:permEnd w:id="24"/>
    <w:p w14:paraId="1F6F9C05">
      <w:pPr>
        <w:spacing w:line="360" w:lineRule="auto"/>
        <w:ind w:firstLine="360" w:firstLineChars="200"/>
        <w:rPr>
          <w:rFonts w:ascii="宋体" w:hAnsi="宋体"/>
          <w:bCs/>
          <w:sz w:val="18"/>
          <w:szCs w:val="18"/>
        </w:rPr>
      </w:pPr>
      <w:r>
        <w:rPr>
          <w:rFonts w:ascii="宋体" w:hAnsi="宋体"/>
          <w:bCs/>
          <w:sz w:val="18"/>
          <w:szCs w:val="18"/>
        </w:rPr>
        <w:t>6.临时公告</w:t>
      </w:r>
    </w:p>
    <w:p w14:paraId="743BA648">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1）</w:t>
      </w:r>
      <w:r>
        <w:rPr>
          <w:rFonts w:hint="eastAsia" w:ascii="黑体" w:hAnsi="黑体" w:eastAsia="黑体"/>
          <w:sz w:val="18"/>
          <w:szCs w:val="18"/>
        </w:rPr>
        <w:t>★产品管理人</w:t>
      </w:r>
      <w:r>
        <w:rPr>
          <w:rFonts w:ascii="黑体" w:hAnsi="黑体" w:eastAsia="黑体"/>
          <w:sz w:val="18"/>
          <w:szCs w:val="18"/>
        </w:rPr>
        <w:t>对</w:t>
      </w:r>
      <w:r>
        <w:rPr>
          <w:rFonts w:hint="eastAsia" w:ascii="黑体" w:hAnsi="黑体" w:eastAsia="黑体"/>
          <w:sz w:val="18"/>
          <w:szCs w:val="18"/>
        </w:rPr>
        <w:t>投资范围、投资资产种类、</w:t>
      </w:r>
      <w:r>
        <w:rPr>
          <w:rFonts w:ascii="黑体" w:hAnsi="黑体" w:eastAsia="黑体"/>
          <w:sz w:val="18"/>
          <w:szCs w:val="18"/>
        </w:rPr>
        <w:t>投资</w:t>
      </w:r>
      <w:r>
        <w:rPr>
          <w:rFonts w:hint="eastAsia" w:ascii="黑体" w:hAnsi="黑体" w:eastAsia="黑体"/>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sz w:val="18"/>
          <w:szCs w:val="18"/>
        </w:rPr>
        <w:t>2个工作日发布变更公告</w:t>
      </w:r>
      <w:r>
        <w:rPr>
          <w:rFonts w:hint="eastAsia" w:ascii="黑体" w:hAnsi="黑体" w:eastAsia="黑体"/>
          <w:sz w:val="18"/>
          <w:szCs w:val="18"/>
        </w:rPr>
        <w:t>。</w:t>
      </w:r>
    </w:p>
    <w:p w14:paraId="2477A831">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、暂停理财产品估值、采用摆动定价</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14:paraId="7AA174BE">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4BCD73F0">
      <w:pPr>
        <w:spacing w:line="360" w:lineRule="auto"/>
        <w:ind w:firstLine="360" w:firstLineChars="200"/>
        <w:rPr>
          <w:rFonts w:ascii="黑体" w:hAnsi="黑体" w:eastAsia="黑体"/>
          <w:sz w:val="18"/>
          <w:szCs w:val="18"/>
        </w:rPr>
      </w:pPr>
      <w:r>
        <w:rPr>
          <w:rFonts w:hint="eastAsia" w:ascii="黑体" w:hAnsi="黑体" w:eastAsia="黑体"/>
          <w:sz w:val="18"/>
          <w:szCs w:val="18"/>
        </w:rPr>
        <w:t>（</w:t>
      </w:r>
      <w:r>
        <w:rPr>
          <w:rFonts w:ascii="黑体" w:hAnsi="黑体" w:eastAsia="黑体"/>
          <w:sz w:val="18"/>
          <w:szCs w:val="18"/>
        </w:rPr>
        <w:t>4）★在本产品存续期内，如因国家法律法规、监管规定发生变化，或是出于维护本产品正常运营的需要，在不损害投资者</w:t>
      </w:r>
      <w:r>
        <w:rPr>
          <w:rFonts w:hint="eastAsia" w:ascii="黑体" w:hAnsi="黑体" w:eastAsia="黑体"/>
          <w:sz w:val="18"/>
          <w:szCs w:val="18"/>
        </w:rPr>
        <w:t>权益</w:t>
      </w:r>
      <w:r>
        <w:rPr>
          <w:rFonts w:ascii="黑体" w:hAnsi="黑体" w:eastAsia="黑体"/>
          <w:sz w:val="18"/>
          <w:szCs w:val="18"/>
        </w:rPr>
        <w:t>的前提下，</w:t>
      </w:r>
      <w:r>
        <w:rPr>
          <w:rFonts w:hint="eastAsia" w:ascii="黑体" w:hAnsi="黑体" w:eastAsia="黑体"/>
          <w:sz w:val="18"/>
          <w:szCs w:val="18"/>
        </w:rPr>
        <w:t>产品管理人</w:t>
      </w:r>
      <w:r>
        <w:rPr>
          <w:rFonts w:ascii="黑体" w:hAnsi="黑体" w:eastAsia="黑体"/>
          <w:sz w:val="18"/>
          <w:szCs w:val="18"/>
        </w:rPr>
        <w:t>有权对</w:t>
      </w:r>
      <w:r>
        <w:rPr>
          <w:rFonts w:hint="eastAsia" w:ascii="黑体" w:hAnsi="黑体" w:eastAsia="黑体"/>
          <w:sz w:val="18"/>
          <w:szCs w:val="18"/>
        </w:rPr>
        <w:t>理财产品销售文件</w:t>
      </w:r>
      <w:r>
        <w:rPr>
          <w:rFonts w:ascii="黑体" w:hAnsi="黑体" w:eastAsia="黑体"/>
          <w:sz w:val="18"/>
          <w:szCs w:val="18"/>
        </w:rPr>
        <w:t>进行修订，并提前2个工作日进行</w:t>
      </w:r>
      <w:r>
        <w:rPr>
          <w:rFonts w:hint="eastAsia" w:ascii="黑体" w:hAnsi="黑体" w:eastAsia="黑体"/>
          <w:sz w:val="18"/>
          <w:szCs w:val="18"/>
        </w:rPr>
        <w:t>公告</w:t>
      </w:r>
      <w:r>
        <w:rPr>
          <w:rFonts w:ascii="黑体" w:hAnsi="黑体" w:eastAsia="黑体"/>
          <w:sz w:val="18"/>
          <w:szCs w:val="18"/>
        </w:rPr>
        <w:t>。</w:t>
      </w:r>
    </w:p>
    <w:p w14:paraId="2FC74E45">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1F2E4D28">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69A65D1C">
      <w:pPr>
        <w:spacing w:line="360" w:lineRule="auto"/>
        <w:ind w:firstLine="360" w:firstLineChars="200"/>
        <w:rPr>
          <w:rFonts w:ascii="黑体" w:hAnsi="黑体" w:eastAsia="黑体"/>
          <w:sz w:val="18"/>
          <w:szCs w:val="18"/>
        </w:rPr>
      </w:pPr>
      <w:r>
        <w:rPr>
          <w:rFonts w:hint="eastAsia" w:ascii="黑体" w:hAnsi="黑体" w:eastAsia="黑体"/>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sz w:val="18"/>
          <w:szCs w:val="18"/>
        </w:rPr>
        <w:t>并提前2个工作日进行</w:t>
      </w:r>
      <w:r>
        <w:rPr>
          <w:rFonts w:hint="eastAsia" w:ascii="黑体" w:hAnsi="黑体" w:eastAsia="黑体"/>
          <w:sz w:val="18"/>
          <w:szCs w:val="18"/>
        </w:rPr>
        <w:t>公告。若投资者未选择退出本产品的，则视为已理解并接受管理人的相应变更。</w:t>
      </w:r>
    </w:p>
    <w:p w14:paraId="5869EF95">
      <w:pPr>
        <w:spacing w:line="360" w:lineRule="auto"/>
        <w:ind w:firstLine="480" w:firstLineChars="200"/>
        <w:rPr>
          <w:bCs/>
          <w:sz w:val="24"/>
        </w:rPr>
      </w:pPr>
      <w:r>
        <w:rPr>
          <w:sz w:val="24"/>
        </w:rPr>
        <w:br w:type="page"/>
      </w:r>
    </w:p>
    <w:p w14:paraId="6FD9AC0B">
      <w:pPr>
        <w:pStyle w:val="2"/>
        <w:spacing w:before="0" w:after="0" w:line="360" w:lineRule="auto"/>
        <w:jc w:val="center"/>
        <w:rPr>
          <w:rFonts w:ascii="Times New Roman"/>
          <w:b w:val="0"/>
          <w:sz w:val="30"/>
        </w:rPr>
      </w:pPr>
      <w:bookmarkStart w:id="200" w:name="_Toc28813"/>
      <w:bookmarkStart w:id="201" w:name="_Toc9986"/>
      <w:bookmarkStart w:id="202" w:name="_Toc79154675"/>
      <w:bookmarkStart w:id="203" w:name="_Toc17790"/>
      <w:bookmarkStart w:id="204" w:name="_Toc103260539"/>
      <w:bookmarkStart w:id="205" w:name="_Toc92377141"/>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200"/>
      <w:bookmarkEnd w:id="201"/>
      <w:bookmarkEnd w:id="202"/>
      <w:bookmarkEnd w:id="203"/>
      <w:bookmarkEnd w:id="204"/>
      <w:bookmarkEnd w:id="205"/>
    </w:p>
    <w:p w14:paraId="7D6E880A">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18D3F614">
      <w:pPr>
        <w:spacing w:line="360" w:lineRule="auto"/>
        <w:ind w:firstLine="360" w:firstLineChars="200"/>
        <w:rPr>
          <w:rFonts w:ascii="宋体" w:hAnsi="宋体"/>
          <w:sz w:val="18"/>
          <w:szCs w:val="18"/>
        </w:rPr>
      </w:pPr>
      <w:permStart w:id="25" w:edGrp="everyone"/>
      <w:r>
        <w:rPr>
          <w:rFonts w:hint="eastAsia" w:ascii="宋体" w:hAnsi="宋体"/>
          <w:sz w:val="18"/>
          <w:szCs w:val="18"/>
        </w:rPr>
        <w:t>【1.拟投资市场和资产的风险：</w:t>
      </w:r>
    </w:p>
    <w:p w14:paraId="758C007A">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14:paraId="6EBC14BA">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14:paraId="02F1C7ED">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ermEnd w:id="25"/>
    <w:p w14:paraId="46E8A1CF">
      <w:pPr>
        <w:spacing w:line="360" w:lineRule="auto"/>
        <w:ind w:firstLine="360" w:firstLineChars="200"/>
        <w:rPr>
          <w:rFonts w:ascii="黑体" w:hAnsi="黑体" w:eastAsia="黑体"/>
          <w:bCs/>
          <w:sz w:val="18"/>
          <w:szCs w:val="18"/>
        </w:rPr>
      </w:pPr>
      <w:r>
        <w:rPr>
          <w:rFonts w:hint="eastAsia" w:ascii="黑体" w:hAnsi="黑体" w:eastAsia="黑体"/>
          <w:bCs/>
          <w:sz w:val="18"/>
          <w:szCs w:val="18"/>
        </w:rPr>
        <w:t>★注：以上特定风险仅为列举性质，未能详尽列明投资本产品可能面临的全部风险和可能导致投资者投资本金及收益损失的所有因素。</w:t>
      </w:r>
    </w:p>
    <w:p w14:paraId="1BB5D80B">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36D481F6">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512E8402">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5DE0C321">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17161BA3">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7129FF6D">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28720EDD">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35BC5B55">
      <w:pPr>
        <w:spacing w:line="360" w:lineRule="auto"/>
        <w:ind w:firstLine="360" w:firstLineChars="200"/>
        <w:rPr>
          <w:rFonts w:ascii="宋体" w:hAnsi="宋体"/>
          <w:sz w:val="18"/>
          <w:szCs w:val="18"/>
        </w:rPr>
      </w:pPr>
      <w:r>
        <w:rPr>
          <w:rFonts w:hint="eastAsia" w:ascii="宋体" w:hAnsi="宋体"/>
          <w:sz w:val="18"/>
          <w:szCs w:val="18"/>
        </w:rPr>
        <w:t>4.流动性风险</w:t>
      </w:r>
    </w:p>
    <w:p w14:paraId="307D86F0">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2E46E093">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34FE9C13">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40483D80">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14:paraId="2EFBF083">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5D66608D">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547FAFDB">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65E830DC">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6C685930">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28C6A102">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62285ECB">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43C5A10C">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29DDCBCF">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253AB43B">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60AD202B">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0D5709BB">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79896155">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5D578AEF">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576A14EF">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14:paraId="03D208F7">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4A3CE6EE">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14:paraId="161867EF">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4AE9F4EB">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7E98E227">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74CC394A">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49583300">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14:paraId="7FD1EE41">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14:paraId="4C5BA7D8">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010A265B">
      <w:pPr>
        <w:widowControl/>
        <w:jc w:val="left"/>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4E6F9F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1844814D">
            <w:pPr>
              <w:spacing w:line="280" w:lineRule="atLeast"/>
              <w:ind w:firstLine="422"/>
              <w:jc w:val="center"/>
              <w:rPr>
                <w:rFonts w:ascii="宋体" w:hAnsi="宋体" w:cs="Arial"/>
                <w:b/>
                <w:szCs w:val="21"/>
              </w:rPr>
            </w:pPr>
            <w:r>
              <w:rPr>
                <w:rFonts w:hint="eastAsia" w:ascii="宋体" w:hAnsi="宋体" w:cs="Arial"/>
                <w:b/>
                <w:szCs w:val="21"/>
              </w:rPr>
              <w:t>投资者确认栏</w:t>
            </w:r>
          </w:p>
          <w:p w14:paraId="3D802596">
            <w:pPr>
              <w:spacing w:line="360" w:lineRule="auto"/>
              <w:ind w:firstLine="361"/>
              <w:rPr>
                <w:b/>
                <w:sz w:val="18"/>
                <w:szCs w:val="18"/>
              </w:rPr>
            </w:pPr>
          </w:p>
        </w:tc>
      </w:tr>
      <w:tr w14:paraId="5B4780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1B8B3132">
            <w:pPr>
              <w:spacing w:line="360" w:lineRule="auto"/>
              <w:jc w:val="left"/>
              <w:rPr>
                <w:b/>
                <w:sz w:val="18"/>
                <w:szCs w:val="18"/>
              </w:rPr>
            </w:pPr>
            <w:r>
              <w:rPr>
                <w:rFonts w:hint="eastAsia"/>
                <w:b/>
                <w:sz w:val="18"/>
                <w:szCs w:val="18"/>
              </w:rPr>
              <w:t>个人投资者适用</w:t>
            </w:r>
          </w:p>
        </w:tc>
        <w:tc>
          <w:tcPr>
            <w:tcW w:w="7371" w:type="dxa"/>
          </w:tcPr>
          <w:p w14:paraId="243BCE8F">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14:paraId="2A658E95">
            <w:pPr>
              <w:spacing w:line="360" w:lineRule="auto"/>
              <w:ind w:firstLine="361"/>
              <w:jc w:val="left"/>
              <w:rPr>
                <w:b/>
                <w:sz w:val="18"/>
                <w:szCs w:val="18"/>
              </w:rPr>
            </w:pPr>
          </w:p>
          <w:p w14:paraId="1B285C7C">
            <w:pPr>
              <w:spacing w:line="360" w:lineRule="auto"/>
              <w:ind w:firstLine="360"/>
              <w:jc w:val="left"/>
              <w:rPr>
                <w:sz w:val="18"/>
                <w:szCs w:val="18"/>
              </w:rPr>
            </w:pPr>
            <w:r>
              <w:rPr>
                <w:rFonts w:hint="eastAsia"/>
                <w:sz w:val="18"/>
                <w:szCs w:val="18"/>
              </w:rPr>
              <w:t>日期：</w:t>
            </w:r>
          </w:p>
        </w:tc>
      </w:tr>
      <w:tr w14:paraId="2D4A00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58CC54D0">
            <w:pPr>
              <w:spacing w:line="360" w:lineRule="auto"/>
              <w:jc w:val="left"/>
              <w:rPr>
                <w:b/>
                <w:sz w:val="18"/>
                <w:szCs w:val="18"/>
              </w:rPr>
            </w:pPr>
            <w:r>
              <w:rPr>
                <w:rFonts w:hint="eastAsia"/>
                <w:b/>
                <w:sz w:val="18"/>
                <w:szCs w:val="18"/>
              </w:rPr>
              <w:t>机构投资者适用</w:t>
            </w:r>
          </w:p>
        </w:tc>
        <w:tc>
          <w:tcPr>
            <w:tcW w:w="7371" w:type="dxa"/>
          </w:tcPr>
          <w:p w14:paraId="4AB0D8EA">
            <w:pPr>
              <w:spacing w:line="360" w:lineRule="auto"/>
              <w:ind w:firstLine="360"/>
              <w:jc w:val="left"/>
              <w:rPr>
                <w:rFonts w:cs="Arial"/>
                <w:sz w:val="18"/>
                <w:szCs w:val="18"/>
              </w:rPr>
            </w:pPr>
            <w:r>
              <w:rPr>
                <w:rFonts w:hint="eastAsia"/>
                <w:sz w:val="18"/>
                <w:szCs w:val="18"/>
              </w:rPr>
              <w:t>投资者</w:t>
            </w:r>
            <w:r>
              <w:rPr>
                <w:rFonts w:hint="eastAsia" w:cs="Arial"/>
                <w:sz w:val="18"/>
                <w:szCs w:val="18"/>
              </w:rPr>
              <w:t>（盖章/线上确认）：</w:t>
            </w:r>
          </w:p>
          <w:p w14:paraId="3C7022C7">
            <w:pPr>
              <w:spacing w:line="360" w:lineRule="auto"/>
              <w:ind w:firstLine="360"/>
              <w:jc w:val="left"/>
              <w:rPr>
                <w:rFonts w:cs="Arial"/>
                <w:sz w:val="18"/>
                <w:szCs w:val="18"/>
              </w:rPr>
            </w:pPr>
          </w:p>
          <w:p w14:paraId="2634B020">
            <w:pPr>
              <w:spacing w:line="360" w:lineRule="auto"/>
              <w:ind w:firstLine="360"/>
              <w:jc w:val="left"/>
              <w:rPr>
                <w:rFonts w:cs="Arial"/>
                <w:sz w:val="18"/>
                <w:szCs w:val="18"/>
              </w:rPr>
            </w:pPr>
            <w:r>
              <w:rPr>
                <w:rFonts w:hint="eastAsia" w:cs="Arial"/>
                <w:sz w:val="18"/>
                <w:szCs w:val="18"/>
              </w:rPr>
              <w:t>投资者法定代表人或授权代理人（签名/盖章/线上确认）：</w:t>
            </w:r>
          </w:p>
          <w:p w14:paraId="57D21684">
            <w:pPr>
              <w:spacing w:line="360" w:lineRule="auto"/>
              <w:ind w:firstLine="360"/>
              <w:jc w:val="left"/>
              <w:rPr>
                <w:sz w:val="18"/>
                <w:szCs w:val="18"/>
              </w:rPr>
            </w:pPr>
            <w:r>
              <w:rPr>
                <w:rFonts w:hint="eastAsia"/>
                <w:sz w:val="18"/>
                <w:szCs w:val="18"/>
              </w:rPr>
              <w:t>日期：</w:t>
            </w:r>
          </w:p>
        </w:tc>
      </w:tr>
    </w:tbl>
    <w:p w14:paraId="4CAD67C9">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6B9C7471">
      <w:pPr>
        <w:spacing w:line="360" w:lineRule="auto"/>
        <w:ind w:firstLine="360" w:firstLineChars="200"/>
        <w:rPr>
          <w:rFonts w:ascii="宋体" w:hAnsi="宋体"/>
          <w:sz w:val="18"/>
          <w:szCs w:val="18"/>
        </w:rPr>
      </w:pPr>
    </w:p>
    <w:p w14:paraId="5F704E4E">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15647"/>
    </w:sdtPr>
    <w:sdtContent>
      <w:p w14:paraId="262B1BAE">
        <w:pPr>
          <w:pStyle w:val="14"/>
          <w:jc w:val="center"/>
        </w:pPr>
        <w:r>
          <w:fldChar w:fldCharType="begin"/>
        </w:r>
        <w:r>
          <w:instrText xml:space="preserve"> PAGE   \* MERGEFORMAT </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B5CC">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14:paraId="14B27748">
    <w:pPr>
      <w:pStyle w:val="15"/>
      <w:jc w:val="right"/>
      <w:rPr>
        <w:rFonts w:ascii="Times New Roman" w:hAnsi="Times New Roman" w:cs="Times New Roman"/>
        <w:b/>
        <w:szCs w:val="20"/>
      </w:rPr>
    </w:pPr>
    <w:r>
      <w:rPr>
        <w:rFonts w:hint="eastAsia" w:ascii="Times New Roman" w:hAnsi="Times New Roman" w:cs="Times New Roman"/>
        <w:b/>
        <w:szCs w:val="20"/>
      </w:rPr>
      <w:t>注：本文件由兴银理财有限责任公司统一编制</w:t>
    </w:r>
  </w:p>
  <w:p w14:paraId="1E56322F">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dit="readOnly" w:enforcement="1" w:cryptProviderType="rsaFull" w:cryptAlgorithmClass="hash" w:cryptAlgorithmType="typeAny" w:cryptAlgorithmSid="4" w:cryptSpinCount="0" w:hash="dwdo8tR0K+KTIm1WjMnVV9BMqWA=" w:salt="H4wu8E5Ko/j9GjFSBLuDRQ=="/>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80277"/>
    <w:rsid w:val="0008037A"/>
    <w:rsid w:val="00080815"/>
    <w:rsid w:val="00081DC7"/>
    <w:rsid w:val="000826C9"/>
    <w:rsid w:val="00082E45"/>
    <w:rsid w:val="00083F31"/>
    <w:rsid w:val="00085DD5"/>
    <w:rsid w:val="00086DD4"/>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568B"/>
    <w:rsid w:val="000B6819"/>
    <w:rsid w:val="000B7F67"/>
    <w:rsid w:val="000C31AC"/>
    <w:rsid w:val="000C3B81"/>
    <w:rsid w:val="000C69CB"/>
    <w:rsid w:val="000C6BF4"/>
    <w:rsid w:val="000C7C96"/>
    <w:rsid w:val="000D0C3A"/>
    <w:rsid w:val="000D10B1"/>
    <w:rsid w:val="000D1473"/>
    <w:rsid w:val="000D19CF"/>
    <w:rsid w:val="000D1ADF"/>
    <w:rsid w:val="000D2623"/>
    <w:rsid w:val="000D3A43"/>
    <w:rsid w:val="000D3E2A"/>
    <w:rsid w:val="000D4DAE"/>
    <w:rsid w:val="000D548F"/>
    <w:rsid w:val="000D591B"/>
    <w:rsid w:val="000E008C"/>
    <w:rsid w:val="000E10C7"/>
    <w:rsid w:val="000E181B"/>
    <w:rsid w:val="000E18C8"/>
    <w:rsid w:val="000E2054"/>
    <w:rsid w:val="000E5A74"/>
    <w:rsid w:val="000E6A7A"/>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17B00"/>
    <w:rsid w:val="00121A98"/>
    <w:rsid w:val="00122AA4"/>
    <w:rsid w:val="00122E28"/>
    <w:rsid w:val="001232D0"/>
    <w:rsid w:val="00123FEF"/>
    <w:rsid w:val="0012639A"/>
    <w:rsid w:val="00127FAE"/>
    <w:rsid w:val="00132300"/>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4EE7"/>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C8"/>
    <w:rsid w:val="001D06D0"/>
    <w:rsid w:val="001D0990"/>
    <w:rsid w:val="001D1C72"/>
    <w:rsid w:val="001D1D5B"/>
    <w:rsid w:val="001D2824"/>
    <w:rsid w:val="001D3E8B"/>
    <w:rsid w:val="001D4AC9"/>
    <w:rsid w:val="001D4BC1"/>
    <w:rsid w:val="001D570A"/>
    <w:rsid w:val="001D688E"/>
    <w:rsid w:val="001D7E99"/>
    <w:rsid w:val="001E14FD"/>
    <w:rsid w:val="001E291D"/>
    <w:rsid w:val="001E461E"/>
    <w:rsid w:val="001E54CE"/>
    <w:rsid w:val="001E61BD"/>
    <w:rsid w:val="001E6BA6"/>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7ED"/>
    <w:rsid w:val="00290893"/>
    <w:rsid w:val="0029197D"/>
    <w:rsid w:val="00293329"/>
    <w:rsid w:val="002A1894"/>
    <w:rsid w:val="002A2964"/>
    <w:rsid w:val="002A3DA0"/>
    <w:rsid w:val="002A6688"/>
    <w:rsid w:val="002B0460"/>
    <w:rsid w:val="002B0A68"/>
    <w:rsid w:val="002B1215"/>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6AFD"/>
    <w:rsid w:val="002D7529"/>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0F0F"/>
    <w:rsid w:val="0031156D"/>
    <w:rsid w:val="003122D5"/>
    <w:rsid w:val="00313E1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E86"/>
    <w:rsid w:val="00391268"/>
    <w:rsid w:val="00391BBC"/>
    <w:rsid w:val="00392F32"/>
    <w:rsid w:val="0039407B"/>
    <w:rsid w:val="00396E72"/>
    <w:rsid w:val="003A430B"/>
    <w:rsid w:val="003B00EC"/>
    <w:rsid w:val="003B016B"/>
    <w:rsid w:val="003B06BE"/>
    <w:rsid w:val="003B1841"/>
    <w:rsid w:val="003B32A0"/>
    <w:rsid w:val="003B343A"/>
    <w:rsid w:val="003B600B"/>
    <w:rsid w:val="003B72A3"/>
    <w:rsid w:val="003C20A9"/>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D00"/>
    <w:rsid w:val="003F4B74"/>
    <w:rsid w:val="00400144"/>
    <w:rsid w:val="00400D54"/>
    <w:rsid w:val="0040151D"/>
    <w:rsid w:val="004043E5"/>
    <w:rsid w:val="00404A76"/>
    <w:rsid w:val="00404C4F"/>
    <w:rsid w:val="00404D2B"/>
    <w:rsid w:val="00406C36"/>
    <w:rsid w:val="00407912"/>
    <w:rsid w:val="00410860"/>
    <w:rsid w:val="00411594"/>
    <w:rsid w:val="004134C2"/>
    <w:rsid w:val="00413AD2"/>
    <w:rsid w:val="00416AC9"/>
    <w:rsid w:val="00416AF8"/>
    <w:rsid w:val="00416CB0"/>
    <w:rsid w:val="0042292D"/>
    <w:rsid w:val="00422B14"/>
    <w:rsid w:val="004239E7"/>
    <w:rsid w:val="00424562"/>
    <w:rsid w:val="0042456A"/>
    <w:rsid w:val="00424897"/>
    <w:rsid w:val="004259CB"/>
    <w:rsid w:val="00426CB5"/>
    <w:rsid w:val="0042700C"/>
    <w:rsid w:val="00430DF1"/>
    <w:rsid w:val="00432858"/>
    <w:rsid w:val="00434DA3"/>
    <w:rsid w:val="004365C7"/>
    <w:rsid w:val="004369A7"/>
    <w:rsid w:val="0043725F"/>
    <w:rsid w:val="00440E4C"/>
    <w:rsid w:val="00441309"/>
    <w:rsid w:val="00441A1F"/>
    <w:rsid w:val="00441C87"/>
    <w:rsid w:val="004421A0"/>
    <w:rsid w:val="0044275F"/>
    <w:rsid w:val="0044318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3C6"/>
    <w:rsid w:val="00462D9E"/>
    <w:rsid w:val="00464878"/>
    <w:rsid w:val="00465BE2"/>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6134"/>
    <w:rsid w:val="004C75D9"/>
    <w:rsid w:val="004D0C41"/>
    <w:rsid w:val="004D1CFA"/>
    <w:rsid w:val="004D2141"/>
    <w:rsid w:val="004D373F"/>
    <w:rsid w:val="004D3932"/>
    <w:rsid w:val="004D5055"/>
    <w:rsid w:val="004D5AAF"/>
    <w:rsid w:val="004D5BE2"/>
    <w:rsid w:val="004D5E18"/>
    <w:rsid w:val="004D6163"/>
    <w:rsid w:val="004D6C75"/>
    <w:rsid w:val="004E08E7"/>
    <w:rsid w:val="004E17EB"/>
    <w:rsid w:val="004E20E1"/>
    <w:rsid w:val="004E3BD3"/>
    <w:rsid w:val="004E4084"/>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7A4"/>
    <w:rsid w:val="00510AB9"/>
    <w:rsid w:val="00512B61"/>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383E"/>
    <w:rsid w:val="00544067"/>
    <w:rsid w:val="00544689"/>
    <w:rsid w:val="005448AE"/>
    <w:rsid w:val="00544EBF"/>
    <w:rsid w:val="0054752F"/>
    <w:rsid w:val="005477FF"/>
    <w:rsid w:val="005514EA"/>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0E82"/>
    <w:rsid w:val="00583DB2"/>
    <w:rsid w:val="00583FFD"/>
    <w:rsid w:val="0058644F"/>
    <w:rsid w:val="00586B5E"/>
    <w:rsid w:val="0058793F"/>
    <w:rsid w:val="00587E86"/>
    <w:rsid w:val="005905CC"/>
    <w:rsid w:val="0059345F"/>
    <w:rsid w:val="005942B5"/>
    <w:rsid w:val="005964FC"/>
    <w:rsid w:val="00596640"/>
    <w:rsid w:val="005A0BAF"/>
    <w:rsid w:val="005A0CDE"/>
    <w:rsid w:val="005A1A2E"/>
    <w:rsid w:val="005A2814"/>
    <w:rsid w:val="005A2F58"/>
    <w:rsid w:val="005A52CE"/>
    <w:rsid w:val="005A5694"/>
    <w:rsid w:val="005A60A3"/>
    <w:rsid w:val="005B0326"/>
    <w:rsid w:val="005B14F6"/>
    <w:rsid w:val="005B1513"/>
    <w:rsid w:val="005B1F01"/>
    <w:rsid w:val="005B3D95"/>
    <w:rsid w:val="005B45B8"/>
    <w:rsid w:val="005B6567"/>
    <w:rsid w:val="005C1011"/>
    <w:rsid w:val="005C1A4B"/>
    <w:rsid w:val="005C2C22"/>
    <w:rsid w:val="005C3351"/>
    <w:rsid w:val="005C46BB"/>
    <w:rsid w:val="005C6C9D"/>
    <w:rsid w:val="005C7108"/>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441"/>
    <w:rsid w:val="005F379A"/>
    <w:rsid w:val="005F4287"/>
    <w:rsid w:val="005F469C"/>
    <w:rsid w:val="005F7C7E"/>
    <w:rsid w:val="005F7FD5"/>
    <w:rsid w:val="0060066F"/>
    <w:rsid w:val="00600FE7"/>
    <w:rsid w:val="006016B4"/>
    <w:rsid w:val="006019D1"/>
    <w:rsid w:val="00605524"/>
    <w:rsid w:val="00605B31"/>
    <w:rsid w:val="00605C5D"/>
    <w:rsid w:val="006065FB"/>
    <w:rsid w:val="00607DDC"/>
    <w:rsid w:val="00611A33"/>
    <w:rsid w:val="00612869"/>
    <w:rsid w:val="006146BA"/>
    <w:rsid w:val="00615A93"/>
    <w:rsid w:val="006172ED"/>
    <w:rsid w:val="00620063"/>
    <w:rsid w:val="00620D75"/>
    <w:rsid w:val="00621F2C"/>
    <w:rsid w:val="00624760"/>
    <w:rsid w:val="00624F2C"/>
    <w:rsid w:val="00626BC0"/>
    <w:rsid w:val="0063051C"/>
    <w:rsid w:val="006310FF"/>
    <w:rsid w:val="00631736"/>
    <w:rsid w:val="006328AE"/>
    <w:rsid w:val="0064020E"/>
    <w:rsid w:val="0064076F"/>
    <w:rsid w:val="0064087A"/>
    <w:rsid w:val="00642A61"/>
    <w:rsid w:val="006451BF"/>
    <w:rsid w:val="006453CC"/>
    <w:rsid w:val="0064589D"/>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042"/>
    <w:rsid w:val="006929EA"/>
    <w:rsid w:val="00692BC9"/>
    <w:rsid w:val="0069501F"/>
    <w:rsid w:val="006961A8"/>
    <w:rsid w:val="00697C87"/>
    <w:rsid w:val="00697D22"/>
    <w:rsid w:val="006A0942"/>
    <w:rsid w:val="006A1579"/>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7218"/>
    <w:rsid w:val="006C75F7"/>
    <w:rsid w:val="006C7E9B"/>
    <w:rsid w:val="006D0BDE"/>
    <w:rsid w:val="006D0F3C"/>
    <w:rsid w:val="006D160E"/>
    <w:rsid w:val="006D3D10"/>
    <w:rsid w:val="006D4093"/>
    <w:rsid w:val="006D4430"/>
    <w:rsid w:val="006D586E"/>
    <w:rsid w:val="006D6C20"/>
    <w:rsid w:val="006D7C06"/>
    <w:rsid w:val="006D7D05"/>
    <w:rsid w:val="006E011D"/>
    <w:rsid w:val="006E1A9B"/>
    <w:rsid w:val="006E2E41"/>
    <w:rsid w:val="006E420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20D3D"/>
    <w:rsid w:val="00720E8F"/>
    <w:rsid w:val="007210F9"/>
    <w:rsid w:val="00724416"/>
    <w:rsid w:val="0072773A"/>
    <w:rsid w:val="00727C00"/>
    <w:rsid w:val="007305B6"/>
    <w:rsid w:val="007319DA"/>
    <w:rsid w:val="00737C42"/>
    <w:rsid w:val="00741920"/>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87AC9"/>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8E0"/>
    <w:rsid w:val="007D7B84"/>
    <w:rsid w:val="007E1F76"/>
    <w:rsid w:val="007E3453"/>
    <w:rsid w:val="007E3857"/>
    <w:rsid w:val="007E4180"/>
    <w:rsid w:val="007E4A3F"/>
    <w:rsid w:val="007E6E94"/>
    <w:rsid w:val="007E775F"/>
    <w:rsid w:val="007F19E2"/>
    <w:rsid w:val="007F2369"/>
    <w:rsid w:val="007F2A00"/>
    <w:rsid w:val="007F2DEA"/>
    <w:rsid w:val="007F353C"/>
    <w:rsid w:val="007F42B0"/>
    <w:rsid w:val="007F557D"/>
    <w:rsid w:val="007F5D9C"/>
    <w:rsid w:val="007F66E1"/>
    <w:rsid w:val="0080018F"/>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0FC"/>
    <w:rsid w:val="008735AB"/>
    <w:rsid w:val="008740D8"/>
    <w:rsid w:val="0087506B"/>
    <w:rsid w:val="0087693A"/>
    <w:rsid w:val="00876C63"/>
    <w:rsid w:val="00876D94"/>
    <w:rsid w:val="0089069E"/>
    <w:rsid w:val="008912D3"/>
    <w:rsid w:val="008914CB"/>
    <w:rsid w:val="008937B1"/>
    <w:rsid w:val="00894A43"/>
    <w:rsid w:val="00895477"/>
    <w:rsid w:val="00895F6F"/>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0CB"/>
    <w:rsid w:val="008C5304"/>
    <w:rsid w:val="008C6459"/>
    <w:rsid w:val="008C7CC2"/>
    <w:rsid w:val="008D01F8"/>
    <w:rsid w:val="008D0325"/>
    <w:rsid w:val="008D0AD4"/>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45A"/>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59EB"/>
    <w:rsid w:val="009604D5"/>
    <w:rsid w:val="009626CA"/>
    <w:rsid w:val="00962D06"/>
    <w:rsid w:val="00963402"/>
    <w:rsid w:val="00964835"/>
    <w:rsid w:val="00966868"/>
    <w:rsid w:val="00966917"/>
    <w:rsid w:val="00967387"/>
    <w:rsid w:val="009709AB"/>
    <w:rsid w:val="00971FD5"/>
    <w:rsid w:val="0097223A"/>
    <w:rsid w:val="009729E3"/>
    <w:rsid w:val="00974167"/>
    <w:rsid w:val="00974BED"/>
    <w:rsid w:val="00975E0A"/>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7E03"/>
    <w:rsid w:val="009A0770"/>
    <w:rsid w:val="009A0BA3"/>
    <w:rsid w:val="009A1A8B"/>
    <w:rsid w:val="009A2A56"/>
    <w:rsid w:val="009A39FB"/>
    <w:rsid w:val="009A418D"/>
    <w:rsid w:val="009A520C"/>
    <w:rsid w:val="009A75FE"/>
    <w:rsid w:val="009B137E"/>
    <w:rsid w:val="009B2144"/>
    <w:rsid w:val="009B2D08"/>
    <w:rsid w:val="009B6315"/>
    <w:rsid w:val="009B6C73"/>
    <w:rsid w:val="009C36E0"/>
    <w:rsid w:val="009C4645"/>
    <w:rsid w:val="009C59F9"/>
    <w:rsid w:val="009C63B1"/>
    <w:rsid w:val="009C6C6F"/>
    <w:rsid w:val="009C6DCD"/>
    <w:rsid w:val="009D0173"/>
    <w:rsid w:val="009D0895"/>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A07"/>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67E"/>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30C"/>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873D2"/>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C03"/>
    <w:rsid w:val="00AB50AF"/>
    <w:rsid w:val="00AB52EA"/>
    <w:rsid w:val="00AB5EF6"/>
    <w:rsid w:val="00AB7BAC"/>
    <w:rsid w:val="00AC0EF8"/>
    <w:rsid w:val="00AC263A"/>
    <w:rsid w:val="00AC2A27"/>
    <w:rsid w:val="00AC2E64"/>
    <w:rsid w:val="00AC3AFC"/>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028D"/>
    <w:rsid w:val="00B32C84"/>
    <w:rsid w:val="00B33E5E"/>
    <w:rsid w:val="00B34D85"/>
    <w:rsid w:val="00B3567F"/>
    <w:rsid w:val="00B3710C"/>
    <w:rsid w:val="00B37FE3"/>
    <w:rsid w:val="00B412ED"/>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4572"/>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977B3"/>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2CFE"/>
    <w:rsid w:val="00BC3D6F"/>
    <w:rsid w:val="00BC4C6A"/>
    <w:rsid w:val="00BC57F5"/>
    <w:rsid w:val="00BC782B"/>
    <w:rsid w:val="00BD1D4D"/>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5D2"/>
    <w:rsid w:val="00C8091E"/>
    <w:rsid w:val="00C80EE0"/>
    <w:rsid w:val="00C8162B"/>
    <w:rsid w:val="00C816BA"/>
    <w:rsid w:val="00C81CA2"/>
    <w:rsid w:val="00C8291D"/>
    <w:rsid w:val="00C833B1"/>
    <w:rsid w:val="00C84315"/>
    <w:rsid w:val="00C8473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287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16B3F"/>
    <w:rsid w:val="00E2059A"/>
    <w:rsid w:val="00E234C8"/>
    <w:rsid w:val="00E23FD9"/>
    <w:rsid w:val="00E241D9"/>
    <w:rsid w:val="00E24E21"/>
    <w:rsid w:val="00E26111"/>
    <w:rsid w:val="00E27F54"/>
    <w:rsid w:val="00E30277"/>
    <w:rsid w:val="00E308BB"/>
    <w:rsid w:val="00E313CE"/>
    <w:rsid w:val="00E3165C"/>
    <w:rsid w:val="00E3244D"/>
    <w:rsid w:val="00E32751"/>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A63"/>
    <w:rsid w:val="00EB0052"/>
    <w:rsid w:val="00EB0FBB"/>
    <w:rsid w:val="00EB215C"/>
    <w:rsid w:val="00EB3768"/>
    <w:rsid w:val="00EB3A44"/>
    <w:rsid w:val="00EB5817"/>
    <w:rsid w:val="00EB5D26"/>
    <w:rsid w:val="00EB7522"/>
    <w:rsid w:val="00EB7D69"/>
    <w:rsid w:val="00EC03D1"/>
    <w:rsid w:val="00EC223C"/>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F00C9"/>
    <w:rsid w:val="00EF0C29"/>
    <w:rsid w:val="00EF30E2"/>
    <w:rsid w:val="00EF3119"/>
    <w:rsid w:val="00EF3282"/>
    <w:rsid w:val="00EF6C64"/>
    <w:rsid w:val="00F002AB"/>
    <w:rsid w:val="00F00DD1"/>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62A"/>
    <w:rsid w:val="00F66759"/>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781A"/>
    <w:rsid w:val="00FA057C"/>
    <w:rsid w:val="00FA058B"/>
    <w:rsid w:val="00FA086F"/>
    <w:rsid w:val="00FA0D16"/>
    <w:rsid w:val="00FA185B"/>
    <w:rsid w:val="00FA60BF"/>
    <w:rsid w:val="00FA6883"/>
    <w:rsid w:val="00FA7405"/>
    <w:rsid w:val="00FB0D12"/>
    <w:rsid w:val="00FB1CB4"/>
    <w:rsid w:val="00FB23B5"/>
    <w:rsid w:val="00FB39D2"/>
    <w:rsid w:val="00FB3D40"/>
    <w:rsid w:val="00FB44EB"/>
    <w:rsid w:val="00FB675F"/>
    <w:rsid w:val="00FC11A3"/>
    <w:rsid w:val="00FC1300"/>
    <w:rsid w:val="00FC1C93"/>
    <w:rsid w:val="00FC39EF"/>
    <w:rsid w:val="00FC42A3"/>
    <w:rsid w:val="00FC55F9"/>
    <w:rsid w:val="00FC60D4"/>
    <w:rsid w:val="00FC77AE"/>
    <w:rsid w:val="00FC7D9F"/>
    <w:rsid w:val="00FD2BAD"/>
    <w:rsid w:val="00FD2F51"/>
    <w:rsid w:val="00FD330C"/>
    <w:rsid w:val="00FD3660"/>
    <w:rsid w:val="00FD484C"/>
    <w:rsid w:val="00FD49D6"/>
    <w:rsid w:val="00FD55FB"/>
    <w:rsid w:val="00FD569D"/>
    <w:rsid w:val="00FD678B"/>
    <w:rsid w:val="00FD6903"/>
    <w:rsid w:val="00FE1ADC"/>
    <w:rsid w:val="00FE225D"/>
    <w:rsid w:val="00FE4989"/>
    <w:rsid w:val="00FE5C3E"/>
    <w:rsid w:val="00FF0A2F"/>
    <w:rsid w:val="00FF1B04"/>
    <w:rsid w:val="00FF22F8"/>
    <w:rsid w:val="01533290"/>
    <w:rsid w:val="01654C82"/>
    <w:rsid w:val="020A6A96"/>
    <w:rsid w:val="0356786B"/>
    <w:rsid w:val="03D829CD"/>
    <w:rsid w:val="046E31C1"/>
    <w:rsid w:val="056C4F65"/>
    <w:rsid w:val="05B94361"/>
    <w:rsid w:val="06F4696E"/>
    <w:rsid w:val="07245E56"/>
    <w:rsid w:val="074B3905"/>
    <w:rsid w:val="09FB7353"/>
    <w:rsid w:val="0B7C330C"/>
    <w:rsid w:val="0C023D8C"/>
    <w:rsid w:val="0C225D7B"/>
    <w:rsid w:val="0C3A18FA"/>
    <w:rsid w:val="0D544AD8"/>
    <w:rsid w:val="0E9022D3"/>
    <w:rsid w:val="0E94232E"/>
    <w:rsid w:val="0EDE05BD"/>
    <w:rsid w:val="0F025487"/>
    <w:rsid w:val="0F1306D5"/>
    <w:rsid w:val="10365F82"/>
    <w:rsid w:val="10AB63B0"/>
    <w:rsid w:val="11295396"/>
    <w:rsid w:val="13AE2521"/>
    <w:rsid w:val="14740EE4"/>
    <w:rsid w:val="16314AD6"/>
    <w:rsid w:val="163E2FB7"/>
    <w:rsid w:val="17101A9E"/>
    <w:rsid w:val="17622796"/>
    <w:rsid w:val="17925B3D"/>
    <w:rsid w:val="19F32D28"/>
    <w:rsid w:val="1A48157B"/>
    <w:rsid w:val="1AAA799F"/>
    <w:rsid w:val="1B411590"/>
    <w:rsid w:val="1B9930ED"/>
    <w:rsid w:val="1BAC7095"/>
    <w:rsid w:val="1BD70953"/>
    <w:rsid w:val="1BF87698"/>
    <w:rsid w:val="1D4C7D7F"/>
    <w:rsid w:val="1E585AB7"/>
    <w:rsid w:val="1EB160C2"/>
    <w:rsid w:val="1F12485E"/>
    <w:rsid w:val="1FAC1F36"/>
    <w:rsid w:val="1FF145B9"/>
    <w:rsid w:val="2193546F"/>
    <w:rsid w:val="22124D38"/>
    <w:rsid w:val="2436294C"/>
    <w:rsid w:val="26DB7B6F"/>
    <w:rsid w:val="26F50BA9"/>
    <w:rsid w:val="27BD5E26"/>
    <w:rsid w:val="285E4249"/>
    <w:rsid w:val="28991572"/>
    <w:rsid w:val="29026D00"/>
    <w:rsid w:val="2AF13C2E"/>
    <w:rsid w:val="2C1C6772"/>
    <w:rsid w:val="2D85100F"/>
    <w:rsid w:val="2EA421B8"/>
    <w:rsid w:val="2EA644DF"/>
    <w:rsid w:val="2EFA4D05"/>
    <w:rsid w:val="2FB532A0"/>
    <w:rsid w:val="3035346F"/>
    <w:rsid w:val="319C4BEA"/>
    <w:rsid w:val="34663B5D"/>
    <w:rsid w:val="34C829B2"/>
    <w:rsid w:val="35381804"/>
    <w:rsid w:val="36146FAD"/>
    <w:rsid w:val="386A3F56"/>
    <w:rsid w:val="3A810EF7"/>
    <w:rsid w:val="3A842191"/>
    <w:rsid w:val="3ACF0F3F"/>
    <w:rsid w:val="3B39051F"/>
    <w:rsid w:val="3B7626CB"/>
    <w:rsid w:val="3C3802E9"/>
    <w:rsid w:val="3E493D42"/>
    <w:rsid w:val="3E586AB8"/>
    <w:rsid w:val="3E5C1B1D"/>
    <w:rsid w:val="3EAE14E9"/>
    <w:rsid w:val="3FD261A6"/>
    <w:rsid w:val="41F15766"/>
    <w:rsid w:val="42EB2F9C"/>
    <w:rsid w:val="42F736A3"/>
    <w:rsid w:val="439D563D"/>
    <w:rsid w:val="443C724B"/>
    <w:rsid w:val="45226963"/>
    <w:rsid w:val="45AC45B6"/>
    <w:rsid w:val="46640412"/>
    <w:rsid w:val="479A6CA5"/>
    <w:rsid w:val="48893CC9"/>
    <w:rsid w:val="4AD06887"/>
    <w:rsid w:val="4C354C02"/>
    <w:rsid w:val="4D39606F"/>
    <w:rsid w:val="4D6133AD"/>
    <w:rsid w:val="4EB642FA"/>
    <w:rsid w:val="4F8E3D4D"/>
    <w:rsid w:val="509B30EF"/>
    <w:rsid w:val="5171747E"/>
    <w:rsid w:val="53063B85"/>
    <w:rsid w:val="533C1961"/>
    <w:rsid w:val="53B3493A"/>
    <w:rsid w:val="53EE2EEC"/>
    <w:rsid w:val="544C2BC0"/>
    <w:rsid w:val="5537323C"/>
    <w:rsid w:val="55855837"/>
    <w:rsid w:val="55E83741"/>
    <w:rsid w:val="56503211"/>
    <w:rsid w:val="56B942D3"/>
    <w:rsid w:val="580710CE"/>
    <w:rsid w:val="598B567E"/>
    <w:rsid w:val="5B5F2963"/>
    <w:rsid w:val="5BA35A94"/>
    <w:rsid w:val="5C624734"/>
    <w:rsid w:val="5CF31A52"/>
    <w:rsid w:val="5E243C02"/>
    <w:rsid w:val="5EF47804"/>
    <w:rsid w:val="5FE91ABC"/>
    <w:rsid w:val="628E734C"/>
    <w:rsid w:val="62BD3A82"/>
    <w:rsid w:val="6383236D"/>
    <w:rsid w:val="6580603B"/>
    <w:rsid w:val="65872B2C"/>
    <w:rsid w:val="66A34D18"/>
    <w:rsid w:val="682A44E1"/>
    <w:rsid w:val="68C7223A"/>
    <w:rsid w:val="68EF6886"/>
    <w:rsid w:val="69A35D30"/>
    <w:rsid w:val="6A8739CF"/>
    <w:rsid w:val="6C2B2E22"/>
    <w:rsid w:val="6E5437AF"/>
    <w:rsid w:val="6EAA7DFD"/>
    <w:rsid w:val="6F315DAE"/>
    <w:rsid w:val="6F9B4BEB"/>
    <w:rsid w:val="6FDD1093"/>
    <w:rsid w:val="709C0126"/>
    <w:rsid w:val="73D736B7"/>
    <w:rsid w:val="73FF18A4"/>
    <w:rsid w:val="74525B0A"/>
    <w:rsid w:val="76022652"/>
    <w:rsid w:val="768501BE"/>
    <w:rsid w:val="76C8601E"/>
    <w:rsid w:val="770C74D3"/>
    <w:rsid w:val="77150144"/>
    <w:rsid w:val="7AC82DE4"/>
    <w:rsid w:val="7BEA1CFE"/>
    <w:rsid w:val="7D803772"/>
    <w:rsid w:val="7D80556D"/>
    <w:rsid w:val="7D837716"/>
    <w:rsid w:val="7E3713F1"/>
    <w:rsid w:val="7ED8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正文2"/>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A638-9D3A-4AA3-A169-FF78BC0E4BE9}">
  <ds:schemaRefs/>
</ds:datastoreItem>
</file>

<file path=customXml/itemProps10.xml><?xml version="1.0" encoding="utf-8"?>
<ds:datastoreItem xmlns:ds="http://schemas.openxmlformats.org/officeDocument/2006/customXml" ds:itemID="{AC86F3EB-DB57-4B60-8A7E-BBB67A22EE0B}">
  <ds:schemaRefs/>
</ds:datastoreItem>
</file>

<file path=customXml/itemProps11.xml><?xml version="1.0" encoding="utf-8"?>
<ds:datastoreItem xmlns:ds="http://schemas.openxmlformats.org/officeDocument/2006/customXml" ds:itemID="{3A3C3A8D-C5E4-45AF-8B48-C3BF528808AD}">
  <ds:schemaRefs/>
</ds:datastoreItem>
</file>

<file path=customXml/itemProps12.xml><?xml version="1.0" encoding="utf-8"?>
<ds:datastoreItem xmlns:ds="http://schemas.openxmlformats.org/officeDocument/2006/customXml" ds:itemID="{CF487381-D648-48A1-B1E4-A4540B0D3650}">
  <ds:schemaRefs/>
</ds:datastoreItem>
</file>

<file path=customXml/itemProps13.xml><?xml version="1.0" encoding="utf-8"?>
<ds:datastoreItem xmlns:ds="http://schemas.openxmlformats.org/officeDocument/2006/customXml" ds:itemID="{E6D3D55C-3DD8-4C31-8069-E5508DD844FB}">
  <ds:schemaRefs/>
</ds:datastoreItem>
</file>

<file path=customXml/itemProps14.xml><?xml version="1.0" encoding="utf-8"?>
<ds:datastoreItem xmlns:ds="http://schemas.openxmlformats.org/officeDocument/2006/customXml" ds:itemID="{9114D43D-ED98-4C7B-A3AE-26D78B80CA82}">
  <ds:schemaRefs/>
</ds:datastoreItem>
</file>

<file path=customXml/itemProps15.xml><?xml version="1.0" encoding="utf-8"?>
<ds:datastoreItem xmlns:ds="http://schemas.openxmlformats.org/officeDocument/2006/customXml" ds:itemID="{0A7AA9EF-3B8C-4BAA-9155-A6E3E5337D3C}">
  <ds:schemaRefs/>
</ds:datastoreItem>
</file>

<file path=customXml/itemProps16.xml><?xml version="1.0" encoding="utf-8"?>
<ds:datastoreItem xmlns:ds="http://schemas.openxmlformats.org/officeDocument/2006/customXml" ds:itemID="{79B37214-9E52-4241-8DD2-9E9CD9442006}">
  <ds:schemaRefs/>
</ds:datastoreItem>
</file>

<file path=customXml/itemProps17.xml><?xml version="1.0" encoding="utf-8"?>
<ds:datastoreItem xmlns:ds="http://schemas.openxmlformats.org/officeDocument/2006/customXml" ds:itemID="{A06CD169-7F5C-4082-81B2-6ECAA9AF6149}">
  <ds:schemaRefs/>
</ds:datastoreItem>
</file>

<file path=customXml/itemProps2.xml><?xml version="1.0" encoding="utf-8"?>
<ds:datastoreItem xmlns:ds="http://schemas.openxmlformats.org/officeDocument/2006/customXml" ds:itemID="{1990A2D8-324F-45D5-B9CD-07245ED2860B}">
  <ds:schemaRefs/>
</ds:datastoreItem>
</file>

<file path=customXml/itemProps3.xml><?xml version="1.0" encoding="utf-8"?>
<ds:datastoreItem xmlns:ds="http://schemas.openxmlformats.org/officeDocument/2006/customXml" ds:itemID="{BEEE0313-55EB-45FA-BBBD-C0232D367255}">
  <ds:schemaRefs/>
</ds:datastoreItem>
</file>

<file path=customXml/itemProps4.xml><?xml version="1.0" encoding="utf-8"?>
<ds:datastoreItem xmlns:ds="http://schemas.openxmlformats.org/officeDocument/2006/customXml" ds:itemID="{EC45DDBE-A426-47CA-BC62-D025DE29F1BC}">
  <ds:schemaRefs/>
</ds:datastoreItem>
</file>

<file path=customXml/itemProps5.xml><?xml version="1.0" encoding="utf-8"?>
<ds:datastoreItem xmlns:ds="http://schemas.openxmlformats.org/officeDocument/2006/customXml" ds:itemID="{2108FF18-8EC8-4170-A536-1AA8E39CC797}">
  <ds:schemaRefs/>
</ds:datastoreItem>
</file>

<file path=customXml/itemProps6.xml><?xml version="1.0" encoding="utf-8"?>
<ds:datastoreItem xmlns:ds="http://schemas.openxmlformats.org/officeDocument/2006/customXml" ds:itemID="{1A3BDF38-4832-4575-A8AB-7A1679738229}">
  <ds:schemaRefs/>
</ds:datastoreItem>
</file>

<file path=customXml/itemProps7.xml><?xml version="1.0" encoding="utf-8"?>
<ds:datastoreItem xmlns:ds="http://schemas.openxmlformats.org/officeDocument/2006/customXml" ds:itemID="{D902962D-C8CC-43BF-804A-CD60AE6D7475}">
  <ds:schemaRefs/>
</ds:datastoreItem>
</file>

<file path=customXml/itemProps8.xml><?xml version="1.0" encoding="utf-8"?>
<ds:datastoreItem xmlns:ds="http://schemas.openxmlformats.org/officeDocument/2006/customXml" ds:itemID="{7E5C9D84-6DB6-48FB-8632-D5279FC233C8}">
  <ds:schemaRefs/>
</ds:datastoreItem>
</file>

<file path=customXml/itemProps9.xml><?xml version="1.0" encoding="utf-8"?>
<ds:datastoreItem xmlns:ds="http://schemas.openxmlformats.org/officeDocument/2006/customXml" ds:itemID="{4EA99EC7-8664-4F92-B310-E18C7B4EEA1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4208</Words>
  <Characters>23986</Characters>
  <Lines>199</Lines>
  <Paragraphs>56</Paragraphs>
  <TotalTime>1</TotalTime>
  <ScaleCrop>false</ScaleCrop>
  <LinksUpToDate>false</LinksUpToDate>
  <CharactersWithSpaces>28138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2021-09-06T06:01:00Z</dcterms:created>
  <dc:creator>张淼雯</dc:creator>
  <cp:lastModifiedBy>cib</cp:lastModifiedBy>
  <cp:lastPrinted>2022-01-18T08:37:00Z</cp:lastPrinted>
  <dcterms:modified xsi:type="dcterms:W3CDTF">2025-11-11T09:22:51Z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5466F5ED04264CD88390FDC4DDCA6BAE</vt:lpwstr>
  </property>
</Properties>
</file>