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【稳添利</w:t>
      </w:r>
      <w:r>
        <w:rPr>
          <w:rStyle w:val="10"/>
          <w:rFonts w:hint="eastAsia" w:ascii="黑体" w:hAnsi="黑体" w:eastAsia="黑体"/>
          <w:sz w:val="28"/>
          <w:szCs w:val="28"/>
        </w:rPr>
        <w:t>日盈</w:t>
      </w:r>
      <w:r>
        <w:rPr>
          <w:rFonts w:hint="eastAsia" w:ascii="黑体" w:hAnsi="黑体" w:eastAsia="黑体"/>
          <w:b/>
          <w:bCs/>
          <w:sz w:val="28"/>
          <w:szCs w:val="28"/>
        </w:rPr>
        <w:t>日开固收类】</w:t>
      </w:r>
      <w:permEnd w:id="0"/>
      <w:r>
        <w:rPr>
          <w:rFonts w:hint="eastAsia"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宋体" w:hAnsi="宋体" w:cs="仿宋_GB2312"/>
          <w:kern w:val="0"/>
          <w:sz w:val="18"/>
          <w:szCs w:val="18"/>
          <w:lang w:eastAsia="zh-CN"/>
        </w:rPr>
        <w:t>兴银理财稳添利日盈131号日开固收类理财产品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color w:val="auto"/>
          <w:kern w:val="0"/>
          <w:sz w:val="18"/>
          <w:szCs w:val="18"/>
        </w:rPr>
        <w:t>【</w:t>
      </w:r>
      <w:r>
        <w:rPr>
          <w:rFonts w:hint="eastAsia" w:ascii="宋体" w:hAnsi="宋体" w:cs="仿宋_GB2312" w:eastAsiaTheme="majorEastAsia"/>
          <w:kern w:val="0"/>
          <w:sz w:val="18"/>
          <w:szCs w:val="18"/>
          <w:lang w:eastAsia="zh-CN"/>
        </w:rPr>
        <w:t>兴银稳添利日盈131号</w:t>
      </w:r>
      <w:r>
        <w:rPr>
          <w:rFonts w:hint="eastAsia" w:ascii="宋体" w:hAnsi="宋体" w:cs="仿宋_GB2312" w:eastAsiaTheme="majorEastAsia"/>
          <w:kern w:val="0"/>
          <w:sz w:val="18"/>
          <w:szCs w:val="18"/>
          <w:lang w:val="en-US" w:eastAsia="zh-CN"/>
        </w:rPr>
        <w:t>F</w:t>
      </w:r>
      <w:r>
        <w:rPr>
          <w:rFonts w:hint="eastAsia" w:ascii="宋体" w:hAnsi="宋体" w:cs="仿宋_GB2312"/>
          <w:kern w:val="0"/>
          <w:sz w:val="18"/>
          <w:szCs w:val="18"/>
        </w:rPr>
        <w:t>】（适用【</w:t>
      </w:r>
      <w:r>
        <w:rPr>
          <w:rFonts w:hint="eastAsia" w:ascii="宋体" w:hAnsi="宋体" w:cs="仿宋_GB2312"/>
          <w:kern w:val="0"/>
          <w:sz w:val="18"/>
          <w:szCs w:val="18"/>
          <w:lang w:val="en-US" w:eastAsia="zh-CN"/>
        </w:rPr>
        <w:t>F</w:t>
      </w:r>
      <w:r>
        <w:rPr>
          <w:rFonts w:hint="eastAsia" w:ascii="宋体" w:hAnsi="宋体" w:cs="仿宋_GB2312"/>
          <w:kern w:val="0"/>
          <w:sz w:val="18"/>
          <w:szCs w:val="18"/>
        </w:rPr>
        <w:t>】类份额</w:t>
      </w:r>
      <w:r>
        <w:rPr>
          <w:rFonts w:hint="eastAsia" w:ascii="宋体" w:hAnsi="宋体" w:cs="仿宋_GB2312"/>
          <w:kern w:val="0"/>
          <w:sz w:val="18"/>
          <w:szCs w:val="18"/>
          <w:lang w:eastAsia="zh-CN"/>
        </w:rPr>
        <w:t>）</w:t>
      </w:r>
      <w:permEnd w:id="2"/>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cs="仿宋_GB2312"/>
          <w:color w:val="auto"/>
          <w:kern w:val="0"/>
          <w:sz w:val="18"/>
          <w:szCs w:val="18"/>
        </w:rPr>
        <w:t>Z7002025001939</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 C1、■ C2、■ C3、■ C4、■ C5</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hint="eastAsia" w:asciiTheme="majorEastAsia" w:hAnsiTheme="majorEastAsia" w:eastAsiaTheme="majorEastAsia"/>
          <w:bCs/>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bCs/>
          <w:sz w:val="18"/>
          <w:szCs w:val="18"/>
        </w:rPr>
        <w:t>■机构投资者：【■ C1、■ C2、■ C3、■ C4、■ C5】</w:t>
      </w:r>
      <w:r>
        <w:rPr>
          <w:rFonts w:hint="eastAsia" w:asciiTheme="majorEastAsia" w:hAnsiTheme="majorEastAsia" w:eastAsiaTheme="majorEastAsia"/>
          <w:bCs/>
          <w:sz w:val="18"/>
          <w:szCs w:val="18"/>
          <w:lang w:eastAsia="zh-CN"/>
        </w:rPr>
        <w:t>。</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426" w:firstLineChars="0"/>
        <w:rPr>
          <w:rFonts w:ascii="宋体" w:hAnsi="宋体"/>
          <w:sz w:val="18"/>
          <w:szCs w:val="18"/>
        </w:rPr>
      </w:pPr>
      <w:permStart w:id="10" w:edGrp="everyone"/>
      <w:r>
        <w:rPr>
          <w:rFonts w:hint="eastAsia" w:ascii="宋体" w:hAnsi="宋体"/>
          <w:sz w:val="18"/>
          <w:szCs w:val="18"/>
        </w:rPr>
        <w:t>【1.拟投资市场和资产的风险：</w:t>
      </w:r>
    </w:p>
    <w:p>
      <w:pPr>
        <w:pStyle w:val="14"/>
        <w:ind w:firstLine="426" w:firstLineChars="0"/>
        <w:rPr>
          <w:rFonts w:ascii="宋体" w:hAnsi="宋体"/>
          <w:sz w:val="18"/>
          <w:szCs w:val="18"/>
        </w:rPr>
      </w:pPr>
      <w:r>
        <w:rPr>
          <w:rFonts w:hint="eastAsia" w:ascii="宋体" w:hAnsi="宋体"/>
          <w:sz w:val="18"/>
          <w:szCs w:val="18"/>
        </w:rPr>
        <w:t>（1）投资债权类资产的风险</w:t>
      </w:r>
    </w:p>
    <w:p>
      <w:pPr>
        <w:pStyle w:val="14"/>
        <w:ind w:firstLine="426" w:firstLineChars="0"/>
        <w:rPr>
          <w:rFonts w:ascii="宋体" w:hAnsi="宋体"/>
          <w:sz w:val="18"/>
          <w:szCs w:val="18"/>
        </w:rPr>
      </w:pPr>
      <w:r>
        <w:rPr>
          <w:rFonts w:hint="eastAsia" w:ascii="宋体" w:hAnsi="宋体"/>
          <w:sz w:val="18"/>
          <w:szCs w:val="18"/>
        </w:rPr>
        <w:t>1）投资标准化债权类资产的风险</w:t>
      </w:r>
    </w:p>
    <w:p>
      <w:pPr>
        <w:pStyle w:val="14"/>
        <w:ind w:firstLine="426" w:firstLineChars="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4"/>
        <w:ind w:firstLine="426" w:firstLineChars="0"/>
        <w:rPr>
          <w:rFonts w:ascii="宋体" w:hAnsi="宋体"/>
          <w:b/>
          <w:bCs/>
          <w:sz w:val="18"/>
          <w:szCs w:val="18"/>
        </w:rPr>
      </w:pPr>
      <w:r>
        <w:rPr>
          <w:rFonts w:hint="eastAsia" w:ascii="宋体" w:hAnsi="宋体"/>
          <w:b/>
          <w:bCs/>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color w:val="000000"/>
          <w:kern w:val="0"/>
          <w:sz w:val="18"/>
          <w:szCs w:val="18"/>
        </w:rPr>
        <w:t>五、【非机构投资者适用】</w:t>
      </w:r>
      <w:r>
        <w:rPr>
          <w:rFonts w:hint="eastAsia" w:ascii="黑体" w:hAnsi="黑体" w:eastAsia="黑体" w:cs="黑体"/>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cs="黑体"/>
          <w:sz w:val="18"/>
          <w:szCs w:val="18"/>
        </w:rPr>
        <w:t>当销售机构销售产品风险评级为</w:t>
      </w:r>
      <w:r>
        <w:rPr>
          <w:rFonts w:ascii="黑体" w:hAnsi="黑体" w:eastAsia="黑体" w:cs="黑体"/>
          <w:sz w:val="18"/>
          <w:szCs w:val="18"/>
        </w:rPr>
        <w:t>R4</w:t>
      </w:r>
      <w:r>
        <w:rPr>
          <w:rFonts w:hint="eastAsia" w:ascii="黑体" w:hAnsi="黑体" w:eastAsia="黑体" w:cs="黑体"/>
          <w:sz w:val="18"/>
          <w:szCs w:val="18"/>
        </w:rPr>
        <w:t>及</w:t>
      </w:r>
      <w:r>
        <w:rPr>
          <w:rFonts w:ascii="黑体" w:hAnsi="黑体" w:eastAsia="黑体" w:cs="黑体"/>
          <w:sz w:val="18"/>
          <w:szCs w:val="18"/>
        </w:rPr>
        <w:t>以上</w:t>
      </w:r>
      <w:r>
        <w:rPr>
          <w:rFonts w:hint="eastAsia" w:ascii="黑体" w:hAnsi="黑体" w:eastAsia="黑体" w:cs="黑体"/>
          <w:sz w:val="18"/>
          <w:szCs w:val="18"/>
        </w:rPr>
        <w:t>的理财产品时，</w:t>
      </w:r>
      <w:r>
        <w:rPr>
          <w:rFonts w:hint="eastAsia" w:ascii="黑体" w:hAnsi="黑体" w:eastAsia="黑体" w:cs="黑体"/>
          <w:kern w:val="0"/>
          <w:sz w:val="18"/>
          <w:szCs w:val="18"/>
        </w:rPr>
        <w:t>您签署本销售文件即视为您同意销售机构可以通过线上渠道向您销售产品风险评级为</w:t>
      </w:r>
      <w:r>
        <w:rPr>
          <w:rFonts w:ascii="黑体" w:hAnsi="黑体" w:eastAsia="黑体" w:cs="黑体"/>
          <w:kern w:val="0"/>
          <w:sz w:val="18"/>
          <w:szCs w:val="18"/>
        </w:rPr>
        <w:t>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bookmarkStart w:id="0" w:name="_GoBack"/>
      <w:bookmarkEnd w:id="0"/>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UC5RsJbd5W8xOQZVv5EkaVITbVbVsDloBGbQy9LHxcJu9tKThna+cSAGKn1MiUXmtisxBYr1unMhqmNTA+2fw==" w:salt="2BevSabQeOyOB3hoTCmmm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TljODZlNmMxN2IxODkyNGQ0MzYwYjkyOGU4YWIifQ=="/>
  </w:docVars>
  <w:rsids>
    <w:rsidRoot w:val="00563E8F"/>
    <w:rsid w:val="000124A4"/>
    <w:rsid w:val="00096AC8"/>
    <w:rsid w:val="000A244A"/>
    <w:rsid w:val="000B16F1"/>
    <w:rsid w:val="000B357F"/>
    <w:rsid w:val="000C0733"/>
    <w:rsid w:val="000F0566"/>
    <w:rsid w:val="001104E8"/>
    <w:rsid w:val="00152999"/>
    <w:rsid w:val="001C5047"/>
    <w:rsid w:val="002148AE"/>
    <w:rsid w:val="002354DB"/>
    <w:rsid w:val="00244A54"/>
    <w:rsid w:val="00262560"/>
    <w:rsid w:val="002B4654"/>
    <w:rsid w:val="002B4BDD"/>
    <w:rsid w:val="002B63FC"/>
    <w:rsid w:val="002C2660"/>
    <w:rsid w:val="002C604E"/>
    <w:rsid w:val="002F0B15"/>
    <w:rsid w:val="00316184"/>
    <w:rsid w:val="00346ED2"/>
    <w:rsid w:val="003660B4"/>
    <w:rsid w:val="00374070"/>
    <w:rsid w:val="003B58DD"/>
    <w:rsid w:val="003E1A68"/>
    <w:rsid w:val="003F1C32"/>
    <w:rsid w:val="003F2AB6"/>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31E99"/>
    <w:rsid w:val="00632B9F"/>
    <w:rsid w:val="00640FDE"/>
    <w:rsid w:val="006538E1"/>
    <w:rsid w:val="006B4210"/>
    <w:rsid w:val="007143CD"/>
    <w:rsid w:val="007145D5"/>
    <w:rsid w:val="0072580D"/>
    <w:rsid w:val="007303F6"/>
    <w:rsid w:val="00732C8C"/>
    <w:rsid w:val="007A4C26"/>
    <w:rsid w:val="007B017F"/>
    <w:rsid w:val="007C7189"/>
    <w:rsid w:val="00801C94"/>
    <w:rsid w:val="0080662E"/>
    <w:rsid w:val="00836C1F"/>
    <w:rsid w:val="00894EE6"/>
    <w:rsid w:val="008A707D"/>
    <w:rsid w:val="008C1CE9"/>
    <w:rsid w:val="008D3E86"/>
    <w:rsid w:val="008F2B54"/>
    <w:rsid w:val="00923A09"/>
    <w:rsid w:val="009525B5"/>
    <w:rsid w:val="00955293"/>
    <w:rsid w:val="009713C7"/>
    <w:rsid w:val="00980894"/>
    <w:rsid w:val="00981E5B"/>
    <w:rsid w:val="009B13AF"/>
    <w:rsid w:val="00A95D0C"/>
    <w:rsid w:val="00AE5AA3"/>
    <w:rsid w:val="00B06267"/>
    <w:rsid w:val="00B07DEF"/>
    <w:rsid w:val="00B35D81"/>
    <w:rsid w:val="00B3723D"/>
    <w:rsid w:val="00B51172"/>
    <w:rsid w:val="00B94B21"/>
    <w:rsid w:val="00BA3CE3"/>
    <w:rsid w:val="00BB3A90"/>
    <w:rsid w:val="00BB513F"/>
    <w:rsid w:val="00BC1259"/>
    <w:rsid w:val="00BC2076"/>
    <w:rsid w:val="00BC398E"/>
    <w:rsid w:val="00BD36A3"/>
    <w:rsid w:val="00BE1A3A"/>
    <w:rsid w:val="00C01696"/>
    <w:rsid w:val="00C4233D"/>
    <w:rsid w:val="00C42B5D"/>
    <w:rsid w:val="00D03CCD"/>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747E"/>
    <w:rsid w:val="00F34E57"/>
    <w:rsid w:val="00F54E02"/>
    <w:rsid w:val="00F57B20"/>
    <w:rsid w:val="00F8077D"/>
    <w:rsid w:val="00FD7473"/>
    <w:rsid w:val="042F2C5C"/>
    <w:rsid w:val="04FE2DBB"/>
    <w:rsid w:val="06C84549"/>
    <w:rsid w:val="09B56D79"/>
    <w:rsid w:val="0C0A30C4"/>
    <w:rsid w:val="0DA65131"/>
    <w:rsid w:val="0E20418F"/>
    <w:rsid w:val="0FFF1FE3"/>
    <w:rsid w:val="162E3D0C"/>
    <w:rsid w:val="171B4C2E"/>
    <w:rsid w:val="19F75C96"/>
    <w:rsid w:val="1D9858FD"/>
    <w:rsid w:val="20C52F8E"/>
    <w:rsid w:val="222A13C0"/>
    <w:rsid w:val="22F2562E"/>
    <w:rsid w:val="23024B39"/>
    <w:rsid w:val="280F72C4"/>
    <w:rsid w:val="28102A07"/>
    <w:rsid w:val="29FB641F"/>
    <w:rsid w:val="2E117587"/>
    <w:rsid w:val="3916487C"/>
    <w:rsid w:val="3BEC701F"/>
    <w:rsid w:val="3EF500DB"/>
    <w:rsid w:val="43DC64BE"/>
    <w:rsid w:val="49E41361"/>
    <w:rsid w:val="4B6216CB"/>
    <w:rsid w:val="4CFA15FA"/>
    <w:rsid w:val="4F0013B8"/>
    <w:rsid w:val="4F9E21F6"/>
    <w:rsid w:val="54726EC9"/>
    <w:rsid w:val="59CD0484"/>
    <w:rsid w:val="5E7E7FB6"/>
    <w:rsid w:val="601969DF"/>
    <w:rsid w:val="617E7E1F"/>
    <w:rsid w:val="62167C05"/>
    <w:rsid w:val="6765580A"/>
    <w:rsid w:val="6E3A25F0"/>
    <w:rsid w:val="70330189"/>
    <w:rsid w:val="761C4F73"/>
    <w:rsid w:val="77464507"/>
    <w:rsid w:val="77922ECC"/>
    <w:rsid w:val="7A7571B4"/>
    <w:rsid w:val="7C166D86"/>
    <w:rsid w:val="7CEC001D"/>
    <w:rsid w:val="7FC5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 w:type="paragraph" w:customStyle="1" w:styleId="18">
    <w:name w:val="修订1"/>
    <w:hidden/>
    <w:semiHidden/>
    <w:qFormat/>
    <w:uiPriority w:val="99"/>
    <w:rPr>
      <w:rFonts w:ascii="Calibri" w:hAnsi="Calibri" w:eastAsia="宋体" w:cs="宋体"/>
      <w:kern w:val="2"/>
      <w:sz w:val="21"/>
      <w:szCs w:val="22"/>
      <w:lang w:val="en-US" w:eastAsia="zh-CN" w:bidi="ar-SA"/>
    </w:rPr>
  </w:style>
  <w:style w:type="paragraph" w:customStyle="1" w:styleId="19">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685</Words>
  <Characters>3907</Characters>
  <Lines>32</Lines>
  <Paragraphs>9</Paragraphs>
  <TotalTime>1</TotalTime>
  <ScaleCrop>false</ScaleCrop>
  <LinksUpToDate>false</LinksUpToDate>
  <CharactersWithSpaces>4583</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2021-06-16T13:02:00Z</dcterms:created>
  <dc:creator>胡骁潇</dc:creator>
  <cp:lastModifiedBy>cib</cp:lastModifiedBy>
  <dcterms:modified xsi:type="dcterms:W3CDTF">2026-06-17T10:37:00Z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8C3451F4A9D547188BD69B541900499D</vt:lpwstr>
  </property>
</Properties>
</file>