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AWM86GH79TQ0TBGQVR8MLJZ7NZMOYVR9S06XJDWXFF8TQLT6DBJDCJTFSVHPB6RAXMXLOZGZI678IJJRSFTYFF78RZMWHLBBSOORHB34B87533C4A28E32217D4BFB9437BF83D" Type="http://schemas.microsoft.com/office/2006/relationships/officeDocumentMain" Target="docProps/core.xml"/><Relationship Id="SKWFP6GJ79VQ069GRYR8ML057ZC0OXVREO0XNJD7XFFRTQLTZDBJYC0PFS6HPBIRXOMXHOZNZIW78HXJROFT6FFT8RMMWILBAEOD0HB380C5A4DE43675793B9F02896343D6AD5"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F2CAD">
      <w:pPr>
        <w:ind w:right="442"/>
        <w:jc w:val="right"/>
        <w:outlineLvl w:val="0"/>
        <w:rPr>
          <w:rFonts w:ascii="仿宋" w:hAnsi="仿宋" w:eastAsia="仿宋"/>
          <w:b/>
          <w:kern w:val="0"/>
          <w:sz w:val="24"/>
        </w:rPr>
      </w:pPr>
    </w:p>
    <w:p w14:paraId="062719F5">
      <w:pPr>
        <w:spacing w:line="360" w:lineRule="auto"/>
        <w:jc w:val="center"/>
        <w:rPr>
          <w:rFonts w:ascii="仿宋" w:hAnsi="仿宋" w:eastAsia="仿宋"/>
          <w:b/>
          <w:kern w:val="0"/>
          <w:sz w:val="36"/>
          <w:szCs w:val="36"/>
        </w:rPr>
      </w:pPr>
      <w:r>
        <w:rPr>
          <w:rFonts w:hint="eastAsia" w:ascii="仿宋" w:hAnsi="仿宋" w:eastAsia="仿宋"/>
          <w:b/>
          <w:kern w:val="0"/>
          <w:sz w:val="36"/>
          <w:szCs w:val="36"/>
          <w:lang w:eastAsia="zh-CN"/>
        </w:rPr>
        <w:t>徽银理财“安盈”稳利1年固定收益类理财产品260236</w:t>
      </w:r>
      <w:r>
        <w:rPr>
          <w:rFonts w:hint="eastAsia" w:ascii="仿宋" w:hAnsi="仿宋" w:eastAsia="仿宋"/>
          <w:b/>
          <w:kern w:val="0"/>
          <w:sz w:val="36"/>
          <w:szCs w:val="36"/>
        </w:rPr>
        <w:t>说明书</w:t>
      </w:r>
    </w:p>
    <w:p w14:paraId="61126883">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一、重要须知</w:t>
      </w:r>
    </w:p>
    <w:p w14:paraId="58A2497C">
      <w:pPr>
        <w:numPr>
          <w:ilvl w:val="0"/>
          <w:numId w:val="1"/>
        </w:numPr>
        <w:adjustRightInd w:val="0"/>
        <w:snapToGrid w:val="0"/>
        <w:ind w:left="425" w:hanging="425"/>
        <w:rPr>
          <w:rFonts w:ascii="黑体" w:hAnsi="黑体" w:eastAsia="黑体"/>
          <w:b/>
          <w:bCs/>
          <w:sz w:val="32"/>
          <w:szCs w:val="32"/>
        </w:rPr>
      </w:pPr>
      <w:r>
        <w:rPr>
          <w:rFonts w:hint="eastAsia" w:ascii="黑体" w:hAnsi="黑体" w:eastAsia="黑体"/>
          <w:b/>
          <w:bCs/>
          <w:sz w:val="32"/>
          <w:szCs w:val="32"/>
          <w:u w:val="single"/>
        </w:rPr>
        <w:t>理财非存款、产品有风险、投资须谨慎</w:t>
      </w:r>
      <w:r>
        <w:rPr>
          <w:rFonts w:hint="eastAsia" w:ascii="黑体" w:hAnsi="黑体" w:eastAsia="黑体"/>
          <w:b/>
          <w:bCs/>
          <w:sz w:val="32"/>
          <w:szCs w:val="32"/>
        </w:rPr>
        <w:t>。</w:t>
      </w:r>
    </w:p>
    <w:p w14:paraId="11661025">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本说明书及投资者签署的理财产品投资协议书、</w:t>
      </w:r>
      <w:r>
        <w:rPr>
          <w:rFonts w:ascii="黑体" w:hAnsi="黑体" w:eastAsia="黑体"/>
          <w:sz w:val="24"/>
        </w:rPr>
        <w:t>风险揭示书</w:t>
      </w:r>
      <w:r>
        <w:rPr>
          <w:rFonts w:hint="eastAsia" w:ascii="黑体" w:hAnsi="黑体" w:eastAsia="黑体"/>
          <w:sz w:val="24"/>
        </w:rPr>
        <w:t>、投资者权益须知、(代理)销售协议书共同构成完整的不可分割的理财交易合同。在购买理财产品前，投资者应当仔细阅读并完全理解理财产品销售文件（包括但不限于风险揭示书、产品说明书、产品投资协议书、投资者权益须知、(代理)销售协议书）中全部条款与内容，同时向产品管理人或销售机构了解本产品的具体信息，确保自己完全理解该项投资的性质、投资所涉及的风险以及自身的风险承受能力，在慎重考虑后自行决定购买与自身风险承受能力和资产管理需求匹配的理财产品。</w:t>
      </w:r>
    </w:p>
    <w:p w14:paraId="6F600E02">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本产品为非保本净值型理财产品，无预期收益率，不保证本金和收益，可能会因为市场变动而损失部分或全部的本金及收益，请投资者充分认识投资风险，谨慎投资。</w:t>
      </w:r>
    </w:p>
    <w:p w14:paraId="261C0F75">
      <w:pPr>
        <w:numPr>
          <w:ilvl w:val="0"/>
          <w:numId w:val="1"/>
        </w:numPr>
        <w:adjustRightInd w:val="0"/>
        <w:snapToGrid w:val="0"/>
        <w:ind w:left="425" w:hanging="425"/>
        <w:rPr>
          <w:rFonts w:ascii="黑体" w:hAnsi="黑体" w:eastAsia="黑体"/>
          <w:sz w:val="24"/>
        </w:rPr>
      </w:pPr>
      <w:r>
        <w:rPr>
          <w:rFonts w:hint="eastAsia" w:ascii="黑体" w:hAnsi="宋体" w:eastAsia="黑体"/>
          <w:sz w:val="24"/>
        </w:rPr>
        <w:t>理财产品过往业绩不代表其未来表现，不等于理财产品实际收益，投资须谨慎。</w:t>
      </w:r>
    </w:p>
    <w:p w14:paraId="430621FA">
      <w:pPr>
        <w:numPr>
          <w:ilvl w:val="0"/>
          <w:numId w:val="1"/>
        </w:numPr>
        <w:adjustRightInd w:val="0"/>
        <w:snapToGrid w:val="0"/>
        <w:ind w:left="425" w:hanging="425"/>
        <w:rPr>
          <w:rFonts w:ascii="黑体" w:hAnsi="黑体" w:eastAsia="黑体"/>
          <w:sz w:val="24"/>
        </w:rPr>
      </w:pPr>
      <w:r>
        <w:rPr>
          <w:rFonts w:hint="eastAsia" w:ascii="黑体" w:hAnsi="黑体" w:eastAsia="黑体"/>
          <w:sz w:val="24"/>
        </w:rPr>
        <w:t>投资者应当确保用于购买本理财产品的资金不来源于贷款、发行债券等筹集的非自有资金。</w:t>
      </w:r>
    </w:p>
    <w:p w14:paraId="5E8A4C69">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在购买理财产品后，投资者应随时关注本理财产品的信息披露情况，及时获取相关信息。</w:t>
      </w:r>
    </w:p>
    <w:p w14:paraId="160F6A58">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在本产品存续期内，如因监管政策或法律法规发生变化，在不损害投资者利益的前提下，产品管理人有权单方对本产品说明书条款进行修订。</w:t>
      </w:r>
    </w:p>
    <w:p w14:paraId="440623D2">
      <w:pPr>
        <w:numPr>
          <w:ilvl w:val="0"/>
          <w:numId w:val="1"/>
        </w:numPr>
        <w:adjustRightInd w:val="0"/>
        <w:snapToGrid w:val="0"/>
        <w:ind w:left="425" w:hanging="425"/>
        <w:rPr>
          <w:rFonts w:ascii="黑体" w:hAnsi="黑体" w:eastAsia="黑体"/>
          <w:b/>
          <w:bCs/>
          <w:sz w:val="24"/>
        </w:rPr>
      </w:pPr>
      <w:r>
        <w:rPr>
          <w:rFonts w:ascii="黑体" w:hAnsi="黑体" w:eastAsia="黑体"/>
          <w:sz w:val="24"/>
        </w:rPr>
        <w:t>产品管理人对本产品说明书具有解释权</w:t>
      </w:r>
      <w:r>
        <w:rPr>
          <w:rFonts w:hint="eastAsia" w:ascii="黑体" w:hAnsi="黑体" w:eastAsia="黑体"/>
          <w:sz w:val="24"/>
        </w:rPr>
        <w:t>。</w:t>
      </w:r>
    </w:p>
    <w:p w14:paraId="50EFC3FC">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二、产品概述</w:t>
      </w:r>
    </w:p>
    <w:tbl>
      <w:tblPr>
        <w:tblStyle w:val="6"/>
        <w:tblW w:w="842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038"/>
        <w:gridCol w:w="6390"/>
      </w:tblGrid>
      <w:tr w14:paraId="768E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09" w:hRule="atLeast"/>
        </w:trPr>
        <w:tc>
          <w:tcPr>
            <w:tcW w:w="2038" w:type="dxa"/>
            <w:tcBorders>
              <w:top w:val="single" w:color="auto" w:sz="4" w:space="0"/>
              <w:left w:val="single" w:color="auto" w:sz="4" w:space="0"/>
              <w:right w:val="single" w:color="auto" w:sz="4" w:space="0"/>
            </w:tcBorders>
            <w:vAlign w:val="center"/>
          </w:tcPr>
          <w:p w14:paraId="2473A676">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产品名称</w:t>
            </w:r>
          </w:p>
        </w:tc>
        <w:tc>
          <w:tcPr>
            <w:tcW w:w="6390" w:type="dxa"/>
            <w:tcBorders>
              <w:top w:val="single" w:color="auto" w:sz="4" w:space="0"/>
              <w:left w:val="single" w:color="auto" w:sz="4" w:space="0"/>
              <w:right w:val="single" w:color="auto" w:sz="4" w:space="0"/>
            </w:tcBorders>
            <w:vAlign w:val="center"/>
          </w:tcPr>
          <w:p w14:paraId="16E35F43">
            <w:pPr>
              <w:widowControl/>
              <w:snapToGrid w:val="0"/>
              <w:rPr>
                <w:rFonts w:hint="eastAsia" w:ascii="仿宋" w:hAnsi="仿宋" w:eastAsia="仿宋" w:cs="仿宋"/>
                <w:kern w:val="0"/>
                <w:sz w:val="24"/>
                <w:lang w:eastAsia="zh-CN"/>
              </w:rPr>
            </w:pPr>
            <w:r>
              <w:rPr>
                <w:rFonts w:hint="eastAsia" w:ascii="仿宋" w:hAnsi="仿宋" w:eastAsia="仿宋" w:cs="仿宋"/>
                <w:kern w:val="0"/>
                <w:sz w:val="24"/>
                <w:lang w:eastAsia="zh-CN"/>
              </w:rPr>
              <w:t>徽银理财“安盈”稳利1年固定收益类理财产品260236</w:t>
            </w:r>
          </w:p>
        </w:tc>
      </w:tr>
      <w:tr w14:paraId="7CEE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5DCC3BC">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产品代码</w:t>
            </w:r>
          </w:p>
        </w:tc>
        <w:tc>
          <w:tcPr>
            <w:tcW w:w="6390" w:type="dxa"/>
            <w:tcBorders>
              <w:top w:val="single" w:color="auto" w:sz="4" w:space="0"/>
              <w:left w:val="single" w:color="auto" w:sz="4" w:space="0"/>
              <w:right w:val="single" w:color="auto" w:sz="4" w:space="0"/>
            </w:tcBorders>
            <w:vAlign w:val="center"/>
          </w:tcPr>
          <w:p w14:paraId="013CB293">
            <w:pPr>
              <w:widowControl/>
              <w:snapToGrid w:val="0"/>
              <w:rPr>
                <w:rFonts w:hint="eastAsia" w:ascii="仿宋" w:hAnsi="仿宋" w:eastAsia="仿宋" w:cs="仿宋"/>
                <w:kern w:val="0"/>
                <w:sz w:val="24"/>
                <w:lang w:eastAsia="zh-CN"/>
              </w:rPr>
            </w:pPr>
            <w:r>
              <w:rPr>
                <w:rFonts w:hint="eastAsia" w:ascii="仿宋" w:hAnsi="仿宋" w:eastAsia="仿宋" w:cs="仿宋"/>
                <w:kern w:val="0"/>
                <w:sz w:val="24"/>
                <w:lang w:eastAsia="zh-CN"/>
              </w:rPr>
              <w:t>PNHY260236</w:t>
            </w:r>
          </w:p>
        </w:tc>
      </w:tr>
      <w:tr w14:paraId="2652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DE0FD25">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全国银行业理财信息系统登记编码</w:t>
            </w:r>
          </w:p>
        </w:tc>
        <w:tc>
          <w:tcPr>
            <w:tcW w:w="6390" w:type="dxa"/>
            <w:tcBorders>
              <w:top w:val="single" w:color="auto" w:sz="4" w:space="0"/>
              <w:left w:val="single" w:color="auto" w:sz="4" w:space="0"/>
              <w:right w:val="single" w:color="auto" w:sz="4" w:space="0"/>
            </w:tcBorders>
            <w:vAlign w:val="center"/>
          </w:tcPr>
          <w:p w14:paraId="2C14AEC5">
            <w:pPr>
              <w:widowControl/>
              <w:snapToGrid w:val="0"/>
              <w:rPr>
                <w:rFonts w:ascii="仿宋" w:hAnsi="仿宋" w:eastAsia="仿宋" w:cs="仿宋"/>
                <w:kern w:val="0"/>
                <w:sz w:val="24"/>
              </w:rPr>
            </w:pPr>
            <w:r>
              <w:rPr>
                <w:rFonts w:hint="eastAsia" w:ascii="仿宋" w:hAnsi="仿宋" w:eastAsia="仿宋" w:cs="仿宋"/>
                <w:kern w:val="0"/>
                <w:sz w:val="24"/>
                <w:highlight w:val="none"/>
              </w:rPr>
              <w:t>Z700242</w:t>
            </w: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rPr>
              <w:t>000</w:t>
            </w:r>
            <w:r>
              <w:rPr>
                <w:rFonts w:hint="eastAsia" w:ascii="仿宋" w:hAnsi="仿宋" w:eastAsia="仿宋" w:cs="仿宋"/>
                <w:kern w:val="0"/>
                <w:sz w:val="24"/>
                <w:highlight w:val="none"/>
                <w:lang w:val="en-US" w:eastAsia="zh-CN"/>
              </w:rPr>
              <w:t>192</w:t>
            </w:r>
            <w:r>
              <w:rPr>
                <w:rFonts w:hint="eastAsia" w:ascii="仿宋" w:hAnsi="仿宋" w:eastAsia="仿宋" w:cs="仿宋"/>
                <w:kern w:val="0"/>
                <w:sz w:val="24"/>
                <w:highlight w:val="none"/>
              </w:rPr>
              <w:t>（</w:t>
            </w:r>
            <w:r>
              <w:rPr>
                <w:rFonts w:hint="eastAsia" w:ascii="仿宋" w:hAnsi="仿宋" w:eastAsia="仿宋" w:cs="仿宋"/>
                <w:kern w:val="0"/>
                <w:sz w:val="24"/>
              </w:rPr>
              <w:t>投资者可依据该登记编码在中国理财网（www.chinawealth.com.cn）查询该产品信息）</w:t>
            </w:r>
          </w:p>
        </w:tc>
      </w:tr>
      <w:tr w14:paraId="5A7F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D4CBFD4">
            <w:pPr>
              <w:widowControl/>
              <w:snapToGrid w:val="0"/>
              <w:jc w:val="center"/>
              <w:rPr>
                <w:rFonts w:ascii="仿宋" w:hAnsi="仿宋" w:eastAsia="仿宋" w:cs="仿宋"/>
                <w:b/>
                <w:bCs/>
                <w:kern w:val="0"/>
                <w:sz w:val="24"/>
              </w:rPr>
            </w:pPr>
            <w:r>
              <w:rPr>
                <w:rFonts w:hint="eastAsia" w:ascii="仿宋" w:hAnsi="仿宋" w:eastAsia="仿宋"/>
                <w:b/>
                <w:bCs/>
                <w:kern w:val="0"/>
                <w:sz w:val="24"/>
              </w:rPr>
              <w:t>产品管理人</w:t>
            </w:r>
          </w:p>
        </w:tc>
        <w:tc>
          <w:tcPr>
            <w:tcW w:w="6390" w:type="dxa"/>
            <w:tcBorders>
              <w:top w:val="single" w:color="auto" w:sz="4" w:space="0"/>
              <w:left w:val="single" w:color="auto" w:sz="4" w:space="0"/>
              <w:right w:val="single" w:color="auto" w:sz="4" w:space="0"/>
            </w:tcBorders>
            <w:vAlign w:val="center"/>
          </w:tcPr>
          <w:p w14:paraId="487F8492">
            <w:pPr>
              <w:widowControl/>
              <w:snapToGrid w:val="0"/>
              <w:rPr>
                <w:rFonts w:ascii="仿宋" w:hAnsi="仿宋" w:eastAsia="仿宋" w:cs="仿宋"/>
                <w:kern w:val="0"/>
                <w:sz w:val="24"/>
              </w:rPr>
            </w:pPr>
            <w:r>
              <w:rPr>
                <w:rFonts w:hint="eastAsia" w:ascii="仿宋" w:hAnsi="仿宋" w:eastAsia="仿宋" w:cs="仿宋"/>
                <w:b/>
                <w:bCs/>
                <w:kern w:val="0"/>
                <w:sz w:val="24"/>
              </w:rPr>
              <w:t>徽银理财有限责任公司</w:t>
            </w:r>
          </w:p>
        </w:tc>
      </w:tr>
      <w:tr w14:paraId="09B5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1EA231A">
            <w:pPr>
              <w:pStyle w:val="12"/>
              <w:spacing w:before="45"/>
              <w:jc w:val="center"/>
              <w:rPr>
                <w:b/>
                <w:bCs/>
                <w:kern w:val="0"/>
                <w:sz w:val="24"/>
                <w:lang w:val="en-US" w:bidi="ar-SA"/>
              </w:rPr>
            </w:pPr>
            <w:r>
              <w:rPr>
                <w:rFonts w:hint="eastAsia"/>
                <w:b/>
                <w:bCs/>
                <w:kern w:val="0"/>
                <w:sz w:val="24"/>
                <w:lang w:val="en-US" w:bidi="ar-SA"/>
              </w:rPr>
              <w:t>产品销售机构</w:t>
            </w:r>
          </w:p>
        </w:tc>
        <w:tc>
          <w:tcPr>
            <w:tcW w:w="6390" w:type="dxa"/>
            <w:tcBorders>
              <w:top w:val="single" w:color="auto" w:sz="4" w:space="0"/>
              <w:left w:val="single" w:color="auto" w:sz="4" w:space="0"/>
              <w:right w:val="single" w:color="auto" w:sz="4" w:space="0"/>
            </w:tcBorders>
            <w:vAlign w:val="center"/>
          </w:tcPr>
          <w:p w14:paraId="2EF7F5E1">
            <w:pPr>
              <w:widowControl/>
              <w:snapToGrid w:val="0"/>
              <w:rPr>
                <w:rFonts w:ascii="仿宋" w:hAnsi="仿宋" w:eastAsia="仿宋" w:cs="仿宋"/>
                <w:kern w:val="0"/>
                <w:sz w:val="24"/>
              </w:rPr>
            </w:pPr>
            <w:r>
              <w:rPr>
                <w:rFonts w:hint="eastAsia" w:ascii="仿宋" w:hAnsi="仿宋" w:eastAsia="仿宋" w:cs="仿宋"/>
                <w:kern w:val="0"/>
                <w:sz w:val="24"/>
              </w:rPr>
              <w:t>理财产品销售机构负责理财产品宣传推广、投资者风险承受能力评估和投资者适当性管理、理财产品投资者身份识别和反洗钱、反恐怖融资及非居民金融账户涉税信息尽职调查等工作、理财产品份额认购/申购/赎回、协助产品管理人与投资者订立理财交易合同、协助产品管理人与投资者沟通及进行信息披露、接受投资者咨询和客户维护等销售服务工作，不承担产品投资、兑付和风险管理等责任。</w:t>
            </w:r>
          </w:p>
          <w:p w14:paraId="6C76211D">
            <w:pPr>
              <w:widowControl/>
              <w:snapToGrid w:val="0"/>
              <w:rPr>
                <w:rFonts w:ascii="仿宋" w:hAnsi="仿宋" w:eastAsia="仿宋" w:cs="仿宋"/>
                <w:kern w:val="0"/>
                <w:sz w:val="24"/>
              </w:rPr>
            </w:pPr>
            <w:r>
              <w:rPr>
                <w:rFonts w:hint="eastAsia" w:ascii="仿宋" w:hAnsi="仿宋" w:eastAsia="仿宋" w:cs="仿宋"/>
                <w:kern w:val="0"/>
                <w:sz w:val="24"/>
              </w:rPr>
              <w:t>本理财产品销售机构为</w:t>
            </w:r>
            <w:r>
              <w:rPr>
                <w:rFonts w:hint="eastAsia" w:ascii="仿宋" w:hAnsi="仿宋" w:eastAsia="仿宋" w:cs="仿宋"/>
                <w:kern w:val="0"/>
                <w:sz w:val="24"/>
                <w:highlight w:val="none"/>
              </w:rPr>
              <w:t>湖南银行股份有限公司、蒙商银行股份有限公司、内蒙古银行股份有限公司、</w:t>
            </w:r>
            <w:r>
              <w:rPr>
                <w:rFonts w:hint="eastAsia" w:ascii="仿宋" w:hAnsi="仿宋" w:eastAsia="仿宋" w:cs="仿宋"/>
                <w:color w:val="000000"/>
                <w:kern w:val="0"/>
                <w:sz w:val="24"/>
                <w:highlight w:val="none"/>
                <w:lang w:bidi="ar"/>
              </w:rPr>
              <w:t>中原</w:t>
            </w:r>
            <w:r>
              <w:rPr>
                <w:rFonts w:ascii="仿宋" w:hAnsi="仿宋" w:eastAsia="仿宋" w:cs="仿宋"/>
                <w:color w:val="000000"/>
                <w:kern w:val="0"/>
                <w:sz w:val="24"/>
                <w:highlight w:val="none"/>
                <w:lang w:bidi="ar"/>
              </w:rPr>
              <w:t>银行股份有限公司</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富滇银行股份有限公司</w:t>
            </w:r>
            <w:r>
              <w:rPr>
                <w:rFonts w:hint="eastAsia" w:ascii="仿宋" w:hAnsi="仿宋" w:eastAsia="仿宋" w:cs="仿宋"/>
                <w:kern w:val="0"/>
                <w:sz w:val="24"/>
                <w:lang w:eastAsia="zh-CN"/>
              </w:rPr>
              <w:t>、</w:t>
            </w:r>
            <w:r>
              <w:rPr>
                <w:rFonts w:hint="eastAsia" w:ascii="仿宋" w:hAnsi="仿宋" w:eastAsia="仿宋"/>
                <w:sz w:val="24"/>
                <w:szCs w:val="24"/>
              </w:rPr>
              <w:t>嘉兴银行股份有限公司</w:t>
            </w:r>
            <w:r>
              <w:rPr>
                <w:rFonts w:hint="eastAsia" w:ascii="仿宋" w:hAnsi="仿宋" w:eastAsia="仿宋"/>
                <w:sz w:val="24"/>
                <w:szCs w:val="24"/>
                <w:lang w:eastAsia="zh-CN"/>
              </w:rPr>
              <w:t>、德州银行股份有限公司、</w:t>
            </w:r>
            <w:r>
              <w:rPr>
                <w:rFonts w:hint="eastAsia" w:ascii="仿宋" w:hAnsi="仿宋" w:eastAsia="仿宋" w:cs="仿宋"/>
                <w:kern w:val="0"/>
                <w:sz w:val="24"/>
                <w:szCs w:val="24"/>
                <w:highlight w:val="none"/>
                <w:lang w:val="en-US" w:eastAsia="zh-CN" w:bidi="ar-SA"/>
              </w:rPr>
              <w:t>内蒙古农村商业银行股份有限公司</w:t>
            </w:r>
            <w:r>
              <w:rPr>
                <w:rFonts w:hint="eastAsia" w:ascii="仿宋" w:hAnsi="仿宋" w:eastAsia="仿宋" w:cs="仿宋"/>
                <w:kern w:val="0"/>
                <w:sz w:val="24"/>
              </w:rPr>
              <w:t>。</w:t>
            </w:r>
          </w:p>
          <w:tbl>
            <w:tblPr>
              <w:tblStyle w:val="7"/>
              <w:tblpPr w:leftFromText="180" w:rightFromText="180" w:vertAnchor="text" w:horzAnchor="page" w:tblpX="1" w:tblpY="77"/>
              <w:tblOverlap w:val="never"/>
              <w:tblW w:w="6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4374"/>
            </w:tblGrid>
            <w:tr w14:paraId="1BA5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65" w:type="dxa"/>
                  <w:vAlign w:val="center"/>
                </w:tcPr>
                <w:p w14:paraId="485DB0FD">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6B042910">
                  <w:pPr>
                    <w:widowControl/>
                    <w:snapToGrid w:val="0"/>
                    <w:rPr>
                      <w:rFonts w:ascii="仿宋" w:hAnsi="仿宋" w:eastAsia="仿宋" w:cs="仿宋"/>
                      <w:kern w:val="0"/>
                      <w:sz w:val="24"/>
                    </w:rPr>
                  </w:pPr>
                  <w:r>
                    <w:rPr>
                      <w:rFonts w:hint="eastAsia" w:ascii="仿宋" w:hAnsi="仿宋" w:eastAsia="仿宋" w:cs="仿宋"/>
                      <w:kern w:val="0"/>
                      <w:sz w:val="24"/>
                    </w:rPr>
                    <w:t>湖南银行股份有限公司</w:t>
                  </w:r>
                </w:p>
              </w:tc>
            </w:tr>
            <w:tr w14:paraId="7BBE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665" w:type="dxa"/>
                  <w:vAlign w:val="center"/>
                </w:tcPr>
                <w:p w14:paraId="07BB0906">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60335EA9">
                  <w:pPr>
                    <w:widowControl/>
                    <w:snapToGrid w:val="0"/>
                    <w:rPr>
                      <w:rFonts w:ascii="仿宋" w:hAnsi="仿宋" w:eastAsia="仿宋" w:cs="仿宋"/>
                      <w:kern w:val="0"/>
                      <w:sz w:val="24"/>
                    </w:rPr>
                  </w:pPr>
                  <w:r>
                    <w:rPr>
                      <w:rFonts w:hint="eastAsia" w:ascii="仿宋" w:hAnsi="仿宋" w:eastAsia="仿宋" w:cs="仿宋"/>
                      <w:kern w:val="0"/>
                      <w:sz w:val="24"/>
                    </w:rPr>
                    <w:t>湖南省长沙市天心区湘江中路二段210号</w:t>
                  </w:r>
                </w:p>
              </w:tc>
            </w:tr>
            <w:tr w14:paraId="1BA9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54D691A6">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4EE6F665">
                  <w:pPr>
                    <w:widowControl/>
                    <w:snapToGrid w:val="0"/>
                    <w:rPr>
                      <w:rFonts w:ascii="仿宋" w:hAnsi="仿宋" w:eastAsia="仿宋" w:cs="仿宋"/>
                      <w:kern w:val="0"/>
                      <w:sz w:val="24"/>
                    </w:rPr>
                  </w:pPr>
                  <w:r>
                    <w:rPr>
                      <w:rFonts w:hint="eastAsia" w:ascii="仿宋" w:hAnsi="仿宋" w:eastAsia="仿宋" w:cs="仿宋"/>
                      <w:kern w:val="0"/>
                      <w:sz w:val="24"/>
                    </w:rPr>
                    <w:t>96599</w:t>
                  </w:r>
                </w:p>
              </w:tc>
            </w:tr>
            <w:tr w14:paraId="5916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23C93B7E">
                  <w:pPr>
                    <w:widowControl/>
                    <w:snapToGrid w:val="0"/>
                    <w:rPr>
                      <w:rFonts w:ascii="仿宋" w:hAnsi="仿宋" w:eastAsia="仿宋" w:cs="仿宋"/>
                      <w:kern w:val="0"/>
                      <w:sz w:val="24"/>
                    </w:rPr>
                  </w:pPr>
                  <w:r>
                    <w:rPr>
                      <w:rFonts w:hint="eastAsia" w:ascii="仿宋" w:hAnsi="仿宋" w:eastAsia="仿宋"/>
                      <w:kern w:val="0"/>
                      <w:sz w:val="24"/>
                    </w:rPr>
                    <w:t>产品销售机构</w:t>
                  </w:r>
                </w:p>
              </w:tc>
              <w:tc>
                <w:tcPr>
                  <w:tcW w:w="4374" w:type="dxa"/>
                  <w:vAlign w:val="center"/>
                </w:tcPr>
                <w:p w14:paraId="51A61DC6">
                  <w:pPr>
                    <w:widowControl/>
                    <w:snapToGrid w:val="0"/>
                    <w:rPr>
                      <w:rFonts w:ascii="仿宋" w:hAnsi="仿宋" w:eastAsia="仿宋" w:cs="仿宋"/>
                      <w:kern w:val="0"/>
                      <w:sz w:val="24"/>
                    </w:rPr>
                  </w:pPr>
                  <w:r>
                    <w:rPr>
                      <w:rFonts w:hint="eastAsia" w:ascii="仿宋" w:hAnsi="仿宋" w:eastAsia="仿宋"/>
                      <w:kern w:val="0"/>
                      <w:sz w:val="24"/>
                    </w:rPr>
                    <w:t>蒙商银行股份有限公司</w:t>
                  </w:r>
                </w:p>
              </w:tc>
            </w:tr>
            <w:tr w14:paraId="22F1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0565B1ED">
                  <w:pPr>
                    <w:widowControl/>
                    <w:snapToGrid w:val="0"/>
                    <w:rPr>
                      <w:rFonts w:ascii="仿宋" w:hAnsi="仿宋" w:eastAsia="仿宋" w:cs="仿宋"/>
                      <w:kern w:val="0"/>
                      <w:sz w:val="24"/>
                    </w:rPr>
                  </w:pPr>
                  <w:r>
                    <w:rPr>
                      <w:rFonts w:hint="eastAsia" w:ascii="仿宋" w:hAnsi="仿宋" w:eastAsia="仿宋"/>
                      <w:kern w:val="0"/>
                      <w:sz w:val="24"/>
                    </w:rPr>
                    <w:t>住所</w:t>
                  </w:r>
                </w:p>
              </w:tc>
              <w:tc>
                <w:tcPr>
                  <w:tcW w:w="4374" w:type="dxa"/>
                  <w:vAlign w:val="center"/>
                </w:tcPr>
                <w:p w14:paraId="5C63CD0D">
                  <w:pPr>
                    <w:widowControl/>
                    <w:snapToGrid w:val="0"/>
                    <w:rPr>
                      <w:rFonts w:ascii="仿宋" w:hAnsi="仿宋" w:eastAsia="仿宋" w:cs="仿宋"/>
                      <w:kern w:val="0"/>
                      <w:sz w:val="24"/>
                    </w:rPr>
                  </w:pPr>
                  <w:r>
                    <w:rPr>
                      <w:rFonts w:hint="eastAsia" w:ascii="仿宋" w:hAnsi="仿宋" w:eastAsia="仿宋"/>
                      <w:kern w:val="0"/>
                      <w:sz w:val="24"/>
                    </w:rPr>
                    <w:t>内蒙古自治区包头市九原区赛汗街道办事处建华南路2号A座</w:t>
                  </w:r>
                </w:p>
              </w:tc>
            </w:tr>
            <w:tr w14:paraId="4AF8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79FF7E93">
                  <w:pPr>
                    <w:widowControl/>
                    <w:snapToGrid w:val="0"/>
                    <w:rPr>
                      <w:rFonts w:ascii="仿宋" w:hAnsi="仿宋" w:eastAsia="仿宋" w:cs="仿宋"/>
                      <w:kern w:val="0"/>
                      <w:sz w:val="24"/>
                    </w:rPr>
                  </w:pPr>
                  <w:r>
                    <w:rPr>
                      <w:rFonts w:hint="eastAsia" w:ascii="仿宋" w:hAnsi="仿宋" w:eastAsia="仿宋"/>
                      <w:kern w:val="0"/>
                      <w:sz w:val="24"/>
                    </w:rPr>
                    <w:t>客户服务热线</w:t>
                  </w:r>
                </w:p>
              </w:tc>
              <w:tc>
                <w:tcPr>
                  <w:tcW w:w="4374" w:type="dxa"/>
                  <w:vAlign w:val="center"/>
                </w:tcPr>
                <w:p w14:paraId="24E3824E">
                  <w:pPr>
                    <w:widowControl/>
                    <w:snapToGrid w:val="0"/>
                    <w:rPr>
                      <w:rFonts w:ascii="仿宋" w:hAnsi="仿宋" w:eastAsia="仿宋" w:cs="仿宋"/>
                      <w:kern w:val="0"/>
                      <w:sz w:val="24"/>
                    </w:rPr>
                  </w:pPr>
                  <w:r>
                    <w:rPr>
                      <w:rFonts w:hint="eastAsia" w:ascii="仿宋" w:hAnsi="仿宋" w:eastAsia="仿宋"/>
                      <w:kern w:val="0"/>
                      <w:sz w:val="24"/>
                    </w:rPr>
                    <w:t>95352</w:t>
                  </w:r>
                </w:p>
              </w:tc>
            </w:tr>
            <w:tr w14:paraId="72B5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5" w:type="dxa"/>
                </w:tcPr>
                <w:p w14:paraId="54E11442">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10BD5D80">
                  <w:pPr>
                    <w:widowControl/>
                    <w:snapToGrid w:val="0"/>
                    <w:rPr>
                      <w:rFonts w:ascii="仿宋" w:hAnsi="仿宋" w:eastAsia="仿宋" w:cs="仿宋"/>
                      <w:kern w:val="0"/>
                      <w:sz w:val="24"/>
                    </w:rPr>
                  </w:pPr>
                  <w:r>
                    <w:rPr>
                      <w:rFonts w:hint="eastAsia" w:ascii="仿宋" w:hAnsi="仿宋" w:eastAsia="仿宋" w:cs="仿宋"/>
                      <w:kern w:val="0"/>
                      <w:sz w:val="24"/>
                    </w:rPr>
                    <w:t>内蒙古银行股份有限公司</w:t>
                  </w:r>
                </w:p>
              </w:tc>
            </w:tr>
            <w:tr w14:paraId="514B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7CB221A1">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29BC043F">
                  <w:pPr>
                    <w:widowControl/>
                    <w:snapToGrid w:val="0"/>
                    <w:rPr>
                      <w:rFonts w:ascii="仿宋" w:hAnsi="仿宋" w:eastAsia="仿宋" w:cs="仿宋"/>
                      <w:kern w:val="0"/>
                      <w:sz w:val="24"/>
                    </w:rPr>
                  </w:pPr>
                  <w:r>
                    <w:rPr>
                      <w:rFonts w:hint="eastAsia" w:ascii="仿宋" w:hAnsi="仿宋" w:eastAsia="仿宋" w:cs="仿宋"/>
                      <w:kern w:val="0"/>
                      <w:sz w:val="24"/>
                    </w:rPr>
                    <w:t>内蒙古自治区呼和浩特市赛罕区腾飞南路33号</w:t>
                  </w:r>
                </w:p>
              </w:tc>
            </w:tr>
            <w:tr w14:paraId="72D8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403265F6">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28B8ADFE">
                  <w:pPr>
                    <w:widowControl/>
                    <w:snapToGrid w:val="0"/>
                    <w:rPr>
                      <w:rFonts w:ascii="仿宋" w:hAnsi="仿宋" w:eastAsia="仿宋" w:cs="仿宋"/>
                      <w:kern w:val="0"/>
                      <w:sz w:val="24"/>
                    </w:rPr>
                  </w:pPr>
                  <w:r>
                    <w:rPr>
                      <w:rFonts w:hint="eastAsia" w:ascii="仿宋" w:hAnsi="仿宋" w:eastAsia="仿宋" w:cs="仿宋"/>
                      <w:kern w:val="0"/>
                      <w:sz w:val="24"/>
                    </w:rPr>
                    <w:t>400-059-6019</w:t>
                  </w:r>
                </w:p>
              </w:tc>
            </w:tr>
            <w:tr w14:paraId="039E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7EE8791F">
                  <w:pPr>
                    <w:widowControl/>
                    <w:snapToGrid w:val="0"/>
                    <w:rPr>
                      <w:rFonts w:hint="eastAsia"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604A6236">
                  <w:pPr>
                    <w:widowControl/>
                    <w:snapToGrid w:val="0"/>
                    <w:rPr>
                      <w:rFonts w:hint="eastAsia" w:ascii="仿宋" w:hAnsi="仿宋" w:eastAsia="仿宋" w:cs="仿宋"/>
                      <w:kern w:val="0"/>
                      <w:sz w:val="24"/>
                    </w:rPr>
                  </w:pPr>
                  <w:r>
                    <w:rPr>
                      <w:rFonts w:hint="eastAsia" w:ascii="仿宋" w:hAnsi="仿宋" w:eastAsia="仿宋" w:cs="仿宋"/>
                      <w:kern w:val="0"/>
                      <w:sz w:val="24"/>
                    </w:rPr>
                    <w:t>中原银行股份有限公司</w:t>
                  </w:r>
                </w:p>
              </w:tc>
            </w:tr>
            <w:tr w14:paraId="6131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5FF5373B">
                  <w:pPr>
                    <w:widowControl/>
                    <w:snapToGrid w:val="0"/>
                    <w:rPr>
                      <w:rFonts w:hint="eastAsia"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5C96ECA9">
                  <w:pPr>
                    <w:widowControl/>
                    <w:snapToGrid w:val="0"/>
                    <w:rPr>
                      <w:rFonts w:hint="eastAsia" w:ascii="仿宋" w:hAnsi="仿宋" w:eastAsia="仿宋" w:cs="仿宋"/>
                      <w:kern w:val="0"/>
                      <w:sz w:val="24"/>
                    </w:rPr>
                  </w:pPr>
                  <w:r>
                    <w:rPr>
                      <w:rFonts w:hint="eastAsia" w:ascii="仿宋" w:hAnsi="仿宋" w:eastAsia="仿宋" w:cs="仿宋"/>
                      <w:kern w:val="0"/>
                      <w:sz w:val="24"/>
                    </w:rPr>
                    <w:t>河南省郑州市郑东新区金融岛外环路9号中原银行总行大厦13楼</w:t>
                  </w:r>
                </w:p>
              </w:tc>
            </w:tr>
            <w:tr w14:paraId="1CDD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7F0049DB">
                  <w:pPr>
                    <w:widowControl/>
                    <w:snapToGrid w:val="0"/>
                    <w:rPr>
                      <w:rFonts w:hint="eastAsia"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2CD73885">
                  <w:pPr>
                    <w:widowControl/>
                    <w:snapToGrid w:val="0"/>
                    <w:rPr>
                      <w:rFonts w:hint="eastAsia" w:ascii="仿宋" w:hAnsi="仿宋" w:eastAsia="仿宋" w:cs="仿宋"/>
                      <w:kern w:val="0"/>
                      <w:sz w:val="24"/>
                    </w:rPr>
                  </w:pPr>
                  <w:r>
                    <w:rPr>
                      <w:rFonts w:hint="eastAsia" w:ascii="仿宋" w:hAnsi="仿宋" w:eastAsia="仿宋" w:cs="仿宋"/>
                      <w:kern w:val="0"/>
                      <w:sz w:val="24"/>
                    </w:rPr>
                    <w:t>95186</w:t>
                  </w:r>
                </w:p>
              </w:tc>
            </w:tr>
            <w:tr w14:paraId="4453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71BECBE6">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产品销售机构</w:t>
                  </w:r>
                </w:p>
              </w:tc>
              <w:tc>
                <w:tcPr>
                  <w:tcW w:w="4374" w:type="dxa"/>
                  <w:shd w:val="clear" w:color="auto" w:fill="auto"/>
                  <w:vAlign w:val="center"/>
                </w:tcPr>
                <w:p w14:paraId="7755CEAA">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富滇银行股份有限公司</w:t>
                  </w:r>
                </w:p>
              </w:tc>
            </w:tr>
            <w:tr w14:paraId="3E45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47A46D27">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住所</w:t>
                  </w:r>
                </w:p>
              </w:tc>
              <w:tc>
                <w:tcPr>
                  <w:tcW w:w="4374" w:type="dxa"/>
                  <w:shd w:val="clear" w:color="auto" w:fill="auto"/>
                  <w:vAlign w:val="center"/>
                </w:tcPr>
                <w:p w14:paraId="71402F22">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云南省昆明市西山区西园路1912号</w:t>
                  </w:r>
                </w:p>
              </w:tc>
            </w:tr>
            <w:tr w14:paraId="7E9C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14E19D80">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客户服务热线</w:t>
                  </w:r>
                </w:p>
              </w:tc>
              <w:tc>
                <w:tcPr>
                  <w:tcW w:w="4374" w:type="dxa"/>
                  <w:shd w:val="clear" w:color="auto" w:fill="auto"/>
                  <w:vAlign w:val="center"/>
                </w:tcPr>
                <w:p w14:paraId="0992B255">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400-88-96533</w:t>
                  </w:r>
                </w:p>
              </w:tc>
            </w:tr>
            <w:tr w14:paraId="5C12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top"/>
                </w:tcPr>
                <w:p w14:paraId="3E4519D0">
                  <w:pPr>
                    <w:widowControl/>
                    <w:snapToGrid w:val="0"/>
                    <w:rPr>
                      <w:rFonts w:hint="eastAsia" w:ascii="仿宋" w:hAnsi="仿宋" w:eastAsia="仿宋" w:cs="仿宋"/>
                      <w:kern w:val="0"/>
                      <w:sz w:val="24"/>
                    </w:rPr>
                  </w:pPr>
                  <w:r>
                    <w:rPr>
                      <w:rFonts w:hint="eastAsia" w:ascii="仿宋" w:hAnsi="仿宋" w:eastAsia="仿宋" w:cs="仿宋"/>
                      <w:kern w:val="0"/>
                      <w:sz w:val="24"/>
                    </w:rPr>
                    <w:t>产品销售机构</w:t>
                  </w:r>
                </w:p>
              </w:tc>
              <w:tc>
                <w:tcPr>
                  <w:tcW w:w="4374" w:type="dxa"/>
                  <w:vAlign w:val="top"/>
                </w:tcPr>
                <w:p w14:paraId="67A994E2">
                  <w:pPr>
                    <w:widowControl/>
                    <w:snapToGrid w:val="0"/>
                    <w:rPr>
                      <w:rFonts w:hint="eastAsia" w:ascii="仿宋" w:hAnsi="仿宋" w:eastAsia="仿宋" w:cs="仿宋"/>
                      <w:kern w:val="0"/>
                      <w:sz w:val="24"/>
                    </w:rPr>
                  </w:pPr>
                  <w:r>
                    <w:rPr>
                      <w:rFonts w:hint="eastAsia" w:ascii="仿宋" w:hAnsi="仿宋" w:eastAsia="仿宋" w:cs="仿宋"/>
                      <w:kern w:val="0"/>
                      <w:sz w:val="24"/>
                    </w:rPr>
                    <w:t>嘉兴银行股份有限公司</w:t>
                  </w:r>
                </w:p>
              </w:tc>
            </w:tr>
            <w:tr w14:paraId="521A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top"/>
                </w:tcPr>
                <w:p w14:paraId="264B9DB1">
                  <w:pPr>
                    <w:widowControl/>
                    <w:snapToGrid w:val="0"/>
                    <w:rPr>
                      <w:rFonts w:hint="eastAsia" w:ascii="仿宋" w:hAnsi="仿宋" w:eastAsia="仿宋" w:cs="仿宋"/>
                      <w:kern w:val="0"/>
                      <w:sz w:val="24"/>
                    </w:rPr>
                  </w:pPr>
                  <w:r>
                    <w:rPr>
                      <w:rFonts w:hint="eastAsia" w:ascii="仿宋" w:hAnsi="仿宋" w:eastAsia="仿宋" w:cs="仿宋"/>
                      <w:kern w:val="0"/>
                      <w:sz w:val="24"/>
                    </w:rPr>
                    <w:t>住所</w:t>
                  </w:r>
                </w:p>
              </w:tc>
              <w:tc>
                <w:tcPr>
                  <w:tcW w:w="4374" w:type="dxa"/>
                  <w:vAlign w:val="top"/>
                </w:tcPr>
                <w:p w14:paraId="160CBE11">
                  <w:pPr>
                    <w:widowControl/>
                    <w:snapToGrid w:val="0"/>
                    <w:rPr>
                      <w:rFonts w:hint="eastAsia" w:ascii="仿宋" w:hAnsi="仿宋" w:eastAsia="仿宋" w:cs="仿宋"/>
                      <w:kern w:val="0"/>
                      <w:sz w:val="24"/>
                    </w:rPr>
                  </w:pPr>
                  <w:r>
                    <w:rPr>
                      <w:rFonts w:hint="eastAsia" w:ascii="仿宋" w:hAnsi="仿宋" w:eastAsia="仿宋" w:cs="仿宋"/>
                      <w:kern w:val="0"/>
                      <w:sz w:val="24"/>
                    </w:rPr>
                    <w:t>浙江省嘉兴市昌盛南路1001 号</w:t>
                  </w:r>
                </w:p>
              </w:tc>
            </w:tr>
            <w:tr w14:paraId="020B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top"/>
                </w:tcPr>
                <w:p w14:paraId="6642458F">
                  <w:pPr>
                    <w:widowControl/>
                    <w:snapToGrid w:val="0"/>
                    <w:rPr>
                      <w:rFonts w:hint="eastAsia" w:ascii="仿宋" w:hAnsi="仿宋" w:eastAsia="仿宋" w:cs="仿宋"/>
                      <w:kern w:val="0"/>
                      <w:sz w:val="24"/>
                    </w:rPr>
                  </w:pPr>
                  <w:r>
                    <w:rPr>
                      <w:rFonts w:hint="eastAsia" w:ascii="仿宋" w:hAnsi="仿宋" w:eastAsia="仿宋" w:cs="仿宋"/>
                      <w:kern w:val="0"/>
                      <w:sz w:val="24"/>
                    </w:rPr>
                    <w:t>客户服务热线</w:t>
                  </w:r>
                </w:p>
              </w:tc>
              <w:tc>
                <w:tcPr>
                  <w:tcW w:w="4374" w:type="dxa"/>
                  <w:vAlign w:val="top"/>
                </w:tcPr>
                <w:p w14:paraId="25A6A49E">
                  <w:pPr>
                    <w:widowControl/>
                    <w:snapToGrid w:val="0"/>
                    <w:rPr>
                      <w:rFonts w:hint="eastAsia" w:ascii="仿宋" w:hAnsi="仿宋" w:eastAsia="仿宋" w:cs="仿宋"/>
                      <w:kern w:val="0"/>
                      <w:sz w:val="24"/>
                    </w:rPr>
                  </w:pPr>
                  <w:r>
                    <w:rPr>
                      <w:rFonts w:hint="eastAsia" w:ascii="仿宋" w:hAnsi="仿宋" w:eastAsia="仿宋" w:cs="仿宋"/>
                      <w:kern w:val="0"/>
                      <w:sz w:val="24"/>
                    </w:rPr>
                    <w:t>0573-96528</w:t>
                  </w:r>
                </w:p>
              </w:tc>
            </w:tr>
            <w:tr w14:paraId="2DD6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1AB85C57">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产品销售机构</w:t>
                  </w:r>
                </w:p>
              </w:tc>
              <w:tc>
                <w:tcPr>
                  <w:tcW w:w="4374" w:type="dxa"/>
                  <w:vAlign w:val="center"/>
                </w:tcPr>
                <w:p w14:paraId="541DBBA6">
                  <w:pPr>
                    <w:widowControl/>
                    <w:snapToGrid w:val="0"/>
                    <w:rPr>
                      <w:rFonts w:hint="eastAsia" w:ascii="仿宋" w:hAnsi="仿宋" w:eastAsia="仿宋" w:cs="仿宋"/>
                      <w:kern w:val="0"/>
                      <w:sz w:val="24"/>
                    </w:rPr>
                  </w:pPr>
                  <w:r>
                    <w:rPr>
                      <w:rFonts w:hint="eastAsia" w:ascii="仿宋" w:hAnsi="仿宋" w:eastAsia="仿宋" w:cs="仿宋"/>
                      <w:kern w:val="0"/>
                      <w:sz w:val="24"/>
                    </w:rPr>
                    <w:t>德州银行股份有限公司</w:t>
                  </w:r>
                </w:p>
              </w:tc>
            </w:tr>
            <w:tr w14:paraId="4F1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3586A9CC">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住所</w:t>
                  </w:r>
                </w:p>
              </w:tc>
              <w:tc>
                <w:tcPr>
                  <w:tcW w:w="4374" w:type="dxa"/>
                  <w:vAlign w:val="center"/>
                </w:tcPr>
                <w:p w14:paraId="0DCB8437">
                  <w:pPr>
                    <w:widowControl/>
                    <w:snapToGrid w:val="0"/>
                    <w:rPr>
                      <w:rFonts w:hint="eastAsia" w:ascii="仿宋" w:hAnsi="仿宋" w:eastAsia="仿宋" w:cs="仿宋"/>
                      <w:kern w:val="0"/>
                      <w:sz w:val="24"/>
                    </w:rPr>
                  </w:pPr>
                  <w:r>
                    <w:rPr>
                      <w:rFonts w:hint="eastAsia" w:ascii="仿宋" w:hAnsi="仿宋" w:eastAsia="仿宋" w:cs="仿宋"/>
                      <w:kern w:val="0"/>
                      <w:sz w:val="24"/>
                    </w:rPr>
                    <w:t>山东省德州市三八东路1266号</w:t>
                  </w:r>
                </w:p>
              </w:tc>
            </w:tr>
            <w:tr w14:paraId="0220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57D43A9B">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客户服务热线</w:t>
                  </w:r>
                </w:p>
              </w:tc>
              <w:tc>
                <w:tcPr>
                  <w:tcW w:w="4374" w:type="dxa"/>
                  <w:vAlign w:val="center"/>
                </w:tcPr>
                <w:p w14:paraId="0FB504DB">
                  <w:pPr>
                    <w:widowControl/>
                    <w:snapToGrid w:val="0"/>
                    <w:rPr>
                      <w:rFonts w:hint="eastAsia" w:ascii="仿宋" w:hAnsi="仿宋" w:eastAsia="仿宋" w:cs="仿宋"/>
                      <w:kern w:val="0"/>
                      <w:sz w:val="24"/>
                    </w:rPr>
                  </w:pPr>
                  <w:r>
                    <w:rPr>
                      <w:rFonts w:hint="eastAsia" w:ascii="仿宋" w:hAnsi="仿宋" w:eastAsia="仿宋" w:cs="仿宋"/>
                      <w:kern w:val="0"/>
                      <w:sz w:val="24"/>
                    </w:rPr>
                    <w:t>400-01-96588</w:t>
                  </w:r>
                </w:p>
              </w:tc>
            </w:tr>
            <w:tr w14:paraId="5D42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0073394A">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产品销售机构</w:t>
                  </w:r>
                </w:p>
              </w:tc>
              <w:tc>
                <w:tcPr>
                  <w:tcW w:w="4374" w:type="dxa"/>
                  <w:vAlign w:val="center"/>
                </w:tcPr>
                <w:p w14:paraId="4014D9F5">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highlight w:val="none"/>
                      <w:lang w:val="en-US" w:eastAsia="zh-CN" w:bidi="ar-SA"/>
                    </w:rPr>
                    <w:t>内蒙古农村商业银行股份有限公司</w:t>
                  </w:r>
                </w:p>
              </w:tc>
            </w:tr>
            <w:tr w14:paraId="049D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50A041AD">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住所</w:t>
                  </w:r>
                </w:p>
              </w:tc>
              <w:tc>
                <w:tcPr>
                  <w:tcW w:w="4374" w:type="dxa"/>
                  <w:vAlign w:val="center"/>
                </w:tcPr>
                <w:p w14:paraId="246ED9EA">
                  <w:pPr>
                    <w:widowControl/>
                    <w:snapToGrid w:val="0"/>
                    <w:rPr>
                      <w:rFonts w:hint="eastAsia" w:ascii="仿宋" w:hAnsi="仿宋" w:eastAsia="仿宋" w:cs="仿宋"/>
                      <w:kern w:val="0"/>
                      <w:sz w:val="24"/>
                      <w:szCs w:val="24"/>
                      <w:lang w:val="en-US" w:eastAsia="zh-CN" w:bidi="ar-SA"/>
                    </w:rPr>
                  </w:pPr>
                  <w:r>
                    <w:rPr>
                      <w:rFonts w:hint="eastAsia" w:ascii="仿宋" w:hAnsi="仿宋" w:eastAsia="仿宋"/>
                      <w:kern w:val="0"/>
                      <w:sz w:val="24"/>
                    </w:rPr>
                    <w:t>内蒙古自治区呼和浩特市赛罕区陶利西街 1 号</w:t>
                  </w:r>
                </w:p>
              </w:tc>
            </w:tr>
            <w:tr w14:paraId="1FB6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5B37E887">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客户服务热线</w:t>
                  </w:r>
                </w:p>
              </w:tc>
              <w:tc>
                <w:tcPr>
                  <w:tcW w:w="4374" w:type="dxa"/>
                  <w:vAlign w:val="center"/>
                </w:tcPr>
                <w:p w14:paraId="24983DD4">
                  <w:pPr>
                    <w:widowControl/>
                    <w:snapToGrid w:val="0"/>
                    <w:rPr>
                      <w:rFonts w:hint="eastAsia" w:ascii="仿宋" w:hAnsi="仿宋" w:eastAsia="仿宋" w:cs="仿宋"/>
                      <w:kern w:val="0"/>
                      <w:sz w:val="24"/>
                      <w:szCs w:val="24"/>
                      <w:lang w:val="en-US" w:eastAsia="zh-CN" w:bidi="ar-SA"/>
                    </w:rPr>
                  </w:pPr>
                  <w:r>
                    <w:rPr>
                      <w:rFonts w:hint="eastAsia" w:ascii="仿宋" w:hAnsi="仿宋" w:eastAsia="仿宋"/>
                      <w:kern w:val="0"/>
                      <w:sz w:val="24"/>
                    </w:rPr>
                    <w:t>0471-96688</w:t>
                  </w:r>
                </w:p>
              </w:tc>
            </w:tr>
          </w:tbl>
          <w:p w14:paraId="1073B63F">
            <w:pPr>
              <w:widowControl/>
              <w:snapToGrid w:val="0"/>
              <w:rPr>
                <w:rFonts w:ascii="仿宋" w:hAnsi="仿宋" w:eastAsia="仿宋" w:cs="仿宋"/>
                <w:kern w:val="0"/>
                <w:sz w:val="24"/>
              </w:rPr>
            </w:pPr>
          </w:p>
        </w:tc>
      </w:tr>
      <w:tr w14:paraId="116A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B121DC2">
            <w:pPr>
              <w:pStyle w:val="12"/>
              <w:spacing w:before="45"/>
              <w:jc w:val="center"/>
              <w:rPr>
                <w:b/>
                <w:bCs/>
                <w:kern w:val="0"/>
                <w:sz w:val="24"/>
                <w:lang w:val="en-US" w:bidi="ar-SA"/>
              </w:rPr>
            </w:pPr>
            <w:r>
              <w:rPr>
                <w:rFonts w:hint="eastAsia"/>
                <w:b/>
                <w:bCs/>
                <w:kern w:val="0"/>
                <w:sz w:val="24"/>
                <w:lang w:val="en-US" w:bidi="ar-SA"/>
              </w:rPr>
              <w:t>产品托管人</w:t>
            </w:r>
          </w:p>
        </w:tc>
        <w:tc>
          <w:tcPr>
            <w:tcW w:w="6390" w:type="dxa"/>
            <w:tcBorders>
              <w:top w:val="single" w:color="auto" w:sz="4" w:space="0"/>
              <w:left w:val="single" w:color="auto" w:sz="4" w:space="0"/>
              <w:right w:val="single" w:color="auto" w:sz="4" w:space="0"/>
            </w:tcBorders>
            <w:vAlign w:val="center"/>
          </w:tcPr>
          <w:p w14:paraId="48D2AD4F">
            <w:pPr>
              <w:widowControl/>
              <w:snapToGrid w:val="0"/>
              <w:rPr>
                <w:rFonts w:ascii="仿宋" w:hAnsi="仿宋" w:eastAsia="仿宋" w:cs="仿宋"/>
                <w:kern w:val="0"/>
                <w:sz w:val="24"/>
              </w:rPr>
            </w:pPr>
            <w:r>
              <w:rPr>
                <w:rFonts w:hint="eastAsia" w:ascii="仿宋" w:hAnsi="仿宋" w:eastAsia="仿宋" w:cs="仿宋"/>
                <w:kern w:val="0"/>
                <w:sz w:val="24"/>
              </w:rPr>
              <w:t>产品托管人负责指令处理、资金清算、证券结算、会计核算、资产估值、投资监督等职责。</w:t>
            </w:r>
          </w:p>
          <w:p w14:paraId="38156D1F">
            <w:pPr>
              <w:widowControl/>
              <w:snapToGrid w:val="0"/>
              <w:rPr>
                <w:rFonts w:ascii="仿宋" w:hAnsi="仿宋" w:eastAsia="仿宋" w:cs="仿宋"/>
                <w:kern w:val="0"/>
                <w:sz w:val="24"/>
              </w:rPr>
            </w:pPr>
            <w:r>
              <w:rPr>
                <w:rFonts w:hint="eastAsia" w:ascii="仿宋" w:hAnsi="仿宋" w:eastAsia="仿宋" w:cs="仿宋"/>
                <w:kern w:val="0"/>
                <w:sz w:val="24"/>
              </w:rPr>
              <w:t>本理财产品托管人为徽商银行股份有限公司。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3994"/>
            </w:tblGrid>
            <w:tr w14:paraId="6785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46" w:type="dxa"/>
                  <w:vAlign w:val="center"/>
                </w:tcPr>
                <w:p w14:paraId="30B7E53B">
                  <w:pPr>
                    <w:widowControl/>
                    <w:snapToGrid w:val="0"/>
                    <w:rPr>
                      <w:rFonts w:ascii="仿宋" w:hAnsi="仿宋" w:eastAsia="仿宋" w:cs="仿宋"/>
                      <w:kern w:val="0"/>
                      <w:sz w:val="24"/>
                    </w:rPr>
                  </w:pPr>
                  <w:r>
                    <w:rPr>
                      <w:rFonts w:hint="eastAsia" w:ascii="仿宋" w:hAnsi="仿宋" w:eastAsia="仿宋" w:cs="仿宋"/>
                      <w:kern w:val="0"/>
                      <w:sz w:val="24"/>
                    </w:rPr>
                    <w:t>产品托管人</w:t>
                  </w:r>
                </w:p>
              </w:tc>
              <w:tc>
                <w:tcPr>
                  <w:tcW w:w="3994" w:type="dxa"/>
                  <w:vAlign w:val="center"/>
                </w:tcPr>
                <w:p w14:paraId="49D2FC6E">
                  <w:pPr>
                    <w:widowControl/>
                    <w:snapToGrid w:val="0"/>
                    <w:rPr>
                      <w:rFonts w:ascii="仿宋" w:hAnsi="仿宋" w:eastAsia="仿宋" w:cs="仿宋"/>
                      <w:kern w:val="0"/>
                      <w:sz w:val="24"/>
                    </w:rPr>
                  </w:pPr>
                  <w:r>
                    <w:rPr>
                      <w:rFonts w:hint="eastAsia" w:ascii="仿宋" w:hAnsi="仿宋" w:eastAsia="仿宋" w:cs="仿宋"/>
                      <w:kern w:val="0"/>
                      <w:sz w:val="24"/>
                    </w:rPr>
                    <w:t>徽商银行股份有限公司</w:t>
                  </w:r>
                </w:p>
              </w:tc>
            </w:tr>
            <w:tr w14:paraId="08AF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46" w:type="dxa"/>
                  <w:vAlign w:val="center"/>
                </w:tcPr>
                <w:p w14:paraId="0E9474D5">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3994" w:type="dxa"/>
                  <w:vAlign w:val="center"/>
                </w:tcPr>
                <w:p w14:paraId="798FAFE4">
                  <w:pPr>
                    <w:widowControl/>
                    <w:snapToGrid w:val="0"/>
                    <w:rPr>
                      <w:rFonts w:ascii="仿宋" w:hAnsi="仿宋" w:eastAsia="仿宋" w:cs="仿宋"/>
                      <w:kern w:val="0"/>
                      <w:sz w:val="24"/>
                    </w:rPr>
                  </w:pPr>
                  <w:r>
                    <w:rPr>
                      <w:rFonts w:hint="eastAsia" w:ascii="仿宋" w:hAnsi="仿宋" w:eastAsia="仿宋" w:cs="仿宋"/>
                      <w:kern w:val="0"/>
                      <w:sz w:val="24"/>
                    </w:rPr>
                    <w:t>安徽省合肥市云谷路1699号徽银大厦15楼</w:t>
                  </w:r>
                </w:p>
              </w:tc>
            </w:tr>
          </w:tbl>
          <w:p w14:paraId="3C324105">
            <w:pPr>
              <w:widowControl/>
              <w:snapToGrid w:val="0"/>
              <w:rPr>
                <w:rFonts w:ascii="仿宋" w:hAnsi="仿宋" w:eastAsia="仿宋" w:cs="仿宋"/>
                <w:kern w:val="0"/>
                <w:sz w:val="24"/>
              </w:rPr>
            </w:pPr>
          </w:p>
        </w:tc>
      </w:tr>
      <w:tr w14:paraId="63C6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1A90BBD">
            <w:pPr>
              <w:widowControl/>
              <w:snapToGrid w:val="0"/>
              <w:jc w:val="center"/>
              <w:rPr>
                <w:rFonts w:ascii="仿宋" w:hAnsi="仿宋" w:eastAsia="仿宋" w:cs="仿宋"/>
                <w:b/>
                <w:bCs/>
                <w:kern w:val="0"/>
                <w:sz w:val="24"/>
              </w:rPr>
            </w:pPr>
          </w:p>
          <w:p w14:paraId="65B1B85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投资合作机构</w:t>
            </w:r>
          </w:p>
        </w:tc>
        <w:tc>
          <w:tcPr>
            <w:tcW w:w="6390" w:type="dxa"/>
            <w:tcBorders>
              <w:top w:val="single" w:color="auto" w:sz="4" w:space="0"/>
              <w:left w:val="single" w:color="auto" w:sz="4" w:space="0"/>
              <w:right w:val="single" w:color="auto" w:sz="4" w:space="0"/>
            </w:tcBorders>
            <w:vAlign w:val="center"/>
          </w:tcPr>
          <w:p w14:paraId="6330DD7C">
            <w:pPr>
              <w:widowControl/>
              <w:snapToGrid w:val="0"/>
              <w:rPr>
                <w:rFonts w:ascii="仿宋" w:hAnsi="仿宋" w:eastAsia="仿宋" w:cs="仿宋"/>
                <w:kern w:val="0"/>
                <w:sz w:val="24"/>
              </w:rPr>
            </w:pPr>
            <w:r>
              <w:rPr>
                <w:rFonts w:hint="eastAsia" w:ascii="仿宋" w:hAnsi="仿宋" w:eastAsia="仿宋" w:cs="仿宋"/>
                <w:kern w:val="0"/>
                <w:sz w:val="24"/>
              </w:rPr>
              <w:t>投资合作机构包括但不限于理财产品所投资资产管理产品的发行机构、根据合同约定从事理财产品受托投资的机构以及与理财产品投资管理相关的投资顾问等。</w:t>
            </w:r>
          </w:p>
          <w:p w14:paraId="39B077F0">
            <w:pPr>
              <w:widowControl/>
              <w:snapToGrid w:val="0"/>
              <w:rPr>
                <w:rFonts w:ascii="仿宋" w:hAnsi="仿宋" w:eastAsia="仿宋" w:cs="仿宋"/>
                <w:kern w:val="0"/>
                <w:sz w:val="24"/>
              </w:rPr>
            </w:pPr>
            <w:r>
              <w:rPr>
                <w:rFonts w:hint="eastAsia" w:ascii="仿宋" w:hAnsi="仿宋" w:eastAsia="仿宋" w:cs="仿宋"/>
                <w:kern w:val="0"/>
                <w:sz w:val="24"/>
              </w:rPr>
              <w:t>本理财产品拟投资合作机构为上海海通证券资产管理有限公司、华泰证券（上海）资产管理有限公司、招商证券资产管理有限公司、申万宏源证券有限公司、华安证券股份有限公司、财通证券资产管理有限公司、中国国际金融股份有限公司、上海光大证券资产管理有限公司、中信证券股份有限公司、兴证证券资产管理有限公司、国开证券有限责任公司、创金合信基金管理有限公司、华润深国投信托有限公司、安徽国元信托有限责任公司、中信信托有限责任公司、中粮信托有限责任公司、广东粤财信托有限公司、华鑫信托有限公司、华宝信托有限公司、中国对外经济贸易信托有限公司、北方国际信托股份有限公司、陆家嘴国际信托有限公司、建信信托有限责任公司、中航信托股份有限公司、国投泰康信托有限公司、陕西省国际信托投资股份有限公司、杭州工商信托股份有限公司、西藏信托有限公司、重庆国际信托股份有限公司、中原信托有限公司、浙商金汇信托股份有限公司、中建投信托股份有限公司、平安信托有限责任公司等产品管理人已准入的合作机构。</w:t>
            </w:r>
          </w:p>
        </w:tc>
      </w:tr>
      <w:tr w14:paraId="09C2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987C46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产品风险评级</w:t>
            </w:r>
          </w:p>
        </w:tc>
        <w:tc>
          <w:tcPr>
            <w:tcW w:w="6390" w:type="dxa"/>
            <w:tcBorders>
              <w:top w:val="single" w:color="auto" w:sz="4" w:space="0"/>
              <w:left w:val="single" w:color="auto" w:sz="4" w:space="0"/>
              <w:right w:val="single" w:color="auto" w:sz="4" w:space="0"/>
            </w:tcBorders>
            <w:vAlign w:val="center"/>
          </w:tcPr>
          <w:p w14:paraId="68217EA0">
            <w:pPr>
              <w:widowControl/>
              <w:snapToGrid w:val="0"/>
              <w:rPr>
                <w:rFonts w:ascii="仿宋" w:hAnsi="仿宋" w:eastAsia="仿宋" w:cs="仿宋"/>
                <w:kern w:val="0"/>
                <w:sz w:val="24"/>
              </w:rPr>
            </w:pPr>
            <w:r>
              <w:rPr>
                <w:rFonts w:hint="eastAsia" w:ascii="仿宋" w:hAnsi="仿宋" w:eastAsia="仿宋" w:cs="仿宋"/>
                <w:kern w:val="0"/>
                <w:sz w:val="24"/>
              </w:rPr>
              <w:t>二级（本评级为产品管理人内部评级，仅供投资者参考。</w:t>
            </w:r>
            <w:r>
              <w:rPr>
                <w:rFonts w:hint="eastAsia" w:ascii="仿宋" w:hAnsi="仿宋" w:eastAsia="仿宋" w:cs="仿宋"/>
                <w:b/>
                <w:bCs/>
                <w:kern w:val="0"/>
                <w:sz w:val="24"/>
              </w:rPr>
              <w:t>本产品通过代理销售机构渠道销售</w:t>
            </w:r>
            <w:r>
              <w:rPr>
                <w:rFonts w:hint="eastAsia" w:ascii="仿宋" w:hAnsi="仿宋" w:eastAsia="仿宋" w:cs="仿宋"/>
                <w:b/>
                <w:bCs/>
                <w:kern w:val="0"/>
                <w:sz w:val="24"/>
                <w:highlight w:val="none"/>
              </w:rPr>
              <w:t>的，理财产品评级应当以代理销售机构最终披露的评级结果为准</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lang w:val="en-US" w:eastAsia="zh-CN"/>
              </w:rPr>
              <w:t>理财</w:t>
            </w:r>
            <w:r>
              <w:rPr>
                <w:rFonts w:hint="eastAsia" w:ascii="仿宋" w:hAnsi="仿宋" w:eastAsia="仿宋" w:cs="仿宋"/>
                <w:b/>
                <w:bCs/>
                <w:kern w:val="0"/>
                <w:sz w:val="24"/>
                <w:highlight w:val="none"/>
                <w:lang w:val="en-US"/>
              </w:rPr>
              <w:t>产品风险等级可能因市场或运作情况等影响而发生调整</w:t>
            </w:r>
            <w:r>
              <w:rPr>
                <w:rFonts w:hint="eastAsia" w:ascii="仿宋" w:hAnsi="仿宋" w:eastAsia="仿宋" w:cs="仿宋"/>
                <w:b/>
                <w:bCs/>
                <w:kern w:val="0"/>
                <w:sz w:val="24"/>
                <w:highlight w:val="none"/>
                <w:lang w:val="en-US" w:eastAsia="zh-CN"/>
              </w:rPr>
              <w:t>，投资者应及时关注理财产品风险等级的变化</w:t>
            </w:r>
            <w:r>
              <w:rPr>
                <w:rFonts w:hint="eastAsia" w:ascii="仿宋" w:hAnsi="仿宋" w:eastAsia="仿宋" w:cs="仿宋"/>
                <w:kern w:val="0"/>
                <w:sz w:val="24"/>
                <w:highlight w:val="none"/>
              </w:rPr>
              <w:t>），产品风险等级释义详见本说明书“八、风险揭示”条款。</w:t>
            </w:r>
          </w:p>
        </w:tc>
      </w:tr>
      <w:tr w14:paraId="466E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867" w:hRule="atLeast"/>
        </w:trPr>
        <w:tc>
          <w:tcPr>
            <w:tcW w:w="2038" w:type="dxa"/>
            <w:tcBorders>
              <w:left w:val="single" w:color="auto" w:sz="4" w:space="0"/>
              <w:right w:val="single" w:color="auto" w:sz="4" w:space="0"/>
            </w:tcBorders>
            <w:vAlign w:val="center"/>
          </w:tcPr>
          <w:p w14:paraId="25606AB1">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发行对象</w:t>
            </w:r>
          </w:p>
        </w:tc>
        <w:tc>
          <w:tcPr>
            <w:tcW w:w="6390" w:type="dxa"/>
            <w:tcBorders>
              <w:top w:val="single" w:color="auto" w:sz="4" w:space="0"/>
              <w:left w:val="single" w:color="auto" w:sz="4" w:space="0"/>
              <w:right w:val="single" w:color="auto" w:sz="4" w:space="0"/>
            </w:tcBorders>
            <w:vAlign w:val="center"/>
          </w:tcPr>
          <w:p w14:paraId="3ABCBD66">
            <w:pPr>
              <w:widowControl/>
              <w:snapToGrid w:val="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本产品适合经销售机构理财客户风险评级体系评级为二级、三级、四级、五级的个人投资者（具体以销售机构风险评级结果和销售要求为准）</w:t>
            </w:r>
          </w:p>
          <w:p w14:paraId="2CB1C999">
            <w:pPr>
              <w:widowControl/>
              <w:snapToGrid w:val="0"/>
              <w:rPr>
                <w:rFonts w:hint="eastAsia" w:ascii="仿宋" w:hAnsi="仿宋" w:eastAsia="仿宋" w:cs="仿宋"/>
                <w:kern w:val="0"/>
                <w:sz w:val="24"/>
              </w:rPr>
            </w:pPr>
            <w:r>
              <w:rPr>
                <w:rFonts w:hint="eastAsia" w:ascii="仿宋" w:hAnsi="仿宋" w:eastAsia="仿宋" w:cs="仿宋"/>
                <w:kern w:val="0"/>
                <w:sz w:val="24"/>
              </w:rPr>
              <w:t>A份额（销售代码【</w:t>
            </w:r>
            <w:r>
              <w:rPr>
                <w:rFonts w:hint="eastAsia" w:ascii="仿宋" w:hAnsi="仿宋" w:eastAsia="仿宋" w:cs="仿宋"/>
                <w:kern w:val="0"/>
                <w:sz w:val="24"/>
                <w:lang w:eastAsia="zh-CN"/>
              </w:rPr>
              <w:t>PNHY260236</w:t>
            </w:r>
            <w:r>
              <w:rPr>
                <w:rFonts w:hint="eastAsia" w:ascii="仿宋" w:hAnsi="仿宋" w:eastAsia="仿宋" w:cs="仿宋"/>
                <w:kern w:val="0"/>
                <w:sz w:val="24"/>
              </w:rPr>
              <w:t>A】）：个人客户</w:t>
            </w:r>
          </w:p>
        </w:tc>
      </w:tr>
      <w:tr w14:paraId="3EE7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53F1E7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产品类型</w:t>
            </w:r>
          </w:p>
        </w:tc>
        <w:tc>
          <w:tcPr>
            <w:tcW w:w="6390" w:type="dxa"/>
            <w:tcBorders>
              <w:top w:val="single" w:color="auto" w:sz="4" w:space="0"/>
              <w:left w:val="single" w:color="auto" w:sz="4" w:space="0"/>
              <w:right w:val="single" w:color="auto" w:sz="4" w:space="0"/>
            </w:tcBorders>
            <w:vAlign w:val="center"/>
          </w:tcPr>
          <w:p w14:paraId="5A8C9D11">
            <w:pPr>
              <w:widowControl/>
              <w:snapToGrid w:val="0"/>
              <w:rPr>
                <w:rFonts w:ascii="仿宋" w:hAnsi="仿宋" w:eastAsia="仿宋" w:cs="仿宋"/>
                <w:kern w:val="0"/>
                <w:sz w:val="24"/>
              </w:rPr>
            </w:pPr>
            <w:r>
              <w:rPr>
                <w:rFonts w:hint="eastAsia" w:ascii="仿宋" w:hAnsi="仿宋" w:eastAsia="仿宋" w:cs="仿宋"/>
                <w:kern w:val="0"/>
                <w:sz w:val="24"/>
              </w:rPr>
              <w:t>固定收益类，非保本浮动收益型、封闭式净值型</w:t>
            </w:r>
          </w:p>
        </w:tc>
      </w:tr>
      <w:tr w14:paraId="769B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4C49D9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发行方式</w:t>
            </w:r>
          </w:p>
        </w:tc>
        <w:tc>
          <w:tcPr>
            <w:tcW w:w="6390" w:type="dxa"/>
            <w:tcBorders>
              <w:top w:val="single" w:color="auto" w:sz="4" w:space="0"/>
              <w:left w:val="single" w:color="auto" w:sz="4" w:space="0"/>
              <w:right w:val="single" w:color="auto" w:sz="4" w:space="0"/>
            </w:tcBorders>
            <w:vAlign w:val="center"/>
          </w:tcPr>
          <w:p w14:paraId="64775605">
            <w:pPr>
              <w:widowControl/>
              <w:snapToGrid w:val="0"/>
              <w:rPr>
                <w:rFonts w:ascii="仿宋" w:hAnsi="仿宋" w:eastAsia="仿宋" w:cs="仿宋"/>
                <w:kern w:val="0"/>
                <w:sz w:val="24"/>
              </w:rPr>
            </w:pPr>
            <w:r>
              <w:rPr>
                <w:rFonts w:hint="eastAsia" w:ascii="仿宋" w:hAnsi="仿宋" w:eastAsia="仿宋" w:cs="仿宋"/>
                <w:kern w:val="0"/>
                <w:sz w:val="24"/>
              </w:rPr>
              <w:t>公募</w:t>
            </w:r>
          </w:p>
        </w:tc>
      </w:tr>
      <w:tr w14:paraId="115D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A16004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销售范围</w:t>
            </w:r>
          </w:p>
        </w:tc>
        <w:tc>
          <w:tcPr>
            <w:tcW w:w="6390" w:type="dxa"/>
            <w:tcBorders>
              <w:top w:val="single" w:color="auto" w:sz="4" w:space="0"/>
              <w:left w:val="single" w:color="auto" w:sz="4" w:space="0"/>
              <w:right w:val="single" w:color="auto" w:sz="4" w:space="0"/>
            </w:tcBorders>
            <w:vAlign w:val="center"/>
          </w:tcPr>
          <w:p w14:paraId="11BEA6BE">
            <w:pPr>
              <w:widowControl/>
              <w:snapToGrid w:val="0"/>
              <w:rPr>
                <w:rFonts w:ascii="仿宋" w:hAnsi="仿宋" w:eastAsia="仿宋" w:cs="仿宋"/>
                <w:kern w:val="0"/>
                <w:sz w:val="24"/>
              </w:rPr>
            </w:pPr>
            <w:r>
              <w:rPr>
                <w:rFonts w:hint="eastAsia" w:ascii="仿宋" w:hAnsi="仿宋" w:eastAsia="仿宋" w:cs="仿宋"/>
                <w:kern w:val="0"/>
                <w:sz w:val="24"/>
              </w:rPr>
              <w:t>产品销售机构分支机构所在地等符合监管要求的销售地区</w:t>
            </w:r>
          </w:p>
        </w:tc>
      </w:tr>
      <w:tr w14:paraId="2FC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3779D2C">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销售渠道</w:t>
            </w:r>
          </w:p>
        </w:tc>
        <w:tc>
          <w:tcPr>
            <w:tcW w:w="6390" w:type="dxa"/>
            <w:tcBorders>
              <w:top w:val="single" w:color="auto" w:sz="4" w:space="0"/>
              <w:left w:val="single" w:color="auto" w:sz="4" w:space="0"/>
              <w:right w:val="single" w:color="auto" w:sz="4" w:space="0"/>
            </w:tcBorders>
            <w:vAlign w:val="center"/>
          </w:tcPr>
          <w:p w14:paraId="5E88C7F7">
            <w:pPr>
              <w:widowControl/>
              <w:snapToGrid w:val="0"/>
              <w:rPr>
                <w:rFonts w:ascii="仿宋" w:hAnsi="仿宋" w:eastAsia="仿宋" w:cs="仿宋"/>
                <w:kern w:val="0"/>
                <w:sz w:val="24"/>
              </w:rPr>
            </w:pPr>
            <w:r>
              <w:rPr>
                <w:rFonts w:hint="eastAsia" w:ascii="仿宋" w:hAnsi="仿宋" w:eastAsia="仿宋" w:cs="仿宋"/>
                <w:kern w:val="0"/>
                <w:sz w:val="24"/>
              </w:rPr>
              <w:t>可通过销售机构的营业网点、网上银行、手机银行等渠道购买</w:t>
            </w:r>
          </w:p>
        </w:tc>
      </w:tr>
      <w:tr w14:paraId="24C5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1E3BAD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本金及收益币种</w:t>
            </w:r>
          </w:p>
        </w:tc>
        <w:tc>
          <w:tcPr>
            <w:tcW w:w="6390" w:type="dxa"/>
            <w:tcBorders>
              <w:top w:val="single" w:color="auto" w:sz="4" w:space="0"/>
              <w:left w:val="single" w:color="auto" w:sz="4" w:space="0"/>
              <w:right w:val="single" w:color="auto" w:sz="4" w:space="0"/>
            </w:tcBorders>
            <w:vAlign w:val="center"/>
          </w:tcPr>
          <w:p w14:paraId="0FCF4BC9">
            <w:pPr>
              <w:widowControl/>
              <w:snapToGrid w:val="0"/>
              <w:rPr>
                <w:rFonts w:ascii="仿宋" w:hAnsi="仿宋" w:eastAsia="仿宋" w:cs="仿宋"/>
                <w:kern w:val="0"/>
                <w:sz w:val="24"/>
              </w:rPr>
            </w:pPr>
            <w:r>
              <w:rPr>
                <w:rFonts w:hint="eastAsia" w:ascii="仿宋" w:hAnsi="仿宋" w:eastAsia="仿宋" w:cs="仿宋"/>
                <w:kern w:val="0"/>
                <w:sz w:val="24"/>
              </w:rPr>
              <w:t>人民币</w:t>
            </w:r>
          </w:p>
        </w:tc>
      </w:tr>
      <w:tr w14:paraId="3CF6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ABCF17C">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产品规模</w:t>
            </w:r>
          </w:p>
        </w:tc>
        <w:tc>
          <w:tcPr>
            <w:tcW w:w="6390" w:type="dxa"/>
            <w:tcBorders>
              <w:top w:val="single" w:color="auto" w:sz="4" w:space="0"/>
              <w:left w:val="single" w:color="auto" w:sz="4" w:space="0"/>
              <w:right w:val="single" w:color="auto" w:sz="4" w:space="0"/>
            </w:tcBorders>
            <w:vAlign w:val="center"/>
          </w:tcPr>
          <w:p w14:paraId="2B890426">
            <w:pPr>
              <w:widowControl/>
              <w:snapToGrid w:val="0"/>
              <w:rPr>
                <w:rFonts w:ascii="仿宋" w:hAnsi="仿宋" w:eastAsia="仿宋" w:cs="仿宋"/>
                <w:kern w:val="0"/>
                <w:sz w:val="24"/>
              </w:rPr>
            </w:pPr>
            <w:r>
              <w:rPr>
                <w:rFonts w:hint="eastAsia" w:ascii="仿宋" w:hAnsi="仿宋" w:eastAsia="仿宋" w:cs="仿宋"/>
                <w:kern w:val="0"/>
                <w:sz w:val="24"/>
              </w:rPr>
              <w:t>募集规模上限：</w:t>
            </w:r>
            <w:r>
              <w:rPr>
                <w:rFonts w:hint="eastAsia" w:ascii="仿宋" w:hAnsi="仿宋" w:eastAsia="仿宋" w:cs="仿宋"/>
                <w:kern w:val="0"/>
                <w:sz w:val="24"/>
                <w:lang w:val="en-US" w:eastAsia="zh-CN"/>
              </w:rPr>
              <w:t>8.3</w:t>
            </w:r>
            <w:r>
              <w:rPr>
                <w:rFonts w:hint="eastAsia" w:ascii="仿宋" w:hAnsi="仿宋" w:eastAsia="仿宋" w:cs="仿宋"/>
                <w:kern w:val="0"/>
                <w:sz w:val="24"/>
              </w:rPr>
              <w:t>亿元人民币，募集规模下限：无</w:t>
            </w:r>
          </w:p>
        </w:tc>
      </w:tr>
      <w:tr w14:paraId="6CE9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7D9D3A5">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认购起点</w:t>
            </w:r>
          </w:p>
        </w:tc>
        <w:tc>
          <w:tcPr>
            <w:tcW w:w="6390" w:type="dxa"/>
            <w:tcBorders>
              <w:top w:val="single" w:color="auto" w:sz="4" w:space="0"/>
              <w:left w:val="single" w:color="auto" w:sz="4" w:space="0"/>
              <w:right w:val="single" w:color="auto" w:sz="4" w:space="0"/>
            </w:tcBorders>
            <w:vAlign w:val="center"/>
          </w:tcPr>
          <w:p w14:paraId="75CC339D">
            <w:pPr>
              <w:widowControl/>
              <w:snapToGrid w:val="0"/>
              <w:rPr>
                <w:rFonts w:ascii="仿宋" w:hAnsi="仿宋" w:eastAsia="仿宋" w:cs="仿宋"/>
                <w:kern w:val="0"/>
                <w:sz w:val="24"/>
              </w:rPr>
            </w:pPr>
            <w:r>
              <w:rPr>
                <w:rFonts w:hint="eastAsia" w:ascii="仿宋" w:hAnsi="仿宋" w:eastAsia="仿宋" w:cs="仿宋"/>
                <w:kern w:val="0"/>
                <w:sz w:val="24"/>
              </w:rPr>
              <w:t>起点1元，以1元的整数倍递增</w:t>
            </w:r>
          </w:p>
        </w:tc>
      </w:tr>
      <w:tr w14:paraId="09B8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7C87A82">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单户持有份额比例上限</w:t>
            </w:r>
          </w:p>
        </w:tc>
        <w:tc>
          <w:tcPr>
            <w:tcW w:w="6390" w:type="dxa"/>
            <w:tcBorders>
              <w:top w:val="single" w:color="auto" w:sz="4" w:space="0"/>
              <w:left w:val="single" w:color="auto" w:sz="4" w:space="0"/>
              <w:right w:val="single" w:color="auto" w:sz="4" w:space="0"/>
            </w:tcBorders>
            <w:vAlign w:val="center"/>
          </w:tcPr>
          <w:p w14:paraId="6A7E512D">
            <w:pPr>
              <w:widowControl/>
              <w:snapToGrid w:val="0"/>
              <w:rPr>
                <w:rFonts w:ascii="仿宋" w:hAnsi="仿宋" w:eastAsia="仿宋" w:cs="仿宋"/>
                <w:kern w:val="0"/>
                <w:sz w:val="24"/>
              </w:rPr>
            </w:pPr>
            <w:r>
              <w:rPr>
                <w:rFonts w:hint="eastAsia" w:ascii="仿宋" w:hAnsi="仿宋" w:eastAsia="仿宋" w:cs="仿宋"/>
                <w:kern w:val="0"/>
                <w:sz w:val="24"/>
              </w:rPr>
              <w:t>本产品单一投资者持有份额比例不超过产品总份额的50%。非因产品管理人主观因素导致突破上述50%比例限制的，在单一投资者持有比例降至50%以下之前，产品管理人不再接受该投资者对本理财产品的认购申请。</w:t>
            </w:r>
          </w:p>
        </w:tc>
      </w:tr>
      <w:tr w14:paraId="6B52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D36FB4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认购份额</w:t>
            </w:r>
          </w:p>
        </w:tc>
        <w:tc>
          <w:tcPr>
            <w:tcW w:w="6390" w:type="dxa"/>
            <w:tcBorders>
              <w:top w:val="single" w:color="auto" w:sz="4" w:space="0"/>
              <w:left w:val="single" w:color="auto" w:sz="4" w:space="0"/>
              <w:right w:val="single" w:color="auto" w:sz="4" w:space="0"/>
            </w:tcBorders>
            <w:vAlign w:val="center"/>
          </w:tcPr>
          <w:p w14:paraId="5D403196">
            <w:pPr>
              <w:widowControl/>
              <w:snapToGrid w:val="0"/>
              <w:rPr>
                <w:rFonts w:ascii="仿宋" w:hAnsi="仿宋" w:eastAsia="仿宋" w:cs="仿宋"/>
                <w:kern w:val="0"/>
                <w:sz w:val="24"/>
              </w:rPr>
            </w:pPr>
            <w:r>
              <w:rPr>
                <w:rFonts w:hint="eastAsia" w:ascii="仿宋" w:hAnsi="仿宋" w:eastAsia="仿宋" w:cs="仿宋"/>
                <w:kern w:val="0"/>
                <w:sz w:val="24"/>
              </w:rPr>
              <w:t>认购份额=认购金额/1</w:t>
            </w:r>
          </w:p>
        </w:tc>
      </w:tr>
      <w:tr w14:paraId="7F61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0D28613">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产品募集期</w:t>
            </w:r>
          </w:p>
        </w:tc>
        <w:tc>
          <w:tcPr>
            <w:tcW w:w="6390" w:type="dxa"/>
            <w:tcBorders>
              <w:top w:val="single" w:color="auto" w:sz="4" w:space="0"/>
              <w:left w:val="single" w:color="auto" w:sz="4" w:space="0"/>
              <w:right w:val="single" w:color="auto" w:sz="4" w:space="0"/>
            </w:tcBorders>
            <w:vAlign w:val="center"/>
          </w:tcPr>
          <w:p w14:paraId="1913C5E6">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11</w:t>
            </w:r>
            <w:r>
              <w:rPr>
                <w:rFonts w:hint="eastAsia" w:ascii="仿宋" w:hAnsi="仿宋" w:eastAsia="仿宋" w:cs="仿宋"/>
                <w:kern w:val="0"/>
                <w:sz w:val="24"/>
              </w:rPr>
              <w:t>日-202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16</w:t>
            </w:r>
            <w:r>
              <w:rPr>
                <w:rFonts w:hint="eastAsia" w:ascii="仿宋" w:hAnsi="仿宋" w:eastAsia="仿宋" w:cs="仿宋"/>
                <w:kern w:val="0"/>
                <w:sz w:val="24"/>
              </w:rPr>
              <w:t>日</w:t>
            </w:r>
          </w:p>
        </w:tc>
      </w:tr>
      <w:tr w14:paraId="40C1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CDDADC7">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产品成立日</w:t>
            </w:r>
          </w:p>
        </w:tc>
        <w:tc>
          <w:tcPr>
            <w:tcW w:w="6390" w:type="dxa"/>
            <w:tcBorders>
              <w:top w:val="single" w:color="auto" w:sz="4" w:space="0"/>
              <w:left w:val="single" w:color="auto" w:sz="4" w:space="0"/>
              <w:right w:val="single" w:color="auto" w:sz="4" w:space="0"/>
            </w:tcBorders>
            <w:vAlign w:val="center"/>
          </w:tcPr>
          <w:p w14:paraId="25058074">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17</w:t>
            </w:r>
            <w:r>
              <w:rPr>
                <w:rFonts w:hint="eastAsia" w:ascii="仿宋" w:hAnsi="仿宋" w:eastAsia="仿宋" w:cs="仿宋"/>
                <w:kern w:val="0"/>
                <w:sz w:val="24"/>
              </w:rPr>
              <w:t>日</w:t>
            </w:r>
          </w:p>
        </w:tc>
      </w:tr>
      <w:tr w14:paraId="6CFB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496CF39">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产品到期日</w:t>
            </w:r>
          </w:p>
        </w:tc>
        <w:tc>
          <w:tcPr>
            <w:tcW w:w="6390" w:type="dxa"/>
            <w:tcBorders>
              <w:top w:val="single" w:color="auto" w:sz="4" w:space="0"/>
              <w:left w:val="single" w:color="auto" w:sz="4" w:space="0"/>
              <w:right w:val="single" w:color="auto" w:sz="4" w:space="0"/>
            </w:tcBorders>
            <w:vAlign w:val="center"/>
          </w:tcPr>
          <w:p w14:paraId="69D34053">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7</w:t>
            </w:r>
            <w:r>
              <w:rPr>
                <w:rFonts w:hint="eastAsia" w:ascii="仿宋" w:hAnsi="仿宋" w:eastAsia="仿宋" w:cs="仿宋"/>
                <w:kern w:val="0"/>
                <w:sz w:val="24"/>
              </w:rPr>
              <w:t>年</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22</w:t>
            </w:r>
            <w:r>
              <w:rPr>
                <w:rFonts w:hint="eastAsia" w:ascii="仿宋" w:hAnsi="仿宋" w:eastAsia="仿宋" w:cs="仿宋"/>
                <w:kern w:val="0"/>
                <w:sz w:val="24"/>
              </w:rPr>
              <w:t>日</w:t>
            </w:r>
          </w:p>
        </w:tc>
      </w:tr>
      <w:tr w14:paraId="2D8F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6285901">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产品期限</w:t>
            </w:r>
          </w:p>
        </w:tc>
        <w:tc>
          <w:tcPr>
            <w:tcW w:w="6390" w:type="dxa"/>
            <w:tcBorders>
              <w:top w:val="single" w:color="auto" w:sz="4" w:space="0"/>
              <w:left w:val="single" w:color="auto" w:sz="4" w:space="0"/>
              <w:right w:val="single" w:color="auto" w:sz="4" w:space="0"/>
            </w:tcBorders>
          </w:tcPr>
          <w:p w14:paraId="1AA9223C">
            <w:pPr>
              <w:widowControl/>
              <w:snapToGrid w:val="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70</w:t>
            </w:r>
            <w:r>
              <w:rPr>
                <w:rFonts w:hint="eastAsia" w:ascii="仿宋" w:hAnsi="仿宋" w:eastAsia="仿宋" w:cs="仿宋"/>
                <w:kern w:val="0"/>
                <w:sz w:val="24"/>
              </w:rPr>
              <w:t>天（实际产品期限受制于产品管理人提前终止条款）</w:t>
            </w:r>
          </w:p>
        </w:tc>
      </w:tr>
      <w:tr w14:paraId="4BD5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5F0BAC64">
            <w:pPr>
              <w:widowControl/>
              <w:jc w:val="center"/>
              <w:rPr>
                <w:rFonts w:ascii="仿宋" w:hAnsi="仿宋" w:eastAsia="仿宋" w:cs="仿宋"/>
                <w:b/>
                <w:bCs/>
                <w:kern w:val="0"/>
                <w:sz w:val="24"/>
              </w:rPr>
            </w:pPr>
            <w:r>
              <w:rPr>
                <w:rFonts w:hint="eastAsia" w:ascii="仿宋" w:hAnsi="仿宋" w:eastAsia="仿宋" w:cs="仿宋"/>
                <w:b/>
                <w:bCs/>
                <w:kern w:val="0"/>
                <w:sz w:val="24"/>
              </w:rPr>
              <w:t>产品成立</w:t>
            </w:r>
          </w:p>
        </w:tc>
        <w:tc>
          <w:tcPr>
            <w:tcW w:w="6390" w:type="dxa"/>
            <w:vAlign w:val="center"/>
          </w:tcPr>
          <w:p w14:paraId="0097172B">
            <w:pPr>
              <w:widowControl/>
              <w:snapToGrid w:val="0"/>
              <w:rPr>
                <w:rFonts w:ascii="仿宋" w:hAnsi="仿宋" w:eastAsia="仿宋" w:cs="仿宋"/>
                <w:kern w:val="0"/>
                <w:sz w:val="24"/>
              </w:rPr>
            </w:pPr>
            <w:r>
              <w:rPr>
                <w:rFonts w:hint="eastAsia" w:ascii="仿宋" w:hAnsi="仿宋" w:eastAsia="仿宋" w:cs="仿宋"/>
                <w:kern w:val="0"/>
                <w:sz w:val="24"/>
              </w:rPr>
              <w:t>为保护投资者利益，产品管理人可根据市场变化情况或法定节假日调整缩短或延长认购期并提前或推迟成立，产品提前或推迟成立时产品管理人将调整相关日期并进行信息披露。产品最终规模以实际认购规模为准。</w:t>
            </w:r>
          </w:p>
          <w:p w14:paraId="0FF68095">
            <w:pPr>
              <w:widowControl/>
              <w:snapToGrid w:val="0"/>
              <w:rPr>
                <w:rFonts w:ascii="仿宋" w:hAnsi="仿宋" w:eastAsia="仿宋" w:cs="仿宋"/>
                <w:kern w:val="0"/>
                <w:sz w:val="24"/>
              </w:rPr>
            </w:pPr>
            <w:r>
              <w:rPr>
                <w:rFonts w:hint="eastAsia" w:ascii="仿宋" w:hAnsi="仿宋" w:eastAsia="仿宋" w:cs="仿宋"/>
                <w:kern w:val="0"/>
                <w:sz w:val="24"/>
              </w:rPr>
              <w:t>如产品募集规模未达募集规模下限，或认购期新出台的法律、法规或监管政策不适宜本产品的运行等原因，产品管理人有权宣布产品不成立并发布相关公告，投资者认购本金将在产品原定成立日后的2个工作日内退还至投资者指定账户，该理财资金在原定产品成立日至资金到账日之间不计收益。</w:t>
            </w:r>
          </w:p>
        </w:tc>
      </w:tr>
      <w:tr w14:paraId="2A6D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F4098F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业绩比较基准</w:t>
            </w:r>
          </w:p>
        </w:tc>
        <w:tc>
          <w:tcPr>
            <w:tcW w:w="6390" w:type="dxa"/>
            <w:tcBorders>
              <w:top w:val="single" w:color="auto" w:sz="4" w:space="0"/>
              <w:left w:val="single" w:color="auto" w:sz="4" w:space="0"/>
              <w:right w:val="single" w:color="auto" w:sz="4" w:space="0"/>
            </w:tcBorders>
            <w:vAlign w:val="center"/>
          </w:tcPr>
          <w:p w14:paraId="326D0153">
            <w:pPr>
              <w:widowControl/>
              <w:snapToGrid w:val="0"/>
              <w:rPr>
                <w:rFonts w:ascii="仿宋" w:hAnsi="仿宋" w:eastAsia="仿宋" w:cs="仿宋"/>
                <w:kern w:val="0"/>
                <w:sz w:val="24"/>
              </w:rPr>
            </w:pPr>
            <w:r>
              <w:rPr>
                <w:rFonts w:hint="eastAsia" w:ascii="仿宋" w:hAnsi="仿宋" w:eastAsia="仿宋" w:cs="仿宋"/>
                <w:kern w:val="0"/>
                <w:sz w:val="24"/>
              </w:rPr>
              <w:t>本理财产品A份额业绩比较基准为2.</w:t>
            </w:r>
            <w:r>
              <w:rPr>
                <w:rFonts w:hint="eastAsia" w:ascii="仿宋" w:hAnsi="仿宋" w:eastAsia="仿宋" w:cs="仿宋"/>
                <w:kern w:val="0"/>
                <w:sz w:val="24"/>
                <w:lang w:val="en-US" w:eastAsia="zh-CN"/>
              </w:rPr>
              <w:t>31</w:t>
            </w:r>
            <w:r>
              <w:rPr>
                <w:rFonts w:hint="eastAsia" w:ascii="仿宋" w:hAnsi="仿宋" w:eastAsia="仿宋" w:cs="仿宋"/>
                <w:kern w:val="0"/>
                <w:sz w:val="24"/>
              </w:rPr>
              <w:t>%/年-2.</w:t>
            </w:r>
            <w:r>
              <w:rPr>
                <w:rFonts w:hint="eastAsia" w:ascii="仿宋" w:hAnsi="仿宋" w:eastAsia="仿宋" w:cs="仿宋"/>
                <w:kern w:val="0"/>
                <w:sz w:val="24"/>
                <w:lang w:val="en-US" w:eastAsia="zh-CN"/>
              </w:rPr>
              <w:t>71</w:t>
            </w:r>
            <w:r>
              <w:rPr>
                <w:rFonts w:hint="eastAsia" w:ascii="仿宋" w:hAnsi="仿宋" w:eastAsia="仿宋" w:cs="仿宋"/>
                <w:kern w:val="0"/>
                <w:sz w:val="24"/>
              </w:rPr>
              <w:t>%/年</w:t>
            </w:r>
            <w:bookmarkStart w:id="0" w:name="_GoBack"/>
            <w:bookmarkEnd w:id="0"/>
            <w:r>
              <w:rPr>
                <w:rFonts w:hint="eastAsia" w:ascii="仿宋" w:hAnsi="仿宋" w:eastAsia="仿宋" w:cs="仿宋"/>
                <w:kern w:val="0"/>
                <w:sz w:val="24"/>
              </w:rPr>
              <w:t>。</w:t>
            </w:r>
            <w:r>
              <w:rPr>
                <w:rFonts w:hint="eastAsia" w:ascii="仿宋" w:hAnsi="仿宋" w:eastAsia="仿宋" w:cs="仿宋"/>
                <w:b/>
                <w:kern w:val="0"/>
                <w:sz w:val="24"/>
              </w:rPr>
              <w:t>本理财产品业绩比较基准是产品管理人参考过往投资经验，依据本理财产品的投资范围、投资策略和相应投资市场波动的预判而设定的投资目标，本理财产品计划100%投资于固定收益类资产，其中非标准化债权类资产比例不超过50%（投资对象、投资比例和投资策略详见“三、产品投资”部分），参照当前市场利率水平、拟投资的非标准化债权类资产协议价格和未来市场波动预判，扣除相关费用和税费成本后，经综合测算后设定本产品的业绩比较基准。</w:t>
            </w:r>
          </w:p>
          <w:p w14:paraId="4F6639F2">
            <w:pPr>
              <w:widowControl/>
              <w:snapToGrid w:val="0"/>
              <w:rPr>
                <w:rFonts w:ascii="仿宋" w:hAnsi="仿宋" w:eastAsia="仿宋" w:cs="仿宋"/>
                <w:b/>
                <w:kern w:val="0"/>
                <w:sz w:val="24"/>
              </w:rPr>
            </w:pPr>
            <w:r>
              <w:rPr>
                <w:rFonts w:hint="eastAsia" w:ascii="仿宋" w:hAnsi="仿宋" w:eastAsia="仿宋" w:cs="仿宋"/>
                <w:b/>
                <w:kern w:val="0"/>
                <w:sz w:val="24"/>
              </w:rPr>
              <w:t>本产品为净值型产品，其业绩表现将随市场波动，具有不确定性。本产品业绩比较基准是产品管理人基于过往投资经验及对产品存续期投资市场波动的预判而对本产品所设定的投资目标，不代表本理财产品的未来表现和实际收益，仅作为计算产品管理人浮动管理费的标准，不构成对该理财产品的任何收益承诺，投资者的实际收益由产品净值决定，本理财产品实际收益率有可能低于业绩比较基准。</w:t>
            </w:r>
          </w:p>
          <w:p w14:paraId="07D00F29">
            <w:pPr>
              <w:widowControl/>
              <w:snapToGrid w:val="0"/>
              <w:rPr>
                <w:rFonts w:ascii="仿宋" w:hAnsi="仿宋" w:eastAsia="仿宋" w:cs="仿宋"/>
                <w:kern w:val="0"/>
                <w:sz w:val="24"/>
              </w:rPr>
            </w:pPr>
            <w:r>
              <w:rPr>
                <w:rFonts w:hint="eastAsia" w:ascii="仿宋" w:hAnsi="仿宋" w:eastAsia="仿宋" w:cs="仿宋"/>
                <w:kern w:val="0"/>
                <w:sz w:val="24"/>
              </w:rPr>
              <w:t>若国家法律法规、监管规定发生变化，或市场发生变动有更科学客观的业绩比较基准更适合本产品时，产品管理人有权</w:t>
            </w:r>
            <w:r>
              <w:rPr>
                <w:rFonts w:ascii="仿宋" w:hAnsi="仿宋" w:eastAsia="仿宋" w:cs="仿宋"/>
                <w:kern w:val="0"/>
                <w:sz w:val="24"/>
              </w:rPr>
              <w:t>调整业绩比较基准，并至少于新的业绩比较基准启用日之前2个工作日</w:t>
            </w:r>
            <w:r>
              <w:rPr>
                <w:rFonts w:hint="eastAsia" w:ascii="仿宋" w:hAnsi="仿宋" w:eastAsia="仿宋" w:cs="仿宋"/>
                <w:kern w:val="0"/>
                <w:sz w:val="24"/>
              </w:rPr>
              <w:t>进行公告。</w:t>
            </w:r>
          </w:p>
        </w:tc>
      </w:tr>
      <w:tr w14:paraId="7D3C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CA816C3">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单位净值</w:t>
            </w:r>
          </w:p>
        </w:tc>
        <w:tc>
          <w:tcPr>
            <w:tcW w:w="6390" w:type="dxa"/>
            <w:tcBorders>
              <w:top w:val="single" w:color="auto" w:sz="4" w:space="0"/>
              <w:left w:val="single" w:color="auto" w:sz="4" w:space="0"/>
              <w:right w:val="single" w:color="auto" w:sz="4" w:space="0"/>
            </w:tcBorders>
            <w:vAlign w:val="center"/>
          </w:tcPr>
          <w:p w14:paraId="3790B8A7">
            <w:pPr>
              <w:widowControl/>
              <w:snapToGrid w:val="0"/>
              <w:rPr>
                <w:rFonts w:ascii="仿宋" w:hAnsi="仿宋" w:eastAsia="仿宋" w:cs="仿宋"/>
                <w:kern w:val="0"/>
                <w:sz w:val="24"/>
              </w:rPr>
            </w:pPr>
            <w:r>
              <w:rPr>
                <w:rFonts w:hint="eastAsia" w:ascii="仿宋" w:hAnsi="仿宋" w:eastAsia="仿宋" w:cs="仿宋"/>
                <w:kern w:val="0"/>
                <w:sz w:val="24"/>
              </w:rPr>
              <w:t>单位净值为扣除相关费用（含浮动管理费（若有））和税费后的单位理财产品份额净值，单位净值=产品估值日理财产品净资产（扣除理财产品应承担的费用（含浮动管理费（若有））和税费后的资产净值）/产品估值日理财产品总份额。</w:t>
            </w:r>
          </w:p>
          <w:p w14:paraId="66658AB2">
            <w:pPr>
              <w:widowControl/>
              <w:snapToGrid w:val="0"/>
              <w:rPr>
                <w:rFonts w:ascii="仿宋" w:hAnsi="仿宋" w:eastAsia="仿宋" w:cs="仿宋"/>
                <w:kern w:val="0"/>
                <w:sz w:val="24"/>
              </w:rPr>
            </w:pPr>
            <w:r>
              <w:rPr>
                <w:rFonts w:hint="eastAsia" w:ascii="仿宋" w:hAnsi="仿宋" w:eastAsia="仿宋" w:cs="仿宋"/>
                <w:kern w:val="0"/>
                <w:sz w:val="24"/>
              </w:rPr>
              <w:t>单位净值保留小数点后六位（小数点后第七位舍位，四舍五入）。</w:t>
            </w:r>
          </w:p>
        </w:tc>
      </w:tr>
      <w:tr w14:paraId="548F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702A9273">
            <w:pPr>
              <w:widowControl/>
              <w:snapToGrid w:val="0"/>
              <w:jc w:val="center"/>
              <w:rPr>
                <w:rFonts w:ascii="仿宋" w:hAnsi="仿宋" w:eastAsia="仿宋" w:cs="宋体"/>
                <w:b/>
                <w:bCs/>
                <w:kern w:val="0"/>
                <w:sz w:val="24"/>
              </w:rPr>
            </w:pPr>
            <w:r>
              <w:rPr>
                <w:rFonts w:hint="eastAsia" w:ascii="仿宋" w:hAnsi="仿宋" w:eastAsia="仿宋" w:cs="宋体"/>
                <w:b/>
                <w:bCs/>
                <w:kern w:val="0"/>
                <w:sz w:val="24"/>
              </w:rPr>
              <w:t>提前终止权</w:t>
            </w:r>
          </w:p>
        </w:tc>
        <w:tc>
          <w:tcPr>
            <w:tcW w:w="6390" w:type="dxa"/>
            <w:vAlign w:val="center"/>
          </w:tcPr>
          <w:p w14:paraId="4671B8D6">
            <w:pPr>
              <w:widowControl/>
              <w:snapToGrid w:val="0"/>
              <w:rPr>
                <w:rFonts w:ascii="仿宋" w:hAnsi="仿宋" w:eastAsia="仿宋" w:cs="仿宋"/>
                <w:kern w:val="0"/>
                <w:sz w:val="24"/>
              </w:rPr>
            </w:pPr>
            <w:r>
              <w:rPr>
                <w:rFonts w:hint="eastAsia" w:ascii="仿宋" w:hAnsi="仿宋" w:eastAsia="仿宋" w:cs="仿宋"/>
                <w:kern w:val="0"/>
                <w:sz w:val="24"/>
              </w:rPr>
              <w:t>发生以下情况中的一种或多种，理财产品管理人有权随时提前终止本理财产品：</w:t>
            </w:r>
          </w:p>
          <w:p w14:paraId="3549CE89">
            <w:pPr>
              <w:widowControl/>
              <w:snapToGrid w:val="0"/>
              <w:rPr>
                <w:rFonts w:ascii="仿宋" w:hAnsi="仿宋" w:eastAsia="仿宋" w:cs="仿宋"/>
                <w:kern w:val="0"/>
                <w:sz w:val="24"/>
              </w:rPr>
            </w:pPr>
            <w:r>
              <w:rPr>
                <w:rFonts w:hint="eastAsia" w:ascii="仿宋" w:hAnsi="仿宋" w:eastAsia="仿宋" w:cs="仿宋"/>
                <w:kern w:val="0"/>
                <w:sz w:val="24"/>
              </w:rPr>
              <w:t>(1)国家相关法律、法规、监管规定出现重大变更，或者其它突发事件或因素引起金融市场情况出现重大变化，或者其它原因导致理财产品管理人认为本产品已经不适合继续帮助投资者实现投资目标的；</w:t>
            </w:r>
          </w:p>
          <w:p w14:paraId="4F549A95">
            <w:pPr>
              <w:widowControl/>
              <w:snapToGrid w:val="0"/>
              <w:rPr>
                <w:rFonts w:ascii="仿宋" w:hAnsi="仿宋" w:eastAsia="仿宋" w:cs="仿宋"/>
                <w:kern w:val="0"/>
                <w:sz w:val="24"/>
              </w:rPr>
            </w:pPr>
            <w:r>
              <w:rPr>
                <w:rFonts w:hint="eastAsia" w:ascii="仿宋" w:hAnsi="仿宋" w:eastAsia="仿宋" w:cs="仿宋"/>
                <w:kern w:val="0"/>
                <w:sz w:val="24"/>
              </w:rPr>
              <w:t>(2)理财产品管理人根据市场情况和自身业务发展认为不适合继续运作本产品的。</w:t>
            </w:r>
          </w:p>
          <w:p w14:paraId="230F2B47">
            <w:pPr>
              <w:widowControl/>
              <w:snapToGrid w:val="0"/>
              <w:rPr>
                <w:rFonts w:ascii="仿宋" w:hAnsi="仿宋" w:eastAsia="仿宋" w:cs="仿宋"/>
                <w:kern w:val="0"/>
                <w:sz w:val="24"/>
              </w:rPr>
            </w:pPr>
            <w:r>
              <w:rPr>
                <w:rFonts w:hint="eastAsia" w:ascii="仿宋" w:hAnsi="仿宋" w:eastAsia="仿宋" w:cs="仿宋"/>
                <w:kern w:val="0"/>
                <w:sz w:val="24"/>
              </w:rPr>
              <w:t>理财产品管理人行使提前终止权时应提前至少2个工作日进行公告。</w:t>
            </w:r>
          </w:p>
          <w:p w14:paraId="113BF554">
            <w:pPr>
              <w:widowControl/>
              <w:snapToGrid w:val="0"/>
              <w:rPr>
                <w:rFonts w:ascii="仿宋" w:hAnsi="仿宋" w:eastAsia="仿宋" w:cs="仿宋"/>
                <w:kern w:val="0"/>
                <w:sz w:val="24"/>
              </w:rPr>
            </w:pPr>
            <w:r>
              <w:rPr>
                <w:rFonts w:hint="eastAsia" w:ascii="仿宋" w:hAnsi="仿宋" w:eastAsia="仿宋" w:cs="仿宋"/>
                <w:kern w:val="0"/>
                <w:sz w:val="24"/>
              </w:rPr>
              <w:t>投资者在产品存续期内无提前终止权，但如下情形除外：</w:t>
            </w:r>
          </w:p>
          <w:p w14:paraId="4AC99617">
            <w:pPr>
              <w:widowControl/>
              <w:snapToGrid w:val="0"/>
              <w:rPr>
                <w:rFonts w:ascii="仿宋" w:hAnsi="仿宋" w:eastAsia="仿宋" w:cs="仿宋"/>
                <w:kern w:val="0"/>
                <w:sz w:val="24"/>
              </w:rPr>
            </w:pPr>
            <w:r>
              <w:rPr>
                <w:rFonts w:hint="eastAsia" w:ascii="仿宋" w:hAnsi="仿宋" w:eastAsia="仿宋" w:cs="仿宋"/>
                <w:kern w:val="0"/>
                <w:sz w:val="24"/>
              </w:rPr>
              <w:t>(1)在理财产品管理人进行相关信息披露后调整投资范围、投资品种和投资比例时，投资者对此不接受的，可按照约定提前赎回理财产品。</w:t>
            </w:r>
          </w:p>
          <w:p w14:paraId="3E23B462">
            <w:pPr>
              <w:widowControl/>
              <w:snapToGrid w:val="0"/>
              <w:rPr>
                <w:rFonts w:ascii="仿宋" w:hAnsi="仿宋" w:eastAsia="仿宋" w:cs="仿宋"/>
                <w:kern w:val="0"/>
                <w:sz w:val="24"/>
              </w:rPr>
            </w:pPr>
            <w:r>
              <w:rPr>
                <w:rFonts w:hint="eastAsia" w:ascii="仿宋" w:hAnsi="仿宋" w:eastAsia="仿宋" w:cs="仿宋"/>
                <w:kern w:val="0"/>
                <w:sz w:val="24"/>
              </w:rPr>
              <w:t>(2)在理财产品管理人进行相关信息披露后调整已约定的收费项目、条件、标准和方式时，投资者对此不接受的，可按照约定提前赎回理财产品。</w:t>
            </w:r>
          </w:p>
        </w:tc>
      </w:tr>
      <w:tr w14:paraId="6B4F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1" w:hRule="atLeast"/>
        </w:trPr>
        <w:tc>
          <w:tcPr>
            <w:tcW w:w="2038" w:type="dxa"/>
            <w:vAlign w:val="center"/>
          </w:tcPr>
          <w:p w14:paraId="11695620">
            <w:pPr>
              <w:widowControl/>
              <w:snapToGrid w:val="0"/>
              <w:jc w:val="center"/>
              <w:rPr>
                <w:rFonts w:ascii="仿宋" w:hAnsi="仿宋" w:eastAsia="仿宋" w:cs="宋体"/>
                <w:b/>
                <w:bCs/>
                <w:kern w:val="0"/>
                <w:sz w:val="24"/>
              </w:rPr>
            </w:pPr>
            <w:r>
              <w:rPr>
                <w:rFonts w:hint="eastAsia" w:ascii="仿宋" w:hAnsi="仿宋" w:eastAsia="仿宋" w:cs="宋体"/>
                <w:b/>
                <w:bCs/>
                <w:kern w:val="0"/>
                <w:sz w:val="24"/>
              </w:rPr>
              <w:t>理财资金支付</w:t>
            </w:r>
          </w:p>
        </w:tc>
        <w:tc>
          <w:tcPr>
            <w:tcW w:w="6390" w:type="dxa"/>
            <w:vAlign w:val="center"/>
          </w:tcPr>
          <w:p w14:paraId="769D76D9">
            <w:pPr>
              <w:widowControl/>
              <w:snapToGrid w:val="0"/>
              <w:rPr>
                <w:rFonts w:ascii="仿宋" w:hAnsi="仿宋" w:eastAsia="仿宋" w:cs="仿宋"/>
                <w:kern w:val="0"/>
                <w:sz w:val="24"/>
              </w:rPr>
            </w:pPr>
            <w:r>
              <w:rPr>
                <w:rFonts w:hint="eastAsia" w:ascii="仿宋" w:hAnsi="仿宋" w:eastAsia="仿宋" w:cs="仿宋"/>
                <w:kern w:val="0"/>
                <w:sz w:val="24"/>
              </w:rPr>
              <w:t>理财资金在产品在到期日或提前终止日后2个工作日内（遇节假日顺延）支付。若理财产品出现延期，产品管理人将在产品原定到期日前2个工作日公告。</w:t>
            </w:r>
          </w:p>
        </w:tc>
      </w:tr>
      <w:tr w14:paraId="71C2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4A373D76">
            <w:pPr>
              <w:widowControl/>
              <w:snapToGrid w:val="0"/>
              <w:jc w:val="center"/>
              <w:rPr>
                <w:rFonts w:ascii="仿宋" w:hAnsi="仿宋" w:eastAsia="仿宋" w:cs="宋体"/>
                <w:b/>
                <w:bCs/>
                <w:kern w:val="0"/>
                <w:sz w:val="24"/>
              </w:rPr>
            </w:pPr>
            <w:r>
              <w:rPr>
                <w:rFonts w:hint="eastAsia" w:ascii="仿宋" w:hAnsi="仿宋" w:eastAsia="仿宋" w:cs="宋体"/>
                <w:b/>
                <w:bCs/>
                <w:kern w:val="0"/>
                <w:sz w:val="24"/>
              </w:rPr>
              <w:t>产品费用及税费规定</w:t>
            </w:r>
          </w:p>
        </w:tc>
        <w:tc>
          <w:tcPr>
            <w:tcW w:w="6390" w:type="dxa"/>
            <w:vAlign w:val="center"/>
          </w:tcPr>
          <w:p w14:paraId="1007F0E0">
            <w:pPr>
              <w:widowControl/>
              <w:snapToGrid w:val="0"/>
              <w:rPr>
                <w:rFonts w:ascii="仿宋" w:hAnsi="仿宋" w:eastAsia="仿宋" w:cs="仿宋"/>
                <w:kern w:val="0"/>
                <w:sz w:val="24"/>
              </w:rPr>
            </w:pPr>
            <w:r>
              <w:rPr>
                <w:rFonts w:hint="eastAsia" w:ascii="仿宋" w:hAnsi="仿宋" w:eastAsia="仿宋" w:cs="仿宋"/>
                <w:kern w:val="0"/>
                <w:sz w:val="24"/>
              </w:rPr>
              <w:t>详见本说明书第五部分产品费用及税费规定。</w:t>
            </w:r>
          </w:p>
        </w:tc>
      </w:tr>
      <w:tr w14:paraId="4B4D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66522236">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融资服务</w:t>
            </w:r>
          </w:p>
        </w:tc>
        <w:tc>
          <w:tcPr>
            <w:tcW w:w="6390" w:type="dxa"/>
            <w:vAlign w:val="center"/>
          </w:tcPr>
          <w:p w14:paraId="35B84C46">
            <w:pPr>
              <w:widowControl/>
              <w:snapToGrid w:val="0"/>
              <w:rPr>
                <w:rFonts w:ascii="仿宋" w:hAnsi="仿宋" w:eastAsia="仿宋" w:cs="仿宋"/>
                <w:kern w:val="0"/>
                <w:sz w:val="24"/>
              </w:rPr>
            </w:pPr>
            <w:r>
              <w:rPr>
                <w:rFonts w:hint="eastAsia" w:ascii="仿宋" w:hAnsi="仿宋" w:eastAsia="仿宋" w:cs="仿宋"/>
                <w:kern w:val="0"/>
                <w:sz w:val="24"/>
              </w:rPr>
              <w:t>投资者在理财期限内不能提前支取，如需质押按产品销售机构相关规定执行。</w:t>
            </w:r>
          </w:p>
        </w:tc>
      </w:tr>
      <w:tr w14:paraId="328D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7627E609">
            <w:pPr>
              <w:widowControl/>
              <w:snapToGrid w:val="0"/>
              <w:jc w:val="center"/>
              <w:rPr>
                <w:b/>
                <w:bCs/>
                <w:kern w:val="0"/>
                <w:sz w:val="24"/>
              </w:rPr>
            </w:pPr>
            <w:r>
              <w:rPr>
                <w:rFonts w:hint="eastAsia" w:ascii="仿宋" w:hAnsi="仿宋" w:eastAsia="仿宋" w:cs="宋体"/>
                <w:b/>
                <w:bCs/>
                <w:kern w:val="0"/>
                <w:sz w:val="24"/>
              </w:rPr>
              <w:t>其他规定</w:t>
            </w:r>
          </w:p>
        </w:tc>
        <w:tc>
          <w:tcPr>
            <w:tcW w:w="6390" w:type="dxa"/>
            <w:vAlign w:val="center"/>
          </w:tcPr>
          <w:p w14:paraId="46F52B1D">
            <w:pPr>
              <w:widowControl/>
              <w:snapToGrid w:val="0"/>
              <w:rPr>
                <w:rFonts w:hint="eastAsia" w:ascii="仿宋" w:hAnsi="仿宋" w:eastAsia="仿宋" w:cs="仿宋"/>
                <w:kern w:val="0"/>
                <w:sz w:val="24"/>
              </w:rPr>
            </w:pPr>
            <w:r>
              <w:rPr>
                <w:rFonts w:hint="eastAsia" w:ascii="仿宋" w:hAnsi="仿宋" w:eastAsia="仿宋" w:cs="仿宋"/>
                <w:kern w:val="0"/>
                <w:sz w:val="24"/>
              </w:rPr>
              <w:t>1、认购期内理财资金按照销售机构活期存款利率计息，存款利息不计入认购本金份额；具体计息规则以销售机构为准。</w:t>
            </w:r>
          </w:p>
          <w:p w14:paraId="5DFCF865">
            <w:pPr>
              <w:widowControl/>
              <w:snapToGrid w:val="0"/>
              <w:rPr>
                <w:rFonts w:ascii="仿宋" w:hAnsi="仿宋" w:eastAsia="仿宋" w:cs="仿宋"/>
                <w:kern w:val="0"/>
                <w:sz w:val="24"/>
              </w:rPr>
            </w:pPr>
            <w:r>
              <w:rPr>
                <w:rFonts w:hint="eastAsia" w:ascii="仿宋" w:hAnsi="仿宋" w:eastAsia="仿宋" w:cs="仿宋"/>
                <w:kern w:val="0"/>
                <w:sz w:val="24"/>
              </w:rPr>
              <w:t>2、产品到期日或产品提前终止日到理财资金返还到账日为到期清算期，清算期内理财资金产生的活期存款利息（如有）归投资者所有。</w:t>
            </w:r>
          </w:p>
        </w:tc>
      </w:tr>
      <w:tr w14:paraId="4729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0889CB7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条款保留权利</w:t>
            </w:r>
          </w:p>
        </w:tc>
        <w:tc>
          <w:tcPr>
            <w:tcW w:w="6390" w:type="dxa"/>
            <w:vAlign w:val="center"/>
          </w:tcPr>
          <w:p w14:paraId="67F4EED5">
            <w:pPr>
              <w:widowControl/>
              <w:snapToGrid w:val="0"/>
              <w:rPr>
                <w:rFonts w:ascii="仿宋" w:hAnsi="仿宋" w:eastAsia="仿宋" w:cs="仿宋"/>
                <w:kern w:val="0"/>
                <w:sz w:val="24"/>
              </w:rPr>
            </w:pPr>
            <w:r>
              <w:rPr>
                <w:rFonts w:hint="eastAsia" w:ascii="仿宋" w:hAnsi="仿宋" w:eastAsia="仿宋" w:cs="仿宋"/>
                <w:b/>
                <w:bCs/>
                <w:kern w:val="0"/>
                <w:sz w:val="24"/>
              </w:rPr>
              <w:t>在本产品存续期内，因国家法律法规、监管规定发生变化，或出于维持本产品正常运营需要，在不损害投资者利益的前提下，产品管理人可以对产品说明书条款进行补充、说明和修改。如有发生，产品管理人将提前2个工作日进行公告。</w:t>
            </w:r>
          </w:p>
        </w:tc>
      </w:tr>
    </w:tbl>
    <w:p w14:paraId="4BA9F641">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三、产品投资</w:t>
      </w:r>
    </w:p>
    <w:p w14:paraId="3BD70C5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（一）投资对象及投资比例</w:t>
      </w:r>
    </w:p>
    <w:p w14:paraId="2F2E82AC">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投资于符合监管要求的资产，主要投资范围包括但不限于：直接或通过资产管理产品投资债权类资产，包括但不限于银行存款、同业存款、债券回购等货币市场工具；同业存单、国债、政策性金融债、地方政府债、短期融资券、超短期融资券、中期票据（包括永续中票）、企业债、公司债（包含可续期公司债）、非公开定向债务融资工具、资产支持证券、次级债（包括二级资本债）、可转换公司债券和可交换公司债券等银行间市场、证券交易所市场及经国务院同意设立的其他交易市场的债券及债务融资工具；同业借款、信托贷款、收受益权、收益凭证及其他符合监管要求的非标准化债权类资产；货币型公募证券投资基金、债券型公募证券投资基金；以及其他符合监管要求的固定收益类资产。</w:t>
      </w:r>
      <w:r>
        <w:rPr>
          <w:rFonts w:hint="eastAsia" w:ascii="仿宋" w:hAnsi="仿宋" w:eastAsia="仿宋" w:cs="宋体"/>
          <w:kern w:val="0"/>
          <w:sz w:val="24"/>
        </w:rPr>
        <w:t>以上固定收益类资产的投资比例为100%，其中非标准化债权类资产比例不超过50%</w:t>
      </w:r>
      <w:r>
        <w:rPr>
          <w:rFonts w:hint="eastAsia" w:ascii="仿宋" w:hAnsi="仿宋" w:eastAsia="仿宋"/>
          <w:bCs/>
          <w:kern w:val="0"/>
          <w:sz w:val="24"/>
          <w:szCs w:val="20"/>
        </w:rPr>
        <w:t>。</w:t>
      </w:r>
    </w:p>
    <w:p w14:paraId="33012184">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在理财产品存续期内，非</w:t>
      </w:r>
      <w:r>
        <w:rPr>
          <w:rFonts w:ascii="仿宋" w:hAnsi="仿宋" w:eastAsia="仿宋"/>
          <w:bCs/>
          <w:kern w:val="0"/>
          <w:sz w:val="24"/>
          <w:szCs w:val="20"/>
        </w:rPr>
        <w:t>因</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主观</w:t>
      </w:r>
      <w:r>
        <w:rPr>
          <w:rFonts w:ascii="仿宋" w:hAnsi="仿宋" w:eastAsia="仿宋"/>
          <w:bCs/>
          <w:kern w:val="0"/>
          <w:sz w:val="24"/>
          <w:szCs w:val="20"/>
        </w:rPr>
        <w:t>因素导致突破</w:t>
      </w:r>
      <w:r>
        <w:rPr>
          <w:rFonts w:hint="eastAsia" w:ascii="仿宋" w:hAnsi="仿宋" w:eastAsia="仿宋"/>
          <w:bCs/>
          <w:kern w:val="0"/>
          <w:sz w:val="24"/>
          <w:szCs w:val="20"/>
        </w:rPr>
        <w:t>上述</w:t>
      </w:r>
      <w:r>
        <w:rPr>
          <w:rFonts w:ascii="仿宋" w:hAnsi="仿宋" w:eastAsia="仿宋"/>
          <w:bCs/>
          <w:kern w:val="0"/>
          <w:sz w:val="24"/>
          <w:szCs w:val="20"/>
        </w:rPr>
        <w:t>比例限制的，</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将</w:t>
      </w:r>
      <w:r>
        <w:rPr>
          <w:rFonts w:ascii="仿宋" w:hAnsi="仿宋" w:eastAsia="仿宋"/>
          <w:bCs/>
          <w:kern w:val="0"/>
          <w:sz w:val="24"/>
          <w:szCs w:val="20"/>
        </w:rPr>
        <w:t>在</w:t>
      </w:r>
      <w:r>
        <w:rPr>
          <w:rFonts w:hint="eastAsia" w:ascii="仿宋" w:hAnsi="仿宋" w:eastAsia="仿宋"/>
          <w:bCs/>
          <w:kern w:val="0"/>
          <w:sz w:val="24"/>
          <w:szCs w:val="20"/>
        </w:rPr>
        <w:t>允许转让、恢复交易的15个交易日</w:t>
      </w:r>
      <w:r>
        <w:rPr>
          <w:rFonts w:ascii="仿宋" w:hAnsi="仿宋" w:eastAsia="仿宋"/>
          <w:bCs/>
          <w:kern w:val="0"/>
          <w:sz w:val="24"/>
          <w:szCs w:val="20"/>
        </w:rPr>
        <w:t>内调整至符合要求</w:t>
      </w:r>
      <w:r>
        <w:rPr>
          <w:rFonts w:hint="eastAsia" w:ascii="仿宋" w:hAnsi="仿宋" w:eastAsia="仿宋"/>
          <w:bCs/>
          <w:kern w:val="0"/>
          <w:sz w:val="24"/>
          <w:szCs w:val="20"/>
        </w:rPr>
        <w:t>的投资比例</w:t>
      </w:r>
      <w:r>
        <w:rPr>
          <w:rFonts w:ascii="仿宋" w:hAnsi="仿宋" w:eastAsia="仿宋"/>
          <w:bCs/>
          <w:kern w:val="0"/>
          <w:sz w:val="24"/>
          <w:szCs w:val="20"/>
        </w:rPr>
        <w:t>。</w:t>
      </w:r>
      <w:r>
        <w:rPr>
          <w:rFonts w:hint="eastAsia" w:ascii="仿宋" w:hAnsi="仿宋" w:eastAsia="仿宋"/>
          <w:bCs/>
          <w:kern w:val="0"/>
          <w:sz w:val="24"/>
          <w:szCs w:val="20"/>
        </w:rPr>
        <w:t>产品投向如有变化，除了高风险类型产品超出比例范围投资较低风险资产外，理财产品</w:t>
      </w:r>
      <w:r>
        <w:rPr>
          <w:rFonts w:ascii="仿宋" w:hAnsi="仿宋" w:eastAsia="仿宋"/>
          <w:bCs/>
          <w:kern w:val="0"/>
          <w:sz w:val="24"/>
          <w:szCs w:val="20"/>
        </w:rPr>
        <w:t>管理人</w:t>
      </w:r>
      <w:r>
        <w:rPr>
          <w:rFonts w:hint="eastAsia" w:ascii="仿宋" w:hAnsi="仿宋" w:eastAsia="仿宋"/>
          <w:bCs/>
          <w:kern w:val="0"/>
          <w:sz w:val="24"/>
          <w:szCs w:val="20"/>
        </w:rPr>
        <w:t>将及时向投资者进行信息披露，并履行法律法规等相关规定的程序。</w:t>
      </w:r>
      <w:r>
        <w:rPr>
          <w:rFonts w:hint="eastAsia" w:ascii="仿宋" w:hAnsi="仿宋" w:eastAsia="仿宋" w:cs="宋体"/>
          <w:kern w:val="0"/>
          <w:sz w:val="24"/>
        </w:rPr>
        <w:t>本</w:t>
      </w:r>
      <w:r>
        <w:rPr>
          <w:rFonts w:ascii="仿宋" w:hAnsi="仿宋" w:eastAsia="仿宋" w:cs="宋体"/>
          <w:kern w:val="0"/>
          <w:sz w:val="24"/>
        </w:rPr>
        <w:t>理财产品总资产不超过</w:t>
      </w:r>
      <w:r>
        <w:rPr>
          <w:rFonts w:hint="eastAsia" w:ascii="仿宋" w:hAnsi="仿宋" w:eastAsia="仿宋" w:cs="宋体"/>
          <w:kern w:val="0"/>
          <w:sz w:val="24"/>
        </w:rPr>
        <w:t>产品</w:t>
      </w:r>
      <w:r>
        <w:rPr>
          <w:rFonts w:ascii="仿宋" w:hAnsi="仿宋" w:eastAsia="仿宋" w:cs="宋体"/>
          <w:kern w:val="0"/>
          <w:sz w:val="24"/>
        </w:rPr>
        <w:t>净资产的200</w:t>
      </w:r>
      <w:r>
        <w:rPr>
          <w:rFonts w:hint="eastAsia" w:ascii="仿宋" w:hAnsi="仿宋" w:eastAsia="仿宋" w:cs="宋体"/>
          <w:kern w:val="0"/>
          <w:sz w:val="24"/>
        </w:rPr>
        <w:t>%。</w:t>
      </w:r>
    </w:p>
    <w:p w14:paraId="36A19E1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本产品所投资的资产或资产组合均严格经过产品管理人审批流程审批和筛选，在投资时达到可投资标准。</w:t>
      </w:r>
    </w:p>
    <w:p w14:paraId="27A689E8">
      <w:pPr>
        <w:ind w:left="480"/>
        <w:rPr>
          <w:rFonts w:ascii="仿宋" w:hAnsi="仿宋" w:eastAsia="仿宋"/>
          <w:bCs/>
          <w:kern w:val="0"/>
          <w:sz w:val="24"/>
          <w:szCs w:val="20"/>
        </w:rPr>
      </w:pPr>
      <w:r>
        <w:rPr>
          <w:rFonts w:hint="eastAsia" w:ascii="仿宋" w:hAnsi="仿宋" w:eastAsia="仿宋"/>
          <w:bCs/>
          <w:kern w:val="0"/>
          <w:sz w:val="24"/>
          <w:szCs w:val="20"/>
        </w:rPr>
        <w:t>（二）投资策略</w:t>
      </w:r>
    </w:p>
    <w:p w14:paraId="009A36C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以债券、存单、存款、回购等资产配置为主，通过在债券等固定收益类资产中灵活配置资金，自上而下动态调整各类资产的投资比例和久期，力争实现产品组合的稳健低波。</w:t>
      </w:r>
    </w:p>
    <w:p w14:paraId="4FBC97FE">
      <w:pPr>
        <w:autoSpaceDE w:val="0"/>
        <w:autoSpaceDN w:val="0"/>
        <w:adjustRightInd w:val="0"/>
        <w:outlineLvl w:val="0"/>
        <w:rPr>
          <w:rFonts w:ascii="黑体" w:hAnsi="宋体" w:eastAsia="黑体"/>
          <w:sz w:val="32"/>
          <w:szCs w:val="32"/>
        </w:rPr>
      </w:pPr>
      <w:r>
        <w:rPr>
          <w:rFonts w:hint="eastAsia" w:ascii="黑体" w:hAnsi="宋体" w:eastAsia="黑体"/>
          <w:sz w:val="32"/>
          <w:szCs w:val="32"/>
        </w:rPr>
        <w:t>四、产品估值</w:t>
      </w:r>
    </w:p>
    <w:p w14:paraId="373D1AD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（一）估值日</w:t>
      </w:r>
    </w:p>
    <w:p w14:paraId="7C18F45C">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本理财产品估值日为产品存续期间除了周六、周日和中国法定假日的工作日，</w:t>
      </w:r>
      <w:r>
        <w:rPr>
          <w:rFonts w:ascii="仿宋" w:hAnsi="仿宋" w:eastAsia="仿宋"/>
          <w:bCs/>
          <w:kern w:val="0"/>
          <w:sz w:val="24"/>
          <w:szCs w:val="20"/>
        </w:rPr>
        <w:t>定期由产品管理人和产品托管人核对估值结果并向投资者披露</w:t>
      </w:r>
      <w:r>
        <w:rPr>
          <w:rFonts w:hint="eastAsia" w:ascii="仿宋" w:hAnsi="仿宋" w:eastAsia="仿宋"/>
          <w:bCs/>
          <w:kern w:val="0"/>
          <w:sz w:val="24"/>
          <w:szCs w:val="20"/>
        </w:rPr>
        <w:t>。</w:t>
      </w:r>
    </w:p>
    <w:p w14:paraId="224365F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（二）估值对象</w:t>
      </w:r>
    </w:p>
    <w:p w14:paraId="2F3E299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本理财产品所持有的所有资产及负债。</w:t>
      </w:r>
    </w:p>
    <w:p w14:paraId="789CA925">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估值原则</w:t>
      </w:r>
    </w:p>
    <w:p w14:paraId="58850B1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坚持公允价值计量原则。</w:t>
      </w:r>
    </w:p>
    <w:p w14:paraId="37A679A9">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估值方法</w:t>
      </w:r>
    </w:p>
    <w:p w14:paraId="65A0B31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1、债券资产</w:t>
      </w:r>
    </w:p>
    <w:p w14:paraId="297C64E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（1）以收取合同现金流量为目的并持有到期的债券，按摊余成本法估值。</w:t>
      </w:r>
    </w:p>
    <w:p w14:paraId="0E55004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以交易为目的的债券，按公允价值计量；其中银行间市场上的固定收益品种，采用第三方估值机构提供的价格数据或估值技术确定其公允价值；交易所上市交易或挂牌转让的债券，存在活跃市场的，以收盘价为基础确定其公允价值，不存在活跃市场的，采用第三方估值机构提供的价格数据或估值技术确定其公允价值。</w:t>
      </w:r>
    </w:p>
    <w:p w14:paraId="1F69036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2、货币市场工具</w:t>
      </w:r>
    </w:p>
    <w:p w14:paraId="0C30626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存款、拆借、债券回购、债券借贷以成本列示，按商定利率在实际持有期间内逐日计提利息。</w:t>
      </w:r>
    </w:p>
    <w:p w14:paraId="56BA86D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3、非标准化债权资产</w:t>
      </w:r>
    </w:p>
    <w:p w14:paraId="557244D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采用估值技术确定资产的公允价值，其中封闭式产品以收取合同现金流量为目的并持有到期的，按摊余成本法进行计量。</w:t>
      </w:r>
    </w:p>
    <w:p w14:paraId="012CE33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4、公开发行的基金</w:t>
      </w:r>
    </w:p>
    <w:p w14:paraId="1BB9134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（1）非上市基金</w:t>
      </w:r>
    </w:p>
    <w:p w14:paraId="3BDC6FE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①若投资的境内非货币市场基金估值日公布份额净值，则按照估值日的基金份额净值估值；</w:t>
      </w:r>
    </w:p>
    <w:p w14:paraId="79C7A8D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②若投资的境内非货币市场基金估值日未公布份额净值，则按照其最近公布的基金份额净值为基础估值；</w:t>
      </w:r>
    </w:p>
    <w:p w14:paraId="0BD8A7A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③若投资的境内货币市场基金公布万份收益，则按所投资基金前一估值日后至估值日期间（含节假日） 的万份收益计提估值日基金收益。</w:t>
      </w:r>
    </w:p>
    <w:p w14:paraId="07B1081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（2）上市基金</w:t>
      </w:r>
    </w:p>
    <w:p w14:paraId="01752DF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①理财产品投资的ETF基金、定期开放式基金、封闭式基金，按所投资基金估值日的收盘价估值；</w:t>
      </w:r>
    </w:p>
    <w:p w14:paraId="4422D06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②理财产品投资的境内上市开放式基金（LOF），按所投资基金估值日的份额净值估值；</w:t>
      </w:r>
    </w:p>
    <w:p w14:paraId="5D36E3D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理财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47492C0F">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④理财产品投资的公开募集基础设施证券投资基金（REITs），按所投资REITs基金估值日的收盘价估值，对于流通受限的REITs基金，引入第三方估值机构提供的折扣率文件估值；</w:t>
      </w:r>
    </w:p>
    <w:p w14:paraId="474F6E4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⑤如遇所投资基金不公布基金份额净值、进行折算或拆分、估值日无交易等特殊情形，以其最近公布的基金份额净值或收盘价为基础估值。</w:t>
      </w:r>
    </w:p>
    <w:p w14:paraId="15FE010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5、其他资产</w:t>
      </w:r>
    </w:p>
    <w:p w14:paraId="4BCAF85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存在并可以及时确定公允价值的，按照公允价值估值；公允价值不能及时确定的，采用合理的估值技术或监管机构认可的估值方法进行估值。</w:t>
      </w:r>
    </w:p>
    <w:p w14:paraId="7E05BCA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6、以摊余成本法计量或以公允价值计量且其变动计入其他综合收益的资产，需按照会计准则规定采用合理的减值计量模型或第三方减值计量结果进行减值计提。计提减值不等同于金融资产已发生损失，仅为对未来风险的审慎预期。</w:t>
      </w:r>
    </w:p>
    <w:p w14:paraId="26A57FB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7、如有新增事项或变更，按国家最新规定或理财产品管理人确定的估值方法估值。</w:t>
      </w:r>
    </w:p>
    <w:p w14:paraId="10B75DF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8、在任何情况下，如采用以上规定的方法对资产进行估值，均应被认为采用了适当的估值方法。但是，如果理财产品管理人或理财产品托管人认为按以上规定的方法对理财产品资产进行估值不能客观反映其公允价值的，可提出动议，协商变更公允价值的确定方式。</w:t>
      </w:r>
    </w:p>
    <w:p w14:paraId="59E88A2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9、相关法律法规以及监管部门有强制规定的，从其规定。</w:t>
      </w:r>
    </w:p>
    <w:p w14:paraId="6BBA2BC0">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估值错误的处理</w:t>
      </w:r>
    </w:p>
    <w:p w14:paraId="4ECD6EB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理财产品管理人和产品托管人将采取必要、适当合理的措施确保产品资产估值的准确性、及时性。当产品单位净值出现错误时，理财产品管理人应当立即予以纠正，并采取合理的措施防止损失进一步扩大。由于本产品估值所用的价格来源中出现错误，或由于其它不可抗力原因，理财产品管理人和产品托管人虽然已经采取必要、适当、合理的措施进行检查，但是未能发现该错误的，由此造成的产品资产估值错误，理财产品管理人和产品托管人可以免除赔偿责任。但理财产品管理人和产品托管人应当积极采取必要的措施消除由此造成的影响。</w:t>
      </w:r>
    </w:p>
    <w:p w14:paraId="672BE9DD">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 xml:space="preserve">估值方法调整 </w:t>
      </w:r>
    </w:p>
    <w:p w14:paraId="5209C78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如有确凿证据表明按上述内容不能客观反映资产价值的，产品管理人可根据具体情况，在与产品托管人商议后，按最能反映产品价值的方法估值。</w:t>
      </w:r>
    </w:p>
    <w:p w14:paraId="6BB9D829">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暂停估值</w:t>
      </w:r>
    </w:p>
    <w:p w14:paraId="6FEF03D2">
      <w:pPr>
        <w:adjustRightInd w:val="0"/>
        <w:snapToGrid w:val="0"/>
        <w:ind w:firstLine="480" w:firstLineChars="200"/>
        <w:rPr>
          <w:rFonts w:ascii="黑体" w:hAnsi="宋体" w:eastAsia="黑体"/>
          <w:sz w:val="32"/>
          <w:szCs w:val="32"/>
        </w:rPr>
      </w:pPr>
      <w:r>
        <w:rPr>
          <w:rFonts w:hint="eastAsia" w:ascii="仿宋" w:hAnsi="仿宋" w:eastAsia="仿宋"/>
          <w:bCs/>
          <w:kern w:val="0"/>
          <w:sz w:val="24"/>
          <w:szCs w:val="20"/>
        </w:rPr>
        <w:t>当产品资产的估值因不可抗力或其它情形致使理财产品管理人、托管人无法准确评估产品资产价值或监管部门认定的其它情形时，理财产品管理人可暂停产品的估值直至另行通知。</w:t>
      </w:r>
    </w:p>
    <w:p w14:paraId="7A813B2D">
      <w:pPr>
        <w:autoSpaceDE w:val="0"/>
        <w:autoSpaceDN w:val="0"/>
        <w:adjustRightInd w:val="0"/>
        <w:outlineLvl w:val="0"/>
        <w:rPr>
          <w:rFonts w:ascii="黑体" w:hAnsi="宋体" w:eastAsia="黑体"/>
          <w:sz w:val="32"/>
          <w:szCs w:val="32"/>
        </w:rPr>
      </w:pPr>
      <w:r>
        <w:rPr>
          <w:rFonts w:hint="eastAsia" w:ascii="黑体" w:hAnsi="宋体" w:eastAsia="黑体"/>
          <w:sz w:val="32"/>
          <w:szCs w:val="32"/>
        </w:rPr>
        <w:t>五、产品费用及税费规定</w:t>
      </w:r>
    </w:p>
    <w:p w14:paraId="189D003B">
      <w:pPr>
        <w:adjustRightInd w:val="0"/>
        <w:snapToGrid w:val="0"/>
        <w:ind w:firstLine="482" w:firstLineChars="200"/>
        <w:rPr>
          <w:rFonts w:ascii="仿宋" w:hAnsi="仿宋" w:eastAsia="仿宋"/>
          <w:b/>
          <w:sz w:val="24"/>
        </w:rPr>
      </w:pPr>
      <w:r>
        <w:rPr>
          <w:rFonts w:hint="eastAsia" w:ascii="仿宋" w:hAnsi="仿宋" w:eastAsia="仿宋"/>
          <w:b/>
          <w:sz w:val="24"/>
        </w:rPr>
        <w:t>（一）产品相关费用</w:t>
      </w:r>
    </w:p>
    <w:p w14:paraId="150DD2F0">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1、销售手续费。</w:t>
      </w:r>
    </w:p>
    <w:p w14:paraId="3CEF04A7">
      <w:pPr>
        <w:ind w:firstLine="480" w:firstLineChars="200"/>
        <w:rPr>
          <w:rFonts w:hint="eastAsia" w:ascii="仿宋" w:hAnsi="仿宋" w:eastAsia="仿宋"/>
          <w:bCs/>
          <w:kern w:val="0"/>
          <w:sz w:val="24"/>
          <w:szCs w:val="20"/>
        </w:rPr>
      </w:pPr>
      <w:r>
        <w:rPr>
          <w:rFonts w:hint="eastAsia" w:ascii="仿宋" w:hAnsi="仿宋" w:eastAsia="仿宋"/>
          <w:bCs/>
          <w:kern w:val="0"/>
          <w:sz w:val="24"/>
          <w:szCs w:val="20"/>
          <w:lang w:val="en-US" w:eastAsia="zh-CN"/>
        </w:rPr>
        <w:t>产品A、B、C、D、E份额无销售手续费，</w:t>
      </w:r>
      <w:r>
        <w:rPr>
          <w:rFonts w:hint="eastAsia" w:ascii="仿宋" w:hAnsi="仿宋" w:eastAsia="仿宋"/>
          <w:bCs/>
          <w:kern w:val="0"/>
          <w:sz w:val="24"/>
          <w:szCs w:val="20"/>
        </w:rPr>
        <w:t>本产品</w:t>
      </w:r>
      <w:r>
        <w:rPr>
          <w:rFonts w:hint="eastAsia" w:ascii="仿宋" w:hAnsi="仿宋" w:eastAsia="仿宋"/>
          <w:bCs/>
          <w:kern w:val="0"/>
          <w:sz w:val="24"/>
          <w:szCs w:val="20"/>
          <w:lang w:val="en-US" w:eastAsia="zh-CN"/>
        </w:rPr>
        <w:t>F</w:t>
      </w:r>
      <w:r>
        <w:rPr>
          <w:rFonts w:hint="eastAsia" w:ascii="仿宋" w:hAnsi="仿宋" w:eastAsia="仿宋"/>
          <w:bCs/>
          <w:kern w:val="0"/>
          <w:sz w:val="24"/>
          <w:szCs w:val="20"/>
        </w:rPr>
        <w:t>份额按照理财产品</w:t>
      </w:r>
      <w:r>
        <w:rPr>
          <w:rFonts w:hint="eastAsia" w:ascii="仿宋" w:hAnsi="仿宋" w:eastAsia="仿宋"/>
          <w:bCs/>
          <w:kern w:val="0"/>
          <w:sz w:val="24"/>
          <w:szCs w:val="20"/>
          <w:lang w:val="en-US" w:eastAsia="zh-CN"/>
        </w:rPr>
        <w:t>F</w:t>
      </w:r>
      <w:r>
        <w:rPr>
          <w:rFonts w:hint="eastAsia" w:ascii="仿宋" w:hAnsi="仿宋" w:eastAsia="仿宋"/>
          <w:bCs/>
          <w:kern w:val="0"/>
          <w:sz w:val="24"/>
          <w:szCs w:val="20"/>
        </w:rPr>
        <w:t>份额的资产净值的0.20%/年收取销售服务费</w:t>
      </w:r>
      <w:r>
        <w:rPr>
          <w:rFonts w:hint="eastAsia" w:ascii="仿宋" w:hAnsi="仿宋" w:eastAsia="仿宋"/>
          <w:bCs/>
          <w:kern w:val="0"/>
          <w:sz w:val="24"/>
          <w:szCs w:val="20"/>
          <w:lang w:eastAsia="zh-CN"/>
        </w:rPr>
        <w:t>，</w:t>
      </w:r>
      <w:r>
        <w:rPr>
          <w:rFonts w:hint="eastAsia" w:ascii="仿宋" w:hAnsi="仿宋" w:eastAsia="仿宋"/>
          <w:bCs/>
          <w:kern w:val="0"/>
          <w:sz w:val="24"/>
          <w:szCs w:val="20"/>
          <w:lang w:val="en-US" w:eastAsia="zh-CN"/>
        </w:rPr>
        <w:t>计算方法如下：</w:t>
      </w:r>
    </w:p>
    <w:p w14:paraId="4AE351D1">
      <w:pPr>
        <w:ind w:firstLine="480" w:firstLineChars="200"/>
        <w:rPr>
          <w:rFonts w:hint="eastAsia" w:ascii="仿宋" w:hAnsi="仿宋" w:eastAsia="仿宋"/>
          <w:bCs/>
          <w:kern w:val="0"/>
          <w:sz w:val="24"/>
          <w:szCs w:val="20"/>
          <w:lang w:val="en-US" w:eastAsia="zh-CN"/>
        </w:rPr>
      </w:pPr>
      <w:r>
        <w:rPr>
          <w:rFonts w:hint="eastAsia" w:ascii="仿宋" w:hAnsi="仿宋" w:eastAsia="仿宋"/>
          <w:bCs/>
          <w:kern w:val="0"/>
          <w:sz w:val="24"/>
          <w:szCs w:val="20"/>
          <w:lang w:val="en-US" w:eastAsia="zh-CN"/>
        </w:rPr>
        <w:t>每日应计提的销售服务费=前一日理财产品F份额的资产净值*0.20%/365</w:t>
      </w:r>
    </w:p>
    <w:p w14:paraId="60DB854C">
      <w:pPr>
        <w:ind w:firstLine="480" w:firstLineChars="200"/>
        <w:rPr>
          <w:rFonts w:hint="eastAsia" w:ascii="仿宋" w:hAnsi="仿宋" w:eastAsia="仿宋"/>
          <w:bCs/>
          <w:kern w:val="0"/>
          <w:sz w:val="24"/>
          <w:szCs w:val="20"/>
        </w:rPr>
      </w:pPr>
      <w:r>
        <w:rPr>
          <w:rFonts w:hint="eastAsia" w:ascii="仿宋" w:hAnsi="仿宋" w:eastAsia="仿宋"/>
          <w:bCs/>
          <w:kern w:val="0"/>
          <w:sz w:val="24"/>
          <w:szCs w:val="20"/>
          <w:lang w:val="en-US" w:eastAsia="zh-CN"/>
        </w:rPr>
        <w:t>销售服务费原则上按日计提，按季收取或于产品到期日（提前终止日）收取。</w:t>
      </w:r>
    </w:p>
    <w:p w14:paraId="2D089F23">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2、托管费。</w:t>
      </w:r>
    </w:p>
    <w:p w14:paraId="719E03E2">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本产品按照理财产品资产净值的0.02%/年收取托管费，计算方法如下：</w:t>
      </w:r>
    </w:p>
    <w:p w14:paraId="5E579A01">
      <w:pPr>
        <w:ind w:firstLine="480" w:firstLineChars="200"/>
        <w:rPr>
          <w:rFonts w:ascii="仿宋" w:hAnsi="仿宋" w:eastAsia="仿宋"/>
          <w:bCs/>
          <w:kern w:val="0"/>
          <w:sz w:val="24"/>
          <w:szCs w:val="20"/>
        </w:rPr>
      </w:pPr>
      <w:r>
        <w:rPr>
          <w:rFonts w:hint="eastAsia" w:ascii="仿宋" w:hAnsi="仿宋" w:eastAsia="仿宋"/>
          <w:bCs/>
          <w:kern w:val="0"/>
          <w:sz w:val="24"/>
          <w:szCs w:val="20"/>
        </w:rPr>
        <w:t>每日应计提的托管费=前一日理财产品资产净值*0.02%/365</w:t>
      </w:r>
    </w:p>
    <w:p w14:paraId="05EB5D41">
      <w:pPr>
        <w:ind w:firstLine="480" w:firstLineChars="200"/>
        <w:rPr>
          <w:rFonts w:ascii="仿宋" w:hAnsi="仿宋" w:eastAsia="仿宋"/>
          <w:bCs/>
          <w:kern w:val="0"/>
          <w:sz w:val="24"/>
          <w:szCs w:val="20"/>
        </w:rPr>
      </w:pPr>
      <w:r>
        <w:rPr>
          <w:rFonts w:hint="eastAsia" w:ascii="仿宋" w:hAnsi="仿宋" w:eastAsia="仿宋"/>
          <w:bCs/>
          <w:kern w:val="0"/>
          <w:sz w:val="24"/>
          <w:szCs w:val="20"/>
        </w:rPr>
        <w:t>托管费原则上按日计提，按季收取或于产品到期日（提前终止日）收取。</w:t>
      </w:r>
    </w:p>
    <w:p w14:paraId="1E5A72B8">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3、固定管理费。</w:t>
      </w:r>
    </w:p>
    <w:p w14:paraId="65D88610">
      <w:pPr>
        <w:adjustRightInd w:val="0"/>
        <w:snapToGrid w:val="0"/>
        <w:ind w:firstLine="480" w:firstLineChars="200"/>
        <w:rPr>
          <w:rFonts w:ascii="仿宋" w:hAnsi="仿宋" w:eastAsia="仿宋"/>
          <w:bCs/>
          <w:kern w:val="0"/>
          <w:sz w:val="24"/>
          <w:szCs w:val="20"/>
        </w:rPr>
      </w:pPr>
      <w:r>
        <w:rPr>
          <w:rFonts w:hint="eastAsia" w:ascii="仿宋" w:hAnsi="仿宋" w:eastAsia="仿宋"/>
          <w:sz w:val="24"/>
        </w:rPr>
        <w:t>本产品A份额按照理财产品A份额的资产净值的0.</w:t>
      </w:r>
      <w:r>
        <w:rPr>
          <w:rFonts w:hint="eastAsia" w:ascii="仿宋" w:hAnsi="仿宋" w:eastAsia="仿宋"/>
          <w:sz w:val="24"/>
          <w:lang w:val="en-US" w:eastAsia="zh-CN"/>
        </w:rPr>
        <w:t>41</w:t>
      </w:r>
      <w:r>
        <w:rPr>
          <w:rFonts w:hint="eastAsia" w:ascii="仿宋" w:hAnsi="仿宋" w:eastAsia="仿宋"/>
          <w:sz w:val="24"/>
        </w:rPr>
        <w:t>%/年收取固定管理费；B份额按照理财产品B份额的资产净值的0.</w:t>
      </w:r>
      <w:r>
        <w:rPr>
          <w:rFonts w:hint="eastAsia" w:ascii="仿宋" w:hAnsi="仿宋" w:eastAsia="仿宋"/>
          <w:sz w:val="24"/>
          <w:lang w:val="en-US" w:eastAsia="zh-CN"/>
        </w:rPr>
        <w:t>37</w:t>
      </w:r>
      <w:r>
        <w:rPr>
          <w:rFonts w:hint="eastAsia" w:ascii="仿宋" w:hAnsi="仿宋" w:eastAsia="仿宋"/>
          <w:sz w:val="24"/>
        </w:rPr>
        <w:t>%/年收取固定管理费；C份额按照理财产品C份额的资产净值的0.</w:t>
      </w:r>
      <w:r>
        <w:rPr>
          <w:rFonts w:hint="eastAsia" w:ascii="仿宋" w:hAnsi="仿宋" w:eastAsia="仿宋"/>
          <w:sz w:val="24"/>
          <w:lang w:val="en-US" w:eastAsia="zh-CN"/>
        </w:rPr>
        <w:t>31</w:t>
      </w:r>
      <w:r>
        <w:rPr>
          <w:rFonts w:hint="eastAsia" w:ascii="仿宋" w:hAnsi="仿宋" w:eastAsia="仿宋"/>
          <w:sz w:val="24"/>
        </w:rPr>
        <w:t>%/年收取固定管理费</w:t>
      </w:r>
      <w:r>
        <w:rPr>
          <w:rFonts w:hint="eastAsia" w:ascii="仿宋" w:hAnsi="仿宋" w:eastAsia="仿宋"/>
          <w:sz w:val="24"/>
          <w:lang w:eastAsia="zh-CN"/>
        </w:rPr>
        <w:t>；</w:t>
      </w:r>
      <w:r>
        <w:rPr>
          <w:rFonts w:hint="eastAsia" w:ascii="仿宋" w:hAnsi="仿宋" w:eastAsia="仿宋"/>
          <w:sz w:val="24"/>
          <w:lang w:val="en-US" w:eastAsia="zh-CN"/>
        </w:rPr>
        <w:t>D</w:t>
      </w:r>
      <w:r>
        <w:rPr>
          <w:rFonts w:hint="eastAsia" w:ascii="仿宋" w:hAnsi="仿宋" w:eastAsia="仿宋"/>
          <w:sz w:val="24"/>
        </w:rPr>
        <w:t>份额按照理财产品</w:t>
      </w:r>
      <w:r>
        <w:rPr>
          <w:rFonts w:hint="eastAsia" w:ascii="仿宋" w:hAnsi="仿宋" w:eastAsia="仿宋"/>
          <w:sz w:val="24"/>
          <w:lang w:val="en-US" w:eastAsia="zh-CN"/>
        </w:rPr>
        <w:t>D</w:t>
      </w:r>
      <w:r>
        <w:rPr>
          <w:rFonts w:hint="eastAsia" w:ascii="仿宋" w:hAnsi="仿宋" w:eastAsia="仿宋"/>
          <w:sz w:val="24"/>
        </w:rPr>
        <w:t>份额的资产净值的0.</w:t>
      </w:r>
      <w:r>
        <w:rPr>
          <w:rFonts w:hint="eastAsia" w:ascii="仿宋" w:hAnsi="仿宋" w:eastAsia="仿宋"/>
          <w:sz w:val="24"/>
          <w:lang w:val="en-US" w:eastAsia="zh-CN"/>
        </w:rPr>
        <w:t>26</w:t>
      </w:r>
      <w:r>
        <w:rPr>
          <w:rFonts w:hint="eastAsia" w:ascii="仿宋" w:hAnsi="仿宋" w:eastAsia="仿宋"/>
          <w:sz w:val="24"/>
        </w:rPr>
        <w:t>%/年收取固定管理费</w:t>
      </w:r>
      <w:r>
        <w:rPr>
          <w:rFonts w:hint="eastAsia" w:ascii="仿宋" w:hAnsi="仿宋" w:eastAsia="仿宋"/>
          <w:sz w:val="24"/>
          <w:lang w:val="en-US" w:eastAsia="zh-CN"/>
        </w:rPr>
        <w:t>;E</w:t>
      </w:r>
      <w:r>
        <w:rPr>
          <w:rFonts w:hint="eastAsia" w:ascii="仿宋" w:hAnsi="仿宋" w:eastAsia="仿宋"/>
          <w:sz w:val="24"/>
        </w:rPr>
        <w:t>份额按照理财产品</w:t>
      </w:r>
      <w:r>
        <w:rPr>
          <w:rFonts w:hint="eastAsia" w:ascii="仿宋" w:hAnsi="仿宋" w:eastAsia="仿宋"/>
          <w:sz w:val="24"/>
          <w:lang w:val="en-US" w:eastAsia="zh-CN"/>
        </w:rPr>
        <w:t>E</w:t>
      </w:r>
      <w:r>
        <w:rPr>
          <w:rFonts w:hint="eastAsia" w:ascii="仿宋" w:hAnsi="仿宋" w:eastAsia="仿宋"/>
          <w:sz w:val="24"/>
        </w:rPr>
        <w:t>份额的资产净值的0.</w:t>
      </w:r>
      <w:r>
        <w:rPr>
          <w:rFonts w:hint="eastAsia" w:ascii="仿宋" w:hAnsi="仿宋" w:eastAsia="仿宋"/>
          <w:sz w:val="24"/>
          <w:lang w:val="en-US" w:eastAsia="zh-CN"/>
        </w:rPr>
        <w:t>21</w:t>
      </w:r>
      <w:r>
        <w:rPr>
          <w:rFonts w:hint="eastAsia" w:ascii="仿宋" w:hAnsi="仿宋" w:eastAsia="仿宋"/>
          <w:sz w:val="24"/>
        </w:rPr>
        <w:t>%/年收取固定管理费</w:t>
      </w:r>
      <w:r>
        <w:rPr>
          <w:rFonts w:hint="eastAsia" w:ascii="仿宋" w:hAnsi="仿宋" w:eastAsia="仿宋"/>
          <w:sz w:val="24"/>
          <w:lang w:eastAsia="zh-CN"/>
        </w:rPr>
        <w:t>；</w:t>
      </w:r>
      <w:r>
        <w:rPr>
          <w:rFonts w:hint="eastAsia" w:ascii="仿宋" w:hAnsi="仿宋" w:eastAsia="仿宋"/>
          <w:sz w:val="24"/>
          <w:lang w:val="en-US" w:eastAsia="zh-CN"/>
        </w:rPr>
        <w:t>F</w:t>
      </w:r>
      <w:r>
        <w:rPr>
          <w:rFonts w:hint="eastAsia" w:ascii="仿宋" w:hAnsi="仿宋" w:eastAsia="仿宋"/>
          <w:sz w:val="24"/>
        </w:rPr>
        <w:t>份额按照理财产品</w:t>
      </w:r>
      <w:r>
        <w:rPr>
          <w:rFonts w:hint="eastAsia" w:ascii="仿宋" w:hAnsi="仿宋" w:eastAsia="仿宋"/>
          <w:sz w:val="24"/>
          <w:lang w:val="en-US" w:eastAsia="zh-CN"/>
        </w:rPr>
        <w:t>F</w:t>
      </w:r>
      <w:r>
        <w:rPr>
          <w:rFonts w:hint="eastAsia" w:ascii="仿宋" w:hAnsi="仿宋" w:eastAsia="仿宋"/>
          <w:sz w:val="24"/>
        </w:rPr>
        <w:t>份额的资产净值的0.</w:t>
      </w:r>
      <w:r>
        <w:rPr>
          <w:rFonts w:hint="eastAsia" w:ascii="仿宋" w:hAnsi="仿宋" w:eastAsia="仿宋"/>
          <w:sz w:val="24"/>
          <w:lang w:val="en-US" w:eastAsia="zh-CN"/>
        </w:rPr>
        <w:t>01</w:t>
      </w:r>
      <w:r>
        <w:rPr>
          <w:rFonts w:hint="eastAsia" w:ascii="仿宋" w:hAnsi="仿宋" w:eastAsia="仿宋"/>
          <w:sz w:val="24"/>
        </w:rPr>
        <w:t>%/年收取固定管理费。</w:t>
      </w:r>
    </w:p>
    <w:p w14:paraId="5F4A3488">
      <w:pPr>
        <w:adjustRightInd w:val="0"/>
        <w:snapToGrid w:val="0"/>
        <w:ind w:firstLine="480" w:firstLineChars="200"/>
        <w:rPr>
          <w:rFonts w:ascii="仿宋" w:hAnsi="仿宋" w:eastAsia="仿宋"/>
          <w:sz w:val="24"/>
        </w:rPr>
      </w:pPr>
      <w:r>
        <w:rPr>
          <w:rFonts w:hint="eastAsia" w:ascii="仿宋" w:hAnsi="仿宋" w:eastAsia="仿宋"/>
          <w:sz w:val="24"/>
        </w:rPr>
        <w:t>以A份额为例，计算方法如下：</w:t>
      </w:r>
    </w:p>
    <w:p w14:paraId="0287E445">
      <w:pPr>
        <w:adjustRightInd w:val="0"/>
        <w:snapToGrid w:val="0"/>
        <w:ind w:firstLine="480" w:firstLineChars="200"/>
        <w:rPr>
          <w:rFonts w:ascii="仿宋" w:hAnsi="仿宋" w:eastAsia="仿宋"/>
          <w:sz w:val="24"/>
        </w:rPr>
      </w:pPr>
      <w:r>
        <w:rPr>
          <w:rFonts w:hint="eastAsia" w:ascii="仿宋" w:hAnsi="仿宋" w:eastAsia="仿宋"/>
          <w:sz w:val="24"/>
        </w:rPr>
        <w:t>每日应计提的固定管理费=前一日理财产品A份额的资产净值*0.</w:t>
      </w:r>
      <w:r>
        <w:rPr>
          <w:rFonts w:hint="eastAsia" w:ascii="仿宋" w:hAnsi="仿宋" w:eastAsia="仿宋"/>
          <w:sz w:val="24"/>
          <w:lang w:val="en-US" w:eastAsia="zh-CN"/>
        </w:rPr>
        <w:t>41</w:t>
      </w:r>
      <w:r>
        <w:rPr>
          <w:rFonts w:hint="eastAsia" w:ascii="仿宋" w:hAnsi="仿宋" w:eastAsia="仿宋"/>
          <w:sz w:val="24"/>
        </w:rPr>
        <w:t>%/365</w:t>
      </w:r>
    </w:p>
    <w:p w14:paraId="0075F59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固定管理费原则上按日计提，按季收取或于产品到期日（提前终止日）收取。</w:t>
      </w:r>
    </w:p>
    <w:p w14:paraId="527F32DE">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4、其他费用。</w:t>
      </w:r>
    </w:p>
    <w:p w14:paraId="1D51B7CA">
      <w:pPr>
        <w:ind w:firstLine="480" w:firstLineChars="200"/>
        <w:rPr>
          <w:rFonts w:ascii="仿宋" w:hAnsi="仿宋" w:eastAsia="仿宋"/>
          <w:bCs/>
          <w:kern w:val="0"/>
          <w:sz w:val="24"/>
          <w:szCs w:val="20"/>
        </w:rPr>
      </w:pPr>
      <w:r>
        <w:rPr>
          <w:rFonts w:hint="eastAsia" w:ascii="仿宋" w:hAnsi="仿宋" w:eastAsia="仿宋"/>
          <w:bCs/>
          <w:kern w:val="0"/>
          <w:sz w:val="24"/>
          <w:szCs w:val="20"/>
        </w:rPr>
        <w:t>主要包括理财资金管理、运用及处分过程中发生的费用，包括但不限于账户服务费、资金汇划费、交易费用、注册登记费、信息披露费、审计费、产品清算费、执行费用（包括但不限于诉讼费、仲裁费、财产保全费、律师费及由此产生的其他费用）等相关费用，按照实际发生情况从产品中列支。</w:t>
      </w:r>
    </w:p>
    <w:p w14:paraId="7B21187F">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5、浮动管理费。</w:t>
      </w:r>
    </w:p>
    <w:p w14:paraId="2F26B165">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产品管理人根据理财产品实际投资情况收取浮动管理费。</w:t>
      </w:r>
    </w:p>
    <w:p w14:paraId="356C8924">
      <w:pPr>
        <w:ind w:firstLine="480" w:firstLineChars="200"/>
        <w:rPr>
          <w:rFonts w:ascii="仿宋" w:hAnsi="仿宋" w:eastAsia="仿宋"/>
          <w:bCs/>
          <w:color w:val="000000"/>
          <w:kern w:val="0"/>
          <w:sz w:val="24"/>
          <w:szCs w:val="20"/>
        </w:rPr>
      </w:pPr>
      <w:r>
        <w:rPr>
          <w:rFonts w:hint="eastAsia" w:ascii="仿宋" w:hAnsi="仿宋" w:eastAsia="仿宋"/>
          <w:sz w:val="24"/>
        </w:rPr>
        <w:t>（1）</w:t>
      </w:r>
      <w:r>
        <w:rPr>
          <w:rFonts w:hint="eastAsia" w:ascii="仿宋" w:hAnsi="仿宋" w:eastAsia="仿宋"/>
          <w:bCs/>
          <w:color w:val="000000"/>
          <w:kern w:val="0"/>
          <w:sz w:val="24"/>
          <w:szCs w:val="20"/>
        </w:rPr>
        <w:t>理财产品到期日或提前终止日，产品扣除销售手续费、托管费、固定管理费和其他相关税费后，若本产品份额业绩比较基准下限＜本产品份额实际折合年化收益率≤本产品份额业绩比较基准上限，则收取本产品份额业绩比较基准下限以上部分的60%作为浮动管理费。</w:t>
      </w:r>
    </w:p>
    <w:p w14:paraId="1B7BE7E6">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6440F3E3">
      <w:pPr>
        <w:ind w:firstLine="480" w:firstLineChars="200"/>
        <w:rPr>
          <w:rFonts w:ascii="仿宋" w:hAnsi="仿宋" w:eastAsia="仿宋"/>
          <w:bCs/>
          <w:color w:val="000000"/>
          <w:kern w:val="0"/>
          <w:sz w:val="24"/>
          <w:szCs w:val="20"/>
        </w:rPr>
      </w:pPr>
      <w:r>
        <w:rPr>
          <w:rFonts w:hint="eastAsia" w:ascii="仿宋" w:hAnsi="仿宋" w:eastAsia="仿宋"/>
          <w:sz w:val="24"/>
        </w:rPr>
        <w:t>（2）</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本产品份额业绩比较基准上限，则超出本产品份额业绩比较基准下限但未超过业绩比较基准上限（含）部分，按60%比例收取浮动管理费；超出本产品份额业绩比较基准上限部分，按80%比例收取浮动管理费。</w:t>
      </w:r>
    </w:p>
    <w:p w14:paraId="4D420E11">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本理财产品份额到期日（提前终止日）实际折合年化收益率（扣除销售手续费、托管费、固定管理费和其他税费等固定费用）-本产品份额业绩比较基准上限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*80%*产品实际存续天数/365+理财产品份额存续规模*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本产品份额业绩比较基准上限-本产品份额业绩比较基准下限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1E6EB0AC">
      <w:pPr>
        <w:ind w:firstLine="480" w:firstLineChars="200"/>
        <w:rPr>
          <w:rFonts w:ascii="仿宋" w:hAnsi="仿宋" w:eastAsia="仿宋"/>
          <w:bCs/>
          <w:color w:val="000000"/>
          <w:kern w:val="0"/>
          <w:sz w:val="24"/>
          <w:szCs w:val="20"/>
        </w:rPr>
      </w:pPr>
      <w:r>
        <w:rPr>
          <w:rFonts w:hint="eastAsia" w:ascii="仿宋" w:hAnsi="仿宋" w:eastAsia="仿宋"/>
          <w:sz w:val="24"/>
        </w:rPr>
        <w:t>（3）</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理财产品到期日或提前终止日，产品扣除销售手续费、托管费、固定管理费和其他相关税费后，若本产品份额实际折合年化收益率低于或等于本产品份额业绩比较基准下限，则不收取浮动管理费。</w:t>
      </w:r>
    </w:p>
    <w:p w14:paraId="2985E2D3">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计算折合年化收益率和业绩比较基准时1年按365日计算。其中，理财产品份额到期日（提前终止日）实际折合年化收益率（扣除销售手续费、托管费、固定管理费和其他税费等固定费用）=【本产品份额到期日（提前终止日）扣除销售手续费、托管费、固定管理费和其他税费等固定费用后的单位净值-1】*365/产品实际存续天数</w:t>
      </w:r>
    </w:p>
    <w:p w14:paraId="2669EC75">
      <w:pPr>
        <w:adjustRightInd w:val="0"/>
        <w:snapToGrid w:val="0"/>
        <w:ind w:firstLine="482" w:firstLineChars="200"/>
        <w:rPr>
          <w:rFonts w:ascii="仿宋" w:hAnsi="仿宋" w:eastAsia="仿宋"/>
          <w:b/>
          <w:sz w:val="24"/>
        </w:rPr>
      </w:pPr>
      <w:r>
        <w:rPr>
          <w:rFonts w:hint="eastAsia" w:ascii="仿宋" w:hAnsi="仿宋" w:eastAsia="仿宋"/>
          <w:b/>
          <w:sz w:val="24"/>
        </w:rPr>
        <w:t>（二）税收规定</w:t>
      </w:r>
    </w:p>
    <w:p w14:paraId="506983AA">
      <w:pPr>
        <w:adjustRightInd w:val="0"/>
        <w:snapToGrid w:val="0"/>
        <w:ind w:firstLine="480" w:firstLineChars="200"/>
        <w:rPr>
          <w:rFonts w:ascii="仿宋" w:hAnsi="仿宋" w:eastAsia="仿宋"/>
          <w:sz w:val="24"/>
        </w:rPr>
      </w:pPr>
      <w:r>
        <w:rPr>
          <w:rFonts w:hint="eastAsia" w:ascii="仿宋" w:hAnsi="仿宋" w:eastAsia="仿宋"/>
          <w:sz w:val="24"/>
        </w:rPr>
        <w:t>根据财政部、国家税务总局相关税收监管政策的规定，理财产品运营过程中发生的增值税应税行为，以产品管理人为增值税纳税人，计算并缴纳增值税及附加税费。徽银理财有限责任公司作为理财产品管理人,将按照相关规定计算应缴纳的税费，并从理财产品财产中支付。后续国家法律法规如对相关税收政策进行调整，产品管理人有权根据税收政策相应调整理财产品运营过程中发生的税费的承担方式。</w:t>
      </w:r>
    </w:p>
    <w:p w14:paraId="2BEFE09C">
      <w:pPr>
        <w:adjustRightInd w:val="0"/>
        <w:snapToGrid w:val="0"/>
        <w:ind w:firstLine="480" w:firstLineChars="200"/>
        <w:rPr>
          <w:rFonts w:ascii="仿宋" w:hAnsi="仿宋" w:eastAsia="仿宋"/>
          <w:sz w:val="24"/>
        </w:rPr>
      </w:pPr>
      <w:r>
        <w:rPr>
          <w:rFonts w:hint="eastAsia" w:ascii="仿宋" w:hAnsi="仿宋" w:eastAsia="仿宋"/>
          <w:sz w:val="24"/>
        </w:rPr>
        <w:t>投资者因获得理财产品收益所产生的相关税费由投资者自行承担，产品管理人不负责代扣代缴。但根据法律、法规或规章规定产品管理人有义务代扣代缴的，产品管理人将代扣代缴相应税费并从理财收益中扣除。</w:t>
      </w:r>
    </w:p>
    <w:p w14:paraId="1ABE72AA">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六、计算示例</w:t>
      </w:r>
    </w:p>
    <w:p w14:paraId="4C65B1AC">
      <w:pPr>
        <w:adjustRightInd w:val="0"/>
        <w:snapToGrid w:val="0"/>
        <w:ind w:firstLine="480" w:firstLineChars="200"/>
        <w:rPr>
          <w:rFonts w:ascii="仿宋" w:hAnsi="仿宋" w:eastAsia="仿宋"/>
          <w:bCs/>
          <w:sz w:val="24"/>
        </w:rPr>
      </w:pPr>
      <w:r>
        <w:rPr>
          <w:rFonts w:ascii="仿宋" w:hAnsi="仿宋" w:eastAsia="仿宋"/>
          <w:bCs/>
          <w:sz w:val="24"/>
        </w:rPr>
        <w:t>投资者理财收益</w:t>
      </w:r>
      <w:r>
        <w:rPr>
          <w:rFonts w:hint="eastAsia" w:ascii="仿宋" w:hAnsi="仿宋" w:eastAsia="仿宋"/>
          <w:bCs/>
          <w:sz w:val="24"/>
        </w:rPr>
        <w:t>=</w:t>
      </w:r>
      <w:r>
        <w:rPr>
          <w:rFonts w:ascii="仿宋" w:hAnsi="仿宋" w:eastAsia="仿宋"/>
          <w:bCs/>
          <w:sz w:val="24"/>
        </w:rPr>
        <w:t>认购份额</w:t>
      </w:r>
      <w:r>
        <w:rPr>
          <w:rFonts w:hint="eastAsia" w:ascii="仿宋" w:hAnsi="仿宋" w:eastAsia="仿宋"/>
          <w:bCs/>
          <w:sz w:val="24"/>
        </w:rPr>
        <w:t>*</w:t>
      </w:r>
      <w:r>
        <w:rPr>
          <w:rFonts w:hint="eastAsia" w:ascii="仿宋" w:hAnsi="仿宋" w:eastAsia="仿宋"/>
          <w:sz w:val="24"/>
        </w:rPr>
        <w:t>到期日（提前终止日）单位</w:t>
      </w:r>
      <w:r>
        <w:rPr>
          <w:rFonts w:hint="eastAsia" w:ascii="仿宋" w:hAnsi="仿宋" w:eastAsia="仿宋"/>
          <w:bCs/>
          <w:sz w:val="24"/>
        </w:rPr>
        <w:t>净值-认购金额</w:t>
      </w:r>
    </w:p>
    <w:p w14:paraId="6DA039CF">
      <w:pPr>
        <w:snapToGrid w:val="0"/>
        <w:ind w:firstLine="480" w:firstLineChars="200"/>
        <w:rPr>
          <w:rFonts w:ascii="仿宋" w:hAnsi="仿宋" w:eastAsia="仿宋"/>
          <w:sz w:val="24"/>
        </w:rPr>
      </w:pPr>
      <w:r>
        <w:rPr>
          <w:rFonts w:hint="eastAsia" w:ascii="仿宋" w:hAnsi="仿宋" w:eastAsia="仿宋"/>
          <w:sz w:val="24"/>
        </w:rPr>
        <w:t>情景一：产品投资收益率达到或超过业绩比较基准</w:t>
      </w:r>
    </w:p>
    <w:p w14:paraId="557CFEDC">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后，假设产品份额净值为1.00</w:t>
      </w:r>
      <w:r>
        <w:rPr>
          <w:rFonts w:hint="eastAsia" w:ascii="仿宋" w:hAnsi="仿宋" w:eastAsia="仿宋"/>
          <w:sz w:val="24"/>
          <w:lang w:val="en-US" w:eastAsia="zh-CN"/>
        </w:rPr>
        <w:t>7124</w:t>
      </w:r>
      <w:r>
        <w:rPr>
          <w:rFonts w:hint="eastAsia" w:ascii="仿宋" w:hAnsi="仿宋" w:eastAsia="仿宋"/>
          <w:sz w:val="24"/>
        </w:rPr>
        <w:t>元/份，则投资者到期资金金额为：</w:t>
      </w:r>
    </w:p>
    <w:p w14:paraId="32A17059">
      <w:pPr>
        <w:snapToGrid w:val="0"/>
        <w:ind w:firstLine="480" w:firstLineChars="200"/>
        <w:rPr>
          <w:rFonts w:ascii="仿宋" w:hAnsi="仿宋" w:eastAsia="仿宋"/>
          <w:sz w:val="24"/>
        </w:rPr>
      </w:pPr>
      <w:r>
        <w:rPr>
          <w:rFonts w:hint="eastAsia" w:ascii="仿宋" w:hAnsi="仿宋" w:eastAsia="仿宋"/>
          <w:sz w:val="24"/>
        </w:rPr>
        <w:t>50,000.00*</w:t>
      </w:r>
      <w:r>
        <w:t xml:space="preserve"> </w:t>
      </w:r>
      <w:r>
        <w:rPr>
          <w:rFonts w:hint="eastAsia" w:ascii="仿宋" w:hAnsi="仿宋" w:eastAsia="仿宋"/>
          <w:sz w:val="24"/>
        </w:rPr>
        <w:t>1.00</w:t>
      </w:r>
      <w:r>
        <w:rPr>
          <w:rFonts w:hint="eastAsia" w:ascii="仿宋" w:hAnsi="仿宋" w:eastAsia="仿宋"/>
          <w:sz w:val="24"/>
          <w:lang w:val="en-US" w:eastAsia="zh-CN"/>
        </w:rPr>
        <w:t>7124</w:t>
      </w:r>
      <w:r>
        <w:rPr>
          <w:rFonts w:hint="eastAsia" w:ascii="仿宋" w:hAnsi="仿宋" w:eastAsia="仿宋"/>
          <w:sz w:val="24"/>
        </w:rPr>
        <w:t>=50,3</w:t>
      </w:r>
      <w:r>
        <w:rPr>
          <w:rFonts w:hint="eastAsia" w:ascii="仿宋" w:hAnsi="仿宋" w:eastAsia="仿宋"/>
          <w:sz w:val="24"/>
          <w:lang w:val="en-US" w:eastAsia="zh-CN"/>
        </w:rPr>
        <w:t>56.20</w:t>
      </w:r>
      <w:r>
        <w:rPr>
          <w:rFonts w:hint="eastAsia" w:ascii="仿宋" w:hAnsi="仿宋" w:eastAsia="仿宋"/>
          <w:sz w:val="24"/>
        </w:rPr>
        <w:t>元</w:t>
      </w:r>
    </w:p>
    <w:p w14:paraId="53C75B0B">
      <w:pPr>
        <w:tabs>
          <w:tab w:val="left" w:pos="6300"/>
        </w:tabs>
        <w:snapToGrid w:val="0"/>
        <w:ind w:firstLine="480" w:firstLineChars="200"/>
        <w:rPr>
          <w:rFonts w:ascii="仿宋" w:hAnsi="仿宋" w:eastAsia="仿宋"/>
          <w:sz w:val="24"/>
        </w:rPr>
      </w:pPr>
      <w:r>
        <w:rPr>
          <w:rFonts w:hint="eastAsia" w:ascii="仿宋" w:hAnsi="仿宋" w:eastAsia="仿宋"/>
          <w:sz w:val="24"/>
        </w:rPr>
        <w:t>投资者理财收益=50,3</w:t>
      </w:r>
      <w:r>
        <w:rPr>
          <w:rFonts w:hint="eastAsia" w:ascii="仿宋" w:hAnsi="仿宋" w:eastAsia="仿宋"/>
          <w:sz w:val="24"/>
          <w:lang w:val="en-US" w:eastAsia="zh-CN"/>
        </w:rPr>
        <w:t>56.20</w:t>
      </w:r>
      <w:r>
        <w:rPr>
          <w:rFonts w:hint="eastAsia" w:ascii="仿宋" w:hAnsi="仿宋" w:eastAsia="仿宋"/>
          <w:sz w:val="24"/>
        </w:rPr>
        <w:t>-50,000.00=3</w:t>
      </w:r>
      <w:r>
        <w:rPr>
          <w:rFonts w:hint="eastAsia" w:ascii="仿宋" w:hAnsi="仿宋" w:eastAsia="仿宋"/>
          <w:sz w:val="24"/>
          <w:lang w:val="en-US" w:eastAsia="zh-CN"/>
        </w:rPr>
        <w:t>56.20</w:t>
      </w:r>
      <w:r>
        <w:rPr>
          <w:rFonts w:hint="eastAsia" w:ascii="仿宋" w:hAnsi="仿宋" w:eastAsia="仿宋"/>
          <w:sz w:val="24"/>
        </w:rPr>
        <w:t>元</w:t>
      </w:r>
      <w:r>
        <w:rPr>
          <w:rFonts w:ascii="仿宋" w:hAnsi="仿宋" w:eastAsia="仿宋"/>
          <w:sz w:val="24"/>
        </w:rPr>
        <w:tab/>
      </w:r>
    </w:p>
    <w:p w14:paraId="736A73DC">
      <w:pPr>
        <w:snapToGrid w:val="0"/>
        <w:ind w:firstLine="480" w:firstLineChars="200"/>
        <w:rPr>
          <w:rFonts w:ascii="仿宋" w:hAnsi="仿宋" w:eastAsia="仿宋"/>
          <w:sz w:val="24"/>
        </w:rPr>
      </w:pPr>
      <w:r>
        <w:rPr>
          <w:rFonts w:hint="eastAsia" w:ascii="仿宋" w:hAnsi="仿宋" w:eastAsia="仿宋"/>
          <w:sz w:val="24"/>
        </w:rPr>
        <w:t>投资者年化理财收益率=</w:t>
      </w:r>
      <w:r>
        <w:t xml:space="preserve"> </w:t>
      </w:r>
      <w:r>
        <w:rPr>
          <w:rFonts w:hint="eastAsia" w:ascii="仿宋" w:hAnsi="仿宋" w:eastAsia="仿宋"/>
          <w:sz w:val="24"/>
        </w:rPr>
        <w:t>3</w:t>
      </w:r>
      <w:r>
        <w:rPr>
          <w:rFonts w:hint="eastAsia" w:ascii="仿宋" w:hAnsi="仿宋" w:eastAsia="仿宋"/>
          <w:sz w:val="24"/>
          <w:lang w:val="en-US" w:eastAsia="zh-CN"/>
        </w:rPr>
        <w:t>56.20</w:t>
      </w:r>
      <w:r>
        <w:rPr>
          <w:rFonts w:hint="eastAsia" w:ascii="仿宋" w:hAnsi="仿宋" w:eastAsia="仿宋"/>
          <w:sz w:val="24"/>
        </w:rPr>
        <w:t>/50,000.00*365/100=2.</w:t>
      </w:r>
      <w:r>
        <w:rPr>
          <w:rFonts w:hint="eastAsia" w:ascii="仿宋" w:hAnsi="仿宋" w:eastAsia="仿宋"/>
          <w:sz w:val="24"/>
          <w:lang w:val="en-US" w:eastAsia="zh-CN"/>
        </w:rPr>
        <w:t>60</w:t>
      </w:r>
      <w:r>
        <w:rPr>
          <w:rFonts w:hint="eastAsia" w:ascii="仿宋" w:hAnsi="仿宋" w:eastAsia="仿宋"/>
          <w:sz w:val="24"/>
        </w:rPr>
        <w:t>%</w:t>
      </w:r>
    </w:p>
    <w:p w14:paraId="6D421E00">
      <w:pPr>
        <w:snapToGrid w:val="0"/>
        <w:ind w:firstLine="480" w:firstLineChars="200"/>
        <w:rPr>
          <w:rFonts w:ascii="仿宋" w:hAnsi="仿宋" w:eastAsia="仿宋"/>
          <w:sz w:val="24"/>
        </w:rPr>
      </w:pPr>
      <w:r>
        <w:rPr>
          <w:rFonts w:hint="eastAsia" w:ascii="仿宋" w:hAnsi="仿宋" w:eastAsia="仿宋"/>
          <w:sz w:val="24"/>
        </w:rPr>
        <w:t>情景二：产品投资收益率未达到业绩比较基准</w:t>
      </w:r>
    </w:p>
    <w:p w14:paraId="54B1C04F">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w:t>
      </w:r>
      <w:r>
        <w:rPr>
          <w:rFonts w:ascii="仿宋" w:hAnsi="仿宋" w:eastAsia="仿宋"/>
          <w:sz w:val="24"/>
        </w:rPr>
        <w:t>1.005479</w:t>
      </w:r>
      <w:r>
        <w:rPr>
          <w:rFonts w:hint="eastAsia" w:ascii="仿宋" w:hAnsi="仿宋" w:eastAsia="仿宋"/>
          <w:sz w:val="24"/>
        </w:rPr>
        <w:t>元/份，则投资者到期资金金额为：</w:t>
      </w:r>
    </w:p>
    <w:p w14:paraId="5FB0FB26">
      <w:pPr>
        <w:snapToGrid w:val="0"/>
        <w:ind w:firstLine="480" w:firstLineChars="200"/>
        <w:rPr>
          <w:rFonts w:ascii="仿宋" w:hAnsi="仿宋" w:eastAsia="仿宋"/>
          <w:sz w:val="24"/>
        </w:rPr>
      </w:pPr>
      <w:r>
        <w:rPr>
          <w:rFonts w:hint="eastAsia" w:ascii="仿宋" w:hAnsi="仿宋" w:eastAsia="仿宋"/>
          <w:sz w:val="24"/>
        </w:rPr>
        <w:t>50,000.00*</w:t>
      </w:r>
      <w:r>
        <w:rPr>
          <w:rFonts w:ascii="仿宋" w:hAnsi="仿宋" w:eastAsia="仿宋"/>
          <w:sz w:val="24"/>
        </w:rPr>
        <w:t>1.005479</w:t>
      </w:r>
      <w:r>
        <w:rPr>
          <w:rFonts w:hint="eastAsia" w:ascii="仿宋" w:hAnsi="仿宋" w:eastAsia="仿宋"/>
          <w:sz w:val="24"/>
        </w:rPr>
        <w:t>=</w:t>
      </w:r>
      <w:r>
        <w:rPr>
          <w:rFonts w:ascii="仿宋" w:hAnsi="仿宋" w:eastAsia="仿宋"/>
          <w:sz w:val="24"/>
        </w:rPr>
        <w:t>50,273.95</w:t>
      </w:r>
      <w:r>
        <w:rPr>
          <w:rFonts w:hint="eastAsia" w:ascii="仿宋" w:hAnsi="仿宋" w:eastAsia="仿宋"/>
          <w:sz w:val="24"/>
        </w:rPr>
        <w:t>元</w:t>
      </w:r>
    </w:p>
    <w:p w14:paraId="6EBBC915">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50,273.95</w:t>
      </w:r>
      <w:r>
        <w:rPr>
          <w:rFonts w:hint="eastAsia" w:ascii="仿宋" w:hAnsi="仿宋" w:eastAsia="仿宋"/>
          <w:sz w:val="24"/>
        </w:rPr>
        <w:t>-50,000.00=</w:t>
      </w:r>
      <w:r>
        <w:rPr>
          <w:rFonts w:ascii="仿宋" w:hAnsi="仿宋" w:eastAsia="仿宋"/>
          <w:sz w:val="24"/>
        </w:rPr>
        <w:t>273.95</w:t>
      </w:r>
      <w:r>
        <w:rPr>
          <w:rFonts w:hint="eastAsia" w:ascii="仿宋" w:hAnsi="仿宋" w:eastAsia="仿宋"/>
          <w:sz w:val="24"/>
        </w:rPr>
        <w:t>元</w:t>
      </w:r>
    </w:p>
    <w:p w14:paraId="64B1ACA1">
      <w:pPr>
        <w:snapToGrid w:val="0"/>
        <w:ind w:firstLine="480" w:firstLineChars="200"/>
        <w:rPr>
          <w:rFonts w:ascii="仿宋" w:hAnsi="仿宋" w:eastAsia="仿宋"/>
          <w:sz w:val="24"/>
        </w:rPr>
      </w:pPr>
      <w:r>
        <w:rPr>
          <w:rFonts w:hint="eastAsia" w:ascii="仿宋" w:hAnsi="仿宋" w:eastAsia="仿宋"/>
          <w:sz w:val="24"/>
        </w:rPr>
        <w:t>投资者年化理财收益率=</w:t>
      </w:r>
      <w:r>
        <w:rPr>
          <w:rFonts w:ascii="仿宋" w:hAnsi="仿宋" w:eastAsia="仿宋"/>
          <w:sz w:val="24"/>
        </w:rPr>
        <w:t>273.95</w:t>
      </w:r>
      <w:r>
        <w:rPr>
          <w:rFonts w:hint="eastAsia" w:ascii="仿宋" w:hAnsi="仿宋" w:eastAsia="仿宋"/>
          <w:sz w:val="24"/>
        </w:rPr>
        <w:t>/50,000.00*365/100=2.00%</w:t>
      </w:r>
    </w:p>
    <w:p w14:paraId="70C96282">
      <w:pPr>
        <w:snapToGrid w:val="0"/>
        <w:ind w:firstLine="480" w:firstLineChars="200"/>
        <w:rPr>
          <w:rFonts w:ascii="仿宋" w:hAnsi="仿宋" w:eastAsia="仿宋"/>
          <w:sz w:val="24"/>
        </w:rPr>
      </w:pPr>
      <w:r>
        <w:rPr>
          <w:rFonts w:hint="eastAsia" w:ascii="仿宋" w:hAnsi="仿宋" w:eastAsia="仿宋"/>
          <w:sz w:val="24"/>
        </w:rPr>
        <w:t>情景三：产品发生投资亏损</w:t>
      </w:r>
    </w:p>
    <w:p w14:paraId="4A1B9590">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后，假设产品份额净值为0.98000</w:t>
      </w:r>
      <w:r>
        <w:rPr>
          <w:rFonts w:ascii="仿宋" w:hAnsi="仿宋" w:eastAsia="仿宋"/>
          <w:sz w:val="24"/>
        </w:rPr>
        <w:t>0</w:t>
      </w:r>
      <w:r>
        <w:rPr>
          <w:rFonts w:hint="eastAsia" w:ascii="仿宋" w:hAnsi="仿宋" w:eastAsia="仿宋"/>
          <w:sz w:val="24"/>
        </w:rPr>
        <w:t>元/份，则投资者到期资金金额为：</w:t>
      </w:r>
    </w:p>
    <w:p w14:paraId="0650B91F">
      <w:pPr>
        <w:snapToGrid w:val="0"/>
        <w:ind w:firstLine="480" w:firstLineChars="200"/>
        <w:rPr>
          <w:rFonts w:ascii="仿宋" w:hAnsi="仿宋" w:eastAsia="仿宋"/>
          <w:sz w:val="24"/>
        </w:rPr>
      </w:pPr>
      <w:r>
        <w:rPr>
          <w:rFonts w:hint="eastAsia" w:ascii="仿宋" w:hAnsi="仿宋" w:eastAsia="仿宋"/>
          <w:sz w:val="24"/>
        </w:rPr>
        <w:t>50,000.00*0.98000</w:t>
      </w:r>
      <w:r>
        <w:rPr>
          <w:rFonts w:ascii="仿宋" w:hAnsi="仿宋" w:eastAsia="仿宋"/>
          <w:sz w:val="24"/>
        </w:rPr>
        <w:t>0</w:t>
      </w:r>
      <w:r>
        <w:rPr>
          <w:rFonts w:hint="eastAsia" w:ascii="仿宋" w:hAnsi="仿宋" w:eastAsia="仿宋"/>
          <w:sz w:val="24"/>
        </w:rPr>
        <w:t>=</w:t>
      </w:r>
      <w:r>
        <w:rPr>
          <w:rFonts w:ascii="仿宋" w:hAnsi="仿宋" w:eastAsia="仿宋"/>
          <w:sz w:val="24"/>
        </w:rPr>
        <w:t>49,000.00</w:t>
      </w:r>
      <w:r>
        <w:rPr>
          <w:rFonts w:hint="eastAsia" w:ascii="仿宋" w:hAnsi="仿宋" w:eastAsia="仿宋"/>
          <w:sz w:val="24"/>
        </w:rPr>
        <w:t>元</w:t>
      </w:r>
    </w:p>
    <w:p w14:paraId="435DF397">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49,000.00</w:t>
      </w:r>
      <w:r>
        <w:rPr>
          <w:rFonts w:hint="eastAsia" w:ascii="仿宋" w:hAnsi="仿宋" w:eastAsia="仿宋"/>
          <w:sz w:val="24"/>
        </w:rPr>
        <w:t>-50,000.00=</w:t>
      </w:r>
      <w:r>
        <w:rPr>
          <w:rFonts w:ascii="仿宋" w:hAnsi="仿宋" w:eastAsia="仿宋"/>
          <w:sz w:val="24"/>
        </w:rPr>
        <w:t>-1,000.00</w:t>
      </w:r>
      <w:r>
        <w:rPr>
          <w:rFonts w:hint="eastAsia" w:ascii="仿宋" w:hAnsi="仿宋" w:eastAsia="仿宋"/>
          <w:sz w:val="24"/>
        </w:rPr>
        <w:t>元</w:t>
      </w:r>
    </w:p>
    <w:p w14:paraId="692AD291">
      <w:pPr>
        <w:snapToGrid w:val="0"/>
        <w:ind w:firstLine="482" w:firstLineChars="200"/>
        <w:rPr>
          <w:rFonts w:ascii="仿宋" w:hAnsi="仿宋" w:eastAsia="仿宋"/>
          <w:b/>
          <w:bCs/>
          <w:sz w:val="24"/>
        </w:rPr>
      </w:pPr>
    </w:p>
    <w:p w14:paraId="75CC10B7">
      <w:pPr>
        <w:adjustRightInd w:val="0"/>
        <w:snapToGrid w:val="0"/>
        <w:ind w:firstLine="482" w:firstLineChars="200"/>
        <w:rPr>
          <w:rFonts w:ascii="仿宋" w:hAnsi="仿宋" w:eastAsia="仿宋"/>
          <w:b/>
          <w:bCs/>
          <w:sz w:val="24"/>
        </w:rPr>
      </w:pPr>
      <w:r>
        <w:rPr>
          <w:rFonts w:hint="eastAsia" w:ascii="仿宋" w:hAnsi="仿宋" w:eastAsia="仿宋"/>
          <w:b/>
          <w:bCs/>
          <w:sz w:val="24"/>
        </w:rPr>
        <w:t>最不利情形：</w:t>
      </w:r>
    </w:p>
    <w:p w14:paraId="23B087C1">
      <w:pPr>
        <w:adjustRightInd w:val="0"/>
        <w:snapToGrid w:val="0"/>
        <w:ind w:firstLine="482" w:firstLineChars="200"/>
        <w:rPr>
          <w:rFonts w:ascii="仿宋" w:hAnsi="仿宋" w:eastAsia="仿宋"/>
          <w:b/>
          <w:bCs/>
          <w:sz w:val="24"/>
        </w:rPr>
      </w:pPr>
      <w:r>
        <w:rPr>
          <w:rFonts w:hint="eastAsia" w:ascii="仿宋" w:hAnsi="仿宋" w:eastAsia="仿宋"/>
          <w:b/>
          <w:bCs/>
          <w:sz w:val="24"/>
        </w:rPr>
        <w:t>本产品为非保本净值型理财产品，投资的资产可能全部为较高风险的资产，根据监管有关规定该类资产风险权重为100%，若发生重大政策风险、不可抗力风险或理财产品配置资产所涉及的相关债务主体未能履行偿债义务、市场剧烈波动导致投资的资产大幅贬值等极端事件，可能导致投资者本金及投资收益全部损失，该损失由投资者自行承担。在此情形下，理财产品保留向发生信用风险的投资品发行主体进行追偿的法定权利，若这些权利未来得以实现，在扣除相关费用后，将继续向投资者进行清偿。</w:t>
      </w:r>
    </w:p>
    <w:p w14:paraId="774845AD">
      <w:pPr>
        <w:adjustRightInd w:val="0"/>
        <w:snapToGrid w:val="0"/>
        <w:ind w:firstLine="482" w:firstLineChars="200"/>
        <w:rPr>
          <w:rFonts w:ascii="黑体" w:hAnsi="宋体" w:eastAsia="黑体"/>
          <w:sz w:val="32"/>
          <w:szCs w:val="32"/>
        </w:rPr>
      </w:pPr>
      <w:r>
        <w:rPr>
          <w:rFonts w:hint="eastAsia" w:ascii="仿宋" w:hAnsi="仿宋" w:eastAsia="仿宋"/>
          <w:b/>
          <w:bCs/>
          <w:sz w:val="24"/>
        </w:rPr>
        <w:t>特别提示：上述理财收益测算中所有数据均为假设数据，仅为举例之用，不作为最终收益的计算依据，不代表以上所有情形或某一情形一定会发生。本理财产品无预期收益率，产品净值随投资资产的价格波动，产品清算以产品净值为计算基础，投资者所能获得的最终收益以到期实际支付为准。</w:t>
      </w:r>
    </w:p>
    <w:p w14:paraId="3E5E31E4">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七、信息披露</w:t>
      </w:r>
    </w:p>
    <w:p w14:paraId="55FBC638">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（一）信息披露内容</w:t>
      </w:r>
    </w:p>
    <w:p w14:paraId="3E20F954">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1、成立（或不成立）公告。</w:t>
      </w:r>
    </w:p>
    <w:p w14:paraId="7C03BE5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本产品正常成立（或不成立）后5个工作日内，产品管理人将通过产品管理人或销售机构网站、销售机构指定营业网点或者产品管理人认为适当的其他方式发布产品成立（或不成立）公告，</w:t>
      </w:r>
      <w:r>
        <w:rPr>
          <w:rFonts w:ascii="仿宋" w:hAnsi="仿宋" w:eastAsia="仿宋"/>
          <w:bCs/>
          <w:kern w:val="0"/>
          <w:sz w:val="24"/>
          <w:szCs w:val="20"/>
        </w:rPr>
        <w:t>披露</w:t>
      </w:r>
      <w:r>
        <w:rPr>
          <w:rFonts w:hint="eastAsia" w:ascii="仿宋" w:hAnsi="仿宋" w:eastAsia="仿宋"/>
          <w:bCs/>
          <w:kern w:val="0"/>
          <w:sz w:val="24"/>
          <w:szCs w:val="20"/>
        </w:rPr>
        <w:t>本产品成立日期和募集规模等信息。</w:t>
      </w:r>
    </w:p>
    <w:p w14:paraId="2588A25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2、净值公告。</w:t>
      </w:r>
    </w:p>
    <w:p w14:paraId="0CEE062A">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成立后，理财产品管理人于每周三（遇中国法定节假日相应调整）通过产品管理人或销售机构网站、销售机构指定营业网点或者产品管理人认为适当的其他方式，披露截止上周五（遇中国法定节假日相应调整）理财产品的资产净值</w:t>
      </w:r>
      <w:r>
        <w:rPr>
          <w:rFonts w:ascii="仿宋" w:hAnsi="仿宋" w:eastAsia="仿宋"/>
          <w:bCs/>
          <w:kern w:val="0"/>
          <w:sz w:val="24"/>
          <w:szCs w:val="20"/>
        </w:rPr>
        <w:t>和份额净值</w:t>
      </w:r>
      <w:r>
        <w:rPr>
          <w:rFonts w:hint="eastAsia" w:ascii="仿宋" w:hAnsi="仿宋" w:eastAsia="仿宋"/>
          <w:bCs/>
          <w:kern w:val="0"/>
          <w:sz w:val="24"/>
          <w:szCs w:val="20"/>
        </w:rPr>
        <w:t>。</w:t>
      </w:r>
    </w:p>
    <w:p w14:paraId="443C7981">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3、定期报告。</w:t>
      </w:r>
    </w:p>
    <w:p w14:paraId="673F1FEA">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管理人将在每个季度结束之日起15个工作日内、上半年结束之日起60个工作日内、每年结束之日起90个工作日内，通过产品管理人或销售机构网站、销售机构指定营业网点或者产品管理人认为适当的其他方式发布理财产品的季度、半年和年度报告等定期报告，</w:t>
      </w:r>
      <w:r>
        <w:rPr>
          <w:rFonts w:ascii="仿宋" w:hAnsi="仿宋" w:eastAsia="仿宋"/>
          <w:bCs/>
          <w:kern w:val="0"/>
          <w:sz w:val="24"/>
          <w:szCs w:val="20"/>
        </w:rPr>
        <w:t>披露</w:t>
      </w:r>
      <w:r>
        <w:rPr>
          <w:rFonts w:hint="eastAsia" w:ascii="仿宋" w:hAnsi="仿宋" w:eastAsia="仿宋"/>
          <w:bCs/>
          <w:kern w:val="0"/>
          <w:sz w:val="24"/>
          <w:szCs w:val="20"/>
        </w:rPr>
        <w:t>本产品的存续规模、收益表现，报告期内最后一个市场交易日的份额净值、份额累计净值和资产净值，并分别列示直接和间接投资的资产种类、投资比例、投资组合的流动性风险分析，以及前十项资产具体名称、规模和比例等信息。理财产品成立不足</w:t>
      </w:r>
      <w:r>
        <w:rPr>
          <w:rFonts w:ascii="仿宋" w:hAnsi="仿宋" w:eastAsia="仿宋"/>
          <w:bCs/>
          <w:kern w:val="0"/>
          <w:sz w:val="24"/>
          <w:szCs w:val="20"/>
        </w:rPr>
        <w:t>9</w:t>
      </w:r>
      <w:r>
        <w:rPr>
          <w:rFonts w:hint="eastAsia" w:ascii="仿宋" w:hAnsi="仿宋" w:eastAsia="仿宋"/>
          <w:bCs/>
          <w:kern w:val="0"/>
          <w:sz w:val="24"/>
          <w:szCs w:val="20"/>
        </w:rPr>
        <w:t>0</w:t>
      </w:r>
      <w:r>
        <w:rPr>
          <w:rFonts w:ascii="仿宋" w:hAnsi="仿宋" w:eastAsia="仿宋"/>
          <w:bCs/>
          <w:kern w:val="0"/>
          <w:sz w:val="24"/>
          <w:szCs w:val="20"/>
        </w:rPr>
        <w:t>个工作日或者剩余存续期不超过90个工作日的，</w:t>
      </w:r>
      <w:r>
        <w:rPr>
          <w:rFonts w:hint="eastAsia" w:ascii="仿宋" w:hAnsi="仿宋" w:eastAsia="仿宋"/>
          <w:bCs/>
          <w:kern w:val="0"/>
          <w:sz w:val="24"/>
          <w:szCs w:val="20"/>
        </w:rPr>
        <w:t>产品管理人</w:t>
      </w:r>
      <w:r>
        <w:rPr>
          <w:rFonts w:ascii="仿宋" w:hAnsi="仿宋" w:eastAsia="仿宋"/>
          <w:bCs/>
          <w:kern w:val="0"/>
          <w:sz w:val="24"/>
          <w:szCs w:val="20"/>
        </w:rPr>
        <w:t xml:space="preserve">可以不编制理财产品当期的季度、半年和年度报告。 </w:t>
      </w:r>
    </w:p>
    <w:p w14:paraId="6DC0DC12">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可能投资于产品管理人或产品托管人的主要股东、控股股东、实际控制人、一致行动人、最终受益人，同一股东或产品托管人控股的机构或者与其有重大利害关系的公司发行或者承销的证券，或者从事其他重大关联交易的，理财产品管理人将遵循符合理财产品的投资目标、投资策略和投资者利益优先原则，按照商业原则，以不优于对非关联方同类交易的条件进行，并向投资者充分披露信息。</w:t>
      </w:r>
    </w:p>
    <w:p w14:paraId="330B53C3">
      <w:pPr>
        <w:snapToGrid w:val="0"/>
        <w:ind w:firstLine="480" w:firstLineChars="200"/>
        <w:rPr>
          <w:rFonts w:ascii="仿宋" w:hAnsi="仿宋" w:eastAsia="仿宋"/>
          <w:bCs/>
          <w:kern w:val="0"/>
          <w:sz w:val="24"/>
          <w:szCs w:val="20"/>
        </w:rPr>
      </w:pPr>
      <w:r>
        <w:rPr>
          <w:rFonts w:ascii="仿宋" w:hAnsi="仿宋" w:eastAsia="仿宋"/>
          <w:bCs/>
          <w:kern w:val="0"/>
          <w:sz w:val="24"/>
          <w:szCs w:val="20"/>
        </w:rPr>
        <w:t>4</w:t>
      </w:r>
      <w:r>
        <w:rPr>
          <w:rFonts w:hint="eastAsia" w:ascii="仿宋" w:hAnsi="仿宋" w:eastAsia="仿宋"/>
          <w:bCs/>
          <w:kern w:val="0"/>
          <w:sz w:val="24"/>
          <w:szCs w:val="20"/>
        </w:rPr>
        <w:t>、到期公告。</w:t>
      </w:r>
    </w:p>
    <w:p w14:paraId="5802042F">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本产品终止后</w:t>
      </w:r>
      <w:r>
        <w:rPr>
          <w:rFonts w:ascii="仿宋" w:hAnsi="仿宋" w:eastAsia="仿宋"/>
          <w:bCs/>
          <w:kern w:val="0"/>
          <w:sz w:val="24"/>
          <w:szCs w:val="20"/>
        </w:rPr>
        <w:t>5</w:t>
      </w:r>
      <w:r>
        <w:rPr>
          <w:rFonts w:hint="eastAsia" w:ascii="仿宋" w:hAnsi="仿宋" w:eastAsia="仿宋"/>
          <w:bCs/>
          <w:kern w:val="0"/>
          <w:sz w:val="24"/>
          <w:szCs w:val="20"/>
        </w:rPr>
        <w:t>个工作日内，产品管理人将通过产品管理人或销售机构网站、销售机构指定营业网点或者产品管理人认为适当的其他方式发布产品到期公告，</w:t>
      </w:r>
      <w:r>
        <w:rPr>
          <w:rFonts w:ascii="仿宋" w:hAnsi="仿宋" w:eastAsia="仿宋"/>
          <w:bCs/>
          <w:kern w:val="0"/>
          <w:sz w:val="24"/>
          <w:szCs w:val="20"/>
        </w:rPr>
        <w:t>披露</w:t>
      </w:r>
      <w:r>
        <w:rPr>
          <w:rFonts w:hint="eastAsia" w:ascii="仿宋" w:hAnsi="仿宋" w:eastAsia="仿宋"/>
          <w:bCs/>
          <w:kern w:val="0"/>
          <w:sz w:val="24"/>
          <w:szCs w:val="20"/>
        </w:rPr>
        <w:t>本产品的存续期限、终止日期、收费情况和收益分配情况等信息。</w:t>
      </w:r>
    </w:p>
    <w:p w14:paraId="564EC294">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5、重大事项公告。</w:t>
      </w:r>
    </w:p>
    <w:p w14:paraId="3075B2EE">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w:t>
      </w:r>
      <w:r>
        <w:rPr>
          <w:rFonts w:ascii="仿宋" w:hAnsi="仿宋" w:eastAsia="仿宋"/>
          <w:bCs/>
          <w:kern w:val="0"/>
          <w:sz w:val="24"/>
          <w:szCs w:val="20"/>
        </w:rPr>
        <w:t>存续期限如发生</w:t>
      </w:r>
      <w:r>
        <w:rPr>
          <w:rFonts w:hint="eastAsia" w:ascii="仿宋" w:hAnsi="仿宋" w:eastAsia="仿宋"/>
          <w:sz w:val="24"/>
        </w:rPr>
        <w:t>理财产品</w:t>
      </w:r>
      <w:r>
        <w:rPr>
          <w:rFonts w:ascii="仿宋" w:hAnsi="仿宋" w:eastAsia="仿宋"/>
          <w:sz w:val="24"/>
        </w:rPr>
        <w:t>管理人</w:t>
      </w:r>
      <w:r>
        <w:rPr>
          <w:rFonts w:ascii="仿宋" w:hAnsi="仿宋" w:eastAsia="仿宋"/>
          <w:bCs/>
          <w:kern w:val="0"/>
          <w:sz w:val="24"/>
          <w:szCs w:val="20"/>
        </w:rPr>
        <w:t>认为可能影响产品正常运作的重大不利事项时，</w:t>
      </w:r>
      <w:r>
        <w:rPr>
          <w:rFonts w:hint="eastAsia" w:ascii="仿宋" w:hAnsi="仿宋" w:eastAsia="仿宋"/>
          <w:bCs/>
          <w:kern w:val="0"/>
          <w:sz w:val="24"/>
          <w:szCs w:val="20"/>
        </w:rPr>
        <w:t>包括</w:t>
      </w:r>
      <w:r>
        <w:rPr>
          <w:rFonts w:ascii="仿宋" w:hAnsi="仿宋" w:eastAsia="仿宋"/>
          <w:bCs/>
          <w:kern w:val="0"/>
          <w:sz w:val="24"/>
          <w:szCs w:val="20"/>
        </w:rPr>
        <w:t>但</w:t>
      </w:r>
      <w:r>
        <w:rPr>
          <w:rFonts w:hint="eastAsia" w:ascii="仿宋" w:hAnsi="仿宋" w:eastAsia="仿宋"/>
          <w:bCs/>
          <w:kern w:val="0"/>
          <w:sz w:val="24"/>
          <w:szCs w:val="20"/>
        </w:rPr>
        <w:t>不</w:t>
      </w:r>
      <w:r>
        <w:rPr>
          <w:rFonts w:ascii="仿宋" w:hAnsi="仿宋" w:eastAsia="仿宋"/>
          <w:bCs/>
          <w:kern w:val="0"/>
          <w:sz w:val="24"/>
          <w:szCs w:val="20"/>
        </w:rPr>
        <w:t>限</w:t>
      </w:r>
      <w:r>
        <w:rPr>
          <w:rFonts w:hint="eastAsia" w:ascii="仿宋" w:hAnsi="仿宋" w:eastAsia="仿宋"/>
          <w:bCs/>
          <w:kern w:val="0"/>
          <w:sz w:val="24"/>
          <w:szCs w:val="20"/>
        </w:rPr>
        <w:t>于市场发生重大变化、投资的资产质量发生重大变化或者其它可能对</w:t>
      </w:r>
      <w:r>
        <w:rPr>
          <w:rFonts w:hint="eastAsia" w:ascii="仿宋" w:hAnsi="仿宋" w:eastAsia="仿宋"/>
          <w:sz w:val="24"/>
        </w:rPr>
        <w:t>投资者</w:t>
      </w:r>
      <w:r>
        <w:rPr>
          <w:rFonts w:hint="eastAsia" w:ascii="仿宋" w:hAnsi="仿宋" w:eastAsia="仿宋"/>
          <w:bCs/>
          <w:kern w:val="0"/>
          <w:sz w:val="24"/>
          <w:szCs w:val="20"/>
        </w:rPr>
        <w:t>权益产生重大影响的突发事件时，产品管理人将在上述</w:t>
      </w:r>
      <w:r>
        <w:rPr>
          <w:rFonts w:ascii="仿宋" w:hAnsi="仿宋" w:eastAsia="仿宋"/>
          <w:bCs/>
          <w:kern w:val="0"/>
          <w:sz w:val="24"/>
          <w:szCs w:val="20"/>
        </w:rPr>
        <w:t>事项发生</w:t>
      </w:r>
      <w:r>
        <w:rPr>
          <w:rFonts w:hint="eastAsia" w:ascii="仿宋" w:hAnsi="仿宋" w:eastAsia="仿宋"/>
          <w:bCs/>
          <w:kern w:val="0"/>
          <w:sz w:val="24"/>
          <w:szCs w:val="20"/>
        </w:rPr>
        <w:t>后2个工作日内通过产品管理人或销售机构网站、销售机构指定营业网点或者产品管理人认为适当的其他方式发布相关信息公告。</w:t>
      </w:r>
    </w:p>
    <w:p w14:paraId="7CE85F5C">
      <w:pPr>
        <w:snapToGrid w:val="0"/>
        <w:ind w:firstLine="480" w:firstLineChars="200"/>
        <w:rPr>
          <w:rFonts w:ascii="仿宋" w:hAnsi="仿宋" w:eastAsia="仿宋"/>
          <w:bCs/>
          <w:kern w:val="0"/>
          <w:sz w:val="24"/>
          <w:szCs w:val="20"/>
        </w:rPr>
      </w:pPr>
      <w:r>
        <w:rPr>
          <w:rFonts w:ascii="仿宋" w:hAnsi="仿宋" w:eastAsia="仿宋"/>
          <w:bCs/>
          <w:kern w:val="0"/>
          <w:sz w:val="24"/>
          <w:szCs w:val="20"/>
        </w:rPr>
        <w:t>6</w:t>
      </w:r>
      <w:r>
        <w:rPr>
          <w:rFonts w:hint="eastAsia" w:ascii="仿宋" w:hAnsi="仿宋" w:eastAsia="仿宋"/>
          <w:bCs/>
          <w:kern w:val="0"/>
          <w:sz w:val="24"/>
          <w:szCs w:val="20"/>
        </w:rPr>
        <w:t>、临时信息披露。</w:t>
      </w:r>
    </w:p>
    <w:p w14:paraId="49735B1F">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在本产品存续期间，产品管理人可以提前2个工作日通过产品管理人或销售机构网站、销售机构指定营业网点或者产品管理人认为适当的其他方式</w:t>
      </w:r>
      <w:r>
        <w:rPr>
          <w:rFonts w:ascii="仿宋" w:hAnsi="仿宋" w:eastAsia="仿宋"/>
          <w:bCs/>
          <w:kern w:val="0"/>
          <w:sz w:val="24"/>
          <w:szCs w:val="20"/>
        </w:rPr>
        <w:t>发布相关信息，对本产品的业绩比较基准、投资范围、投资品种及比例</w:t>
      </w:r>
      <w:r>
        <w:rPr>
          <w:rFonts w:hint="eastAsia" w:ascii="仿宋" w:hAnsi="仿宋" w:eastAsia="仿宋"/>
          <w:bCs/>
          <w:kern w:val="0"/>
          <w:sz w:val="24"/>
          <w:szCs w:val="20"/>
        </w:rPr>
        <w:t>、</w:t>
      </w:r>
      <w:r>
        <w:rPr>
          <w:rFonts w:hint="eastAsia" w:ascii="仿宋" w:hAnsi="仿宋" w:eastAsia="仿宋" w:cs="宋体"/>
          <w:kern w:val="0"/>
          <w:sz w:val="24"/>
        </w:rPr>
        <w:t>收费项目、收费标准、收费方式</w:t>
      </w:r>
      <w:r>
        <w:rPr>
          <w:rFonts w:ascii="仿宋" w:hAnsi="仿宋" w:eastAsia="仿宋"/>
          <w:bCs/>
          <w:kern w:val="0"/>
          <w:sz w:val="24"/>
          <w:szCs w:val="20"/>
        </w:rPr>
        <w:t>或产品说明书其他条款进行补充、说明和修改</w:t>
      </w:r>
      <w:r>
        <w:rPr>
          <w:rFonts w:hint="eastAsia" w:ascii="仿宋" w:hAnsi="仿宋" w:eastAsia="仿宋"/>
          <w:bCs/>
          <w:kern w:val="0"/>
          <w:sz w:val="24"/>
          <w:szCs w:val="20"/>
        </w:rPr>
        <w:t>。</w:t>
      </w:r>
    </w:p>
    <w:p w14:paraId="39FD8968">
      <w:pPr>
        <w:numPr>
          <w:ilvl w:val="0"/>
          <w:numId w:val="3"/>
        </w:numPr>
        <w:adjustRightInd w:val="0"/>
        <w:snapToGrid w:val="0"/>
        <w:ind w:firstLine="482" w:firstLineChars="200"/>
        <w:rPr>
          <w:rFonts w:ascii="仿宋" w:hAnsi="仿宋" w:eastAsia="仿宋"/>
          <w:b/>
          <w:kern w:val="0"/>
          <w:sz w:val="24"/>
          <w:szCs w:val="20"/>
        </w:rPr>
      </w:pPr>
      <w:r>
        <w:rPr>
          <w:rFonts w:hint="eastAsia" w:ascii="仿宋" w:hAnsi="仿宋" w:eastAsia="仿宋"/>
          <w:b/>
          <w:bCs/>
          <w:kern w:val="0"/>
          <w:sz w:val="24"/>
          <w:szCs w:val="20"/>
        </w:rPr>
        <w:t>投资者同意，产品管理人通过上述方式及频率进行信息披露，视为完全履行信息披露义务，投资者</w:t>
      </w:r>
      <w:r>
        <w:rPr>
          <w:rFonts w:hint="eastAsia" w:ascii="仿宋" w:hAnsi="仿宋" w:eastAsia="仿宋"/>
          <w:b/>
          <w:kern w:val="0"/>
          <w:sz w:val="24"/>
          <w:szCs w:val="20"/>
        </w:rPr>
        <w:t>应及时主动查询产品相关信息，</w:t>
      </w:r>
      <w:r>
        <w:rPr>
          <w:rFonts w:ascii="仿宋" w:hAnsi="仿宋" w:eastAsia="仿宋"/>
          <w:b/>
          <w:kern w:val="0"/>
          <w:sz w:val="24"/>
          <w:szCs w:val="20"/>
        </w:rPr>
        <w:t>若</w:t>
      </w:r>
      <w:r>
        <w:rPr>
          <w:rFonts w:hint="eastAsia" w:ascii="仿宋" w:hAnsi="仿宋" w:eastAsia="仿宋"/>
          <w:b/>
          <w:kern w:val="0"/>
          <w:sz w:val="24"/>
          <w:szCs w:val="20"/>
        </w:rPr>
        <w:t>预留的有效联系方式发生变更的，应及时通知销售机构。若因投资者未及时查询，或由于通讯故障、非产品管理人原因的系统故障以及其他不可抗力等因素的影响，致使投资者无法及时了解产品信息，因此而产生的全部责任和风险，由投资者自行承担。</w:t>
      </w:r>
    </w:p>
    <w:p w14:paraId="0FCEFAB7">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八、风险揭示</w:t>
      </w:r>
    </w:p>
    <w:p w14:paraId="61A08499">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（一）风险揭示</w:t>
      </w:r>
    </w:p>
    <w:p w14:paraId="2971AB6B">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本产品不保证本金及收益</w:t>
      </w:r>
      <w:r>
        <w:rPr>
          <w:rFonts w:hint="eastAsia" w:ascii="仿宋" w:hAnsi="仿宋" w:eastAsia="仿宋"/>
          <w:kern w:val="0"/>
          <w:sz w:val="24"/>
          <w:szCs w:val="20"/>
        </w:rPr>
        <w:t>，</w:t>
      </w:r>
      <w:r>
        <w:rPr>
          <w:rFonts w:ascii="仿宋" w:hAnsi="仿宋" w:eastAsia="仿宋"/>
          <w:kern w:val="0"/>
          <w:sz w:val="24"/>
          <w:szCs w:val="20"/>
        </w:rPr>
        <w:t>无预期收益率</w:t>
      </w:r>
      <w:r>
        <w:rPr>
          <w:rFonts w:hint="eastAsia" w:ascii="仿宋" w:hAnsi="仿宋" w:eastAsia="仿宋"/>
          <w:kern w:val="0"/>
          <w:sz w:val="24"/>
          <w:szCs w:val="20"/>
        </w:rPr>
        <w:t>，</w:t>
      </w:r>
      <w:r>
        <w:rPr>
          <w:rFonts w:ascii="仿宋" w:hAnsi="仿宋" w:eastAsia="仿宋"/>
          <w:kern w:val="0"/>
          <w:sz w:val="24"/>
          <w:szCs w:val="20"/>
        </w:rPr>
        <w:t>投资者应充分认识以下投资风险</w:t>
      </w:r>
      <w:r>
        <w:rPr>
          <w:rFonts w:hint="eastAsia" w:ascii="仿宋" w:hAnsi="仿宋" w:eastAsia="仿宋"/>
          <w:kern w:val="0"/>
          <w:sz w:val="24"/>
          <w:szCs w:val="20"/>
        </w:rPr>
        <w:t>，</w:t>
      </w:r>
      <w:r>
        <w:rPr>
          <w:rFonts w:ascii="仿宋" w:hAnsi="仿宋" w:eastAsia="仿宋"/>
          <w:kern w:val="0"/>
          <w:sz w:val="24"/>
          <w:szCs w:val="20"/>
        </w:rPr>
        <w:t>谨慎投资</w:t>
      </w:r>
      <w:r>
        <w:rPr>
          <w:rFonts w:hint="eastAsia" w:ascii="仿宋" w:hAnsi="仿宋" w:eastAsia="仿宋"/>
          <w:kern w:val="0"/>
          <w:sz w:val="24"/>
          <w:szCs w:val="20"/>
        </w:rPr>
        <w:t>。</w:t>
      </w:r>
    </w:p>
    <w:p w14:paraId="09E6B86B">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本产品可能面临的风险</w:t>
      </w:r>
      <w:r>
        <w:rPr>
          <w:rFonts w:hint="eastAsia" w:ascii="仿宋" w:hAnsi="仿宋" w:eastAsia="仿宋"/>
          <w:kern w:val="0"/>
          <w:sz w:val="24"/>
          <w:szCs w:val="20"/>
        </w:rPr>
        <w:t>，</w:t>
      </w:r>
      <w:r>
        <w:rPr>
          <w:rFonts w:ascii="仿宋" w:hAnsi="仿宋" w:eastAsia="仿宋"/>
          <w:kern w:val="0"/>
          <w:sz w:val="24"/>
          <w:szCs w:val="20"/>
        </w:rPr>
        <w:t>包括但不限于</w:t>
      </w:r>
      <w:r>
        <w:rPr>
          <w:rFonts w:hint="eastAsia" w:ascii="仿宋" w:hAnsi="仿宋" w:eastAsia="仿宋"/>
          <w:kern w:val="0"/>
          <w:sz w:val="24"/>
          <w:szCs w:val="20"/>
        </w:rPr>
        <w:t>理财本金与收益风险、理财产品不成立风险、政策风险、信用风险、市场风险、流动性风险、提前终止及再投资风险、延期风险、交易对手风险、管理人风险、托管风险、税务风险、信息传递风险、不可抗力风险、代销风险、关联交易风险等，</w:t>
      </w:r>
      <w:r>
        <w:rPr>
          <w:rFonts w:hint="eastAsia" w:ascii="仿宋" w:hAnsi="仿宋" w:eastAsia="仿宋"/>
          <w:b/>
          <w:bCs/>
          <w:kern w:val="0"/>
          <w:sz w:val="24"/>
          <w:szCs w:val="20"/>
        </w:rPr>
        <w:t>产品风险揭示内容详见产品风险揭示书</w:t>
      </w:r>
      <w:r>
        <w:rPr>
          <w:rFonts w:hint="eastAsia" w:ascii="仿宋" w:hAnsi="仿宋" w:eastAsia="仿宋"/>
          <w:kern w:val="0"/>
          <w:sz w:val="24"/>
          <w:szCs w:val="20"/>
        </w:rPr>
        <w:t>。</w:t>
      </w:r>
    </w:p>
    <w:p w14:paraId="05E569B4">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（二）产品风险等级</w:t>
      </w:r>
    </w:p>
    <w:p w14:paraId="4BFBAD27">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根据徽银理财有限责任公司内部评级标准</w:t>
      </w:r>
      <w:r>
        <w:rPr>
          <w:rFonts w:hint="eastAsia" w:ascii="仿宋" w:hAnsi="仿宋" w:eastAsia="仿宋"/>
          <w:kern w:val="0"/>
          <w:sz w:val="24"/>
          <w:szCs w:val="20"/>
        </w:rPr>
        <w:t>，</w:t>
      </w:r>
      <w:r>
        <w:rPr>
          <w:rFonts w:ascii="仿宋" w:hAnsi="仿宋" w:eastAsia="仿宋"/>
          <w:kern w:val="0"/>
          <w:sz w:val="24"/>
          <w:szCs w:val="20"/>
        </w:rPr>
        <w:t>评定本产品风险级别为</w:t>
      </w:r>
      <w:r>
        <w:rPr>
          <w:rFonts w:hint="eastAsia" w:ascii="仿宋" w:hAnsi="仿宋" w:eastAsia="仿宋"/>
          <w:kern w:val="0"/>
          <w:sz w:val="24"/>
          <w:szCs w:val="20"/>
        </w:rPr>
        <w:t>二</w:t>
      </w:r>
      <w:r>
        <w:rPr>
          <w:rFonts w:ascii="仿宋" w:hAnsi="仿宋" w:eastAsia="仿宋"/>
          <w:kern w:val="0"/>
          <w:sz w:val="24"/>
          <w:szCs w:val="20"/>
        </w:rPr>
        <w:t>级</w:t>
      </w:r>
      <w:r>
        <w:rPr>
          <w:rFonts w:hint="eastAsia" w:ascii="仿宋" w:hAnsi="仿宋" w:eastAsia="仿宋"/>
          <w:bCs/>
          <w:kern w:val="0"/>
          <w:sz w:val="24"/>
          <w:szCs w:val="20"/>
        </w:rPr>
        <w:t>（</w:t>
      </w:r>
      <w:r>
        <w:rPr>
          <w:rFonts w:ascii="仿宋" w:hAnsi="仿宋" w:eastAsia="仿宋" w:cs="仿宋"/>
          <w:kern w:val="0"/>
          <w:sz w:val="24"/>
        </w:rPr>
        <w:t>本评级为产品管理人内部评级</w:t>
      </w:r>
      <w:r>
        <w:rPr>
          <w:rFonts w:hint="eastAsia" w:ascii="仿宋" w:hAnsi="仿宋" w:eastAsia="仿宋" w:cs="仿宋"/>
          <w:kern w:val="0"/>
          <w:sz w:val="24"/>
        </w:rPr>
        <w:t>，仅</w:t>
      </w:r>
      <w:r>
        <w:rPr>
          <w:rFonts w:hint="eastAsia" w:ascii="仿宋" w:hAnsi="仿宋" w:eastAsia="仿宋" w:cs="仿宋"/>
          <w:kern w:val="0"/>
          <w:sz w:val="24"/>
          <w:highlight w:val="none"/>
        </w:rPr>
        <w:t>供投资者参考。</w:t>
      </w:r>
      <w:r>
        <w:rPr>
          <w:rFonts w:hint="eastAsia" w:ascii="仿宋" w:hAnsi="仿宋" w:eastAsia="仿宋"/>
          <w:b/>
          <w:kern w:val="0"/>
          <w:sz w:val="24"/>
          <w:szCs w:val="20"/>
          <w:highlight w:val="none"/>
        </w:rPr>
        <w:t>本产品通过代理销售机构渠道销售的，理财产品评级应当以代理销售机构最终披露的评级结果为准</w:t>
      </w:r>
      <w:r>
        <w:rPr>
          <w:rFonts w:hint="eastAsia" w:ascii="仿宋" w:hAnsi="仿宋" w:eastAsia="仿宋"/>
          <w:b/>
          <w:kern w:val="0"/>
          <w:sz w:val="24"/>
          <w:szCs w:val="20"/>
          <w:highlight w:val="none"/>
          <w:lang w:eastAsia="zh-CN"/>
        </w:rPr>
        <w:t>。</w:t>
      </w:r>
      <w:r>
        <w:rPr>
          <w:rFonts w:hint="eastAsia" w:ascii="仿宋" w:hAnsi="仿宋" w:eastAsia="仿宋"/>
          <w:b/>
          <w:kern w:val="0"/>
          <w:sz w:val="24"/>
          <w:szCs w:val="20"/>
          <w:highlight w:val="none"/>
          <w:lang w:val="en-US" w:eastAsia="zh-CN"/>
        </w:rPr>
        <w:t>理财</w:t>
      </w:r>
      <w:r>
        <w:rPr>
          <w:rFonts w:hint="eastAsia" w:ascii="仿宋" w:hAnsi="仿宋" w:eastAsia="仿宋"/>
          <w:b/>
          <w:kern w:val="0"/>
          <w:sz w:val="24"/>
          <w:szCs w:val="20"/>
          <w:highlight w:val="none"/>
          <w:lang w:val="en-US"/>
        </w:rPr>
        <w:t>产品风险等级可能因市场或运作情况等影响而发生调整</w:t>
      </w:r>
      <w:r>
        <w:rPr>
          <w:rFonts w:hint="eastAsia" w:ascii="仿宋" w:hAnsi="仿宋" w:eastAsia="仿宋"/>
          <w:b/>
          <w:kern w:val="0"/>
          <w:sz w:val="24"/>
          <w:szCs w:val="20"/>
          <w:highlight w:val="none"/>
          <w:lang w:val="en-US" w:eastAsia="zh-CN"/>
        </w:rPr>
        <w:t>，投资者应及时关注理财产品风险等级的变化</w:t>
      </w:r>
      <w:r>
        <w:rPr>
          <w:rFonts w:hint="eastAsia" w:ascii="仿宋" w:hAnsi="仿宋" w:eastAsia="仿宋"/>
          <w:bCs/>
          <w:kern w:val="0"/>
          <w:sz w:val="24"/>
          <w:szCs w:val="20"/>
          <w:highlight w:val="none"/>
        </w:rPr>
        <w:t>）。</w:t>
      </w:r>
    </w:p>
    <w:p w14:paraId="0710BF89">
      <w:pPr>
        <w:adjustRightInd w:val="0"/>
        <w:snapToGrid w:val="0"/>
        <w:jc w:val="center"/>
        <w:rPr>
          <w:rFonts w:ascii="仿宋" w:hAnsi="仿宋" w:eastAsia="仿宋"/>
          <w:b/>
          <w:kern w:val="0"/>
          <w:sz w:val="24"/>
          <w:szCs w:val="20"/>
        </w:rPr>
      </w:pPr>
      <w:r>
        <w:rPr>
          <w:rFonts w:ascii="仿宋" w:hAnsi="仿宋" w:eastAsia="仿宋"/>
          <w:b/>
          <w:kern w:val="0"/>
          <w:sz w:val="24"/>
          <w:szCs w:val="20"/>
        </w:rPr>
        <w:t>徽银理财有限责任公司产品风险评级表</w:t>
      </w:r>
    </w:p>
    <w:tbl>
      <w:tblPr>
        <w:tblStyle w:val="6"/>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892"/>
        <w:gridCol w:w="4305"/>
      </w:tblGrid>
      <w:tr w14:paraId="0A24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0568E032">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风险级别</w:t>
            </w:r>
          </w:p>
        </w:tc>
        <w:tc>
          <w:tcPr>
            <w:tcW w:w="1118" w:type="pct"/>
            <w:vAlign w:val="center"/>
          </w:tcPr>
          <w:p w14:paraId="6D410B36">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风险程度</w:t>
            </w:r>
          </w:p>
        </w:tc>
        <w:tc>
          <w:tcPr>
            <w:tcW w:w="2544" w:type="pct"/>
            <w:vAlign w:val="center"/>
          </w:tcPr>
          <w:p w14:paraId="4FF758E8">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风险描述</w:t>
            </w:r>
          </w:p>
        </w:tc>
      </w:tr>
      <w:tr w14:paraId="6A9F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2EAB41D5">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一级</w:t>
            </w:r>
          </w:p>
        </w:tc>
        <w:tc>
          <w:tcPr>
            <w:tcW w:w="1118" w:type="pct"/>
            <w:vAlign w:val="center"/>
          </w:tcPr>
          <w:p w14:paraId="7F7BE1BC">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低风险</w:t>
            </w:r>
          </w:p>
        </w:tc>
        <w:tc>
          <w:tcPr>
            <w:tcW w:w="2544" w:type="pct"/>
            <w:vAlign w:val="center"/>
          </w:tcPr>
          <w:p w14:paraId="44D21CD3">
            <w:pPr>
              <w:adjustRightInd w:val="0"/>
              <w:snapToGrid w:val="0"/>
              <w:rPr>
                <w:rFonts w:ascii="仿宋" w:hAnsi="仿宋" w:eastAsia="仿宋" w:cs="宋体"/>
                <w:kern w:val="0"/>
                <w:sz w:val="24"/>
              </w:rPr>
            </w:pPr>
            <w:r>
              <w:rPr>
                <w:rFonts w:hint="eastAsia" w:ascii="仿宋" w:hAnsi="仿宋" w:eastAsia="仿宋" w:cs="宋体"/>
                <w:kern w:val="0"/>
                <w:sz w:val="24"/>
              </w:rPr>
              <w:t>发生投资损失可能性很小，客户获得正收益可靠性很高</w:t>
            </w:r>
          </w:p>
        </w:tc>
      </w:tr>
      <w:tr w14:paraId="52CF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241DE135">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二级</w:t>
            </w:r>
          </w:p>
        </w:tc>
        <w:tc>
          <w:tcPr>
            <w:tcW w:w="1118" w:type="pct"/>
            <w:vAlign w:val="center"/>
          </w:tcPr>
          <w:p w14:paraId="04C4FC0F">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中低风险</w:t>
            </w:r>
          </w:p>
        </w:tc>
        <w:tc>
          <w:tcPr>
            <w:tcW w:w="2544" w:type="pct"/>
            <w:vAlign w:val="center"/>
          </w:tcPr>
          <w:p w14:paraId="7B164F2F">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发生投资损失可能性较小，客户获得正收益可靠性较高</w:t>
            </w:r>
          </w:p>
        </w:tc>
      </w:tr>
      <w:tr w14:paraId="3117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514D754F">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三级</w:t>
            </w:r>
          </w:p>
        </w:tc>
        <w:tc>
          <w:tcPr>
            <w:tcW w:w="1118" w:type="pct"/>
            <w:vAlign w:val="center"/>
          </w:tcPr>
          <w:p w14:paraId="036F9294">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中等风险</w:t>
            </w:r>
          </w:p>
        </w:tc>
        <w:tc>
          <w:tcPr>
            <w:tcW w:w="2544" w:type="pct"/>
            <w:vAlign w:val="center"/>
          </w:tcPr>
          <w:p w14:paraId="052DB5A8">
            <w:pPr>
              <w:widowControl/>
              <w:adjustRightInd w:val="0"/>
              <w:snapToGrid w:val="0"/>
              <w:rPr>
                <w:rFonts w:ascii="仿宋" w:hAnsi="仿宋" w:eastAsia="仿宋" w:cs="宋体"/>
                <w:kern w:val="0"/>
                <w:sz w:val="24"/>
              </w:rPr>
            </w:pPr>
            <w:r>
              <w:rPr>
                <w:rFonts w:hint="eastAsia" w:ascii="仿宋" w:hAnsi="仿宋" w:eastAsia="仿宋" w:cs="宋体"/>
                <w:kern w:val="0"/>
                <w:sz w:val="24"/>
              </w:rPr>
              <w:t>可能发生投资损失，但幅度较小</w:t>
            </w:r>
          </w:p>
        </w:tc>
      </w:tr>
      <w:tr w14:paraId="55F0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03C996D0">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四级</w:t>
            </w:r>
          </w:p>
        </w:tc>
        <w:tc>
          <w:tcPr>
            <w:tcW w:w="1118" w:type="pct"/>
            <w:vAlign w:val="center"/>
          </w:tcPr>
          <w:p w14:paraId="2D66A132">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较高风险</w:t>
            </w:r>
          </w:p>
        </w:tc>
        <w:tc>
          <w:tcPr>
            <w:tcW w:w="2544" w:type="pct"/>
            <w:vAlign w:val="center"/>
          </w:tcPr>
          <w:p w14:paraId="36D8658B">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发生投资损失的幅度、可能性较高，到期兑付存在一定不确定性</w:t>
            </w:r>
          </w:p>
        </w:tc>
      </w:tr>
      <w:tr w14:paraId="7A06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37" w:type="pct"/>
            <w:vAlign w:val="center"/>
          </w:tcPr>
          <w:p w14:paraId="12C1B6AC">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五级</w:t>
            </w:r>
          </w:p>
        </w:tc>
        <w:tc>
          <w:tcPr>
            <w:tcW w:w="1118" w:type="pct"/>
            <w:vAlign w:val="center"/>
          </w:tcPr>
          <w:p w14:paraId="050AF0C0">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高风险</w:t>
            </w:r>
          </w:p>
        </w:tc>
        <w:tc>
          <w:tcPr>
            <w:tcW w:w="2544" w:type="pct"/>
            <w:vAlign w:val="center"/>
          </w:tcPr>
          <w:p w14:paraId="294380DC">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发生投资损失的幅度、可能性高，到期兑付不确定性高</w:t>
            </w:r>
          </w:p>
        </w:tc>
      </w:tr>
    </w:tbl>
    <w:p w14:paraId="504B2DF4">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 xml:space="preserve">九、重要提示 </w:t>
      </w:r>
    </w:p>
    <w:p w14:paraId="5254270E">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根据《关于规范金融机构资产管理业务的指导意见》，“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固定收益类理财产品。</w:t>
      </w:r>
    </w:p>
    <w:p w14:paraId="03073170">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本产品为非保本净值型产品，无预期收益率，其业绩表现将随市场波动具有不确定性。特提醒投资者关注，业绩比较基准并不代表实际收益率。产品管理人不对本产品承诺保本或保证收益，投资者所能获得的最终收益以产品管理人实际支付的为准。</w:t>
      </w:r>
    </w:p>
    <w:p w14:paraId="448BC822">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徽银理财有限责任公司应就理财产品销售过程中获知的投资者信息承担保密义务。非经</w:t>
      </w:r>
      <w:r>
        <w:rPr>
          <w:rFonts w:ascii="仿宋" w:hAnsi="仿宋" w:eastAsia="仿宋"/>
          <w:b/>
          <w:kern w:val="0"/>
          <w:sz w:val="24"/>
          <w:szCs w:val="20"/>
        </w:rPr>
        <w:t>投资者</w:t>
      </w:r>
      <w:r>
        <w:rPr>
          <w:rFonts w:hint="eastAsia" w:ascii="仿宋" w:hAnsi="仿宋" w:eastAsia="仿宋"/>
          <w:b/>
          <w:kern w:val="0"/>
          <w:sz w:val="24"/>
          <w:szCs w:val="20"/>
        </w:rPr>
        <w:t>事先许可，不得向第三方披露，但法律、行政法规和监管机构另有规定的除外。</w:t>
      </w:r>
      <w:r>
        <w:rPr>
          <w:rFonts w:ascii="仿宋" w:hAnsi="仿宋" w:eastAsia="仿宋"/>
          <w:b/>
          <w:kern w:val="0"/>
          <w:sz w:val="24"/>
          <w:szCs w:val="20"/>
        </w:rPr>
        <w:t>投资者</w:t>
      </w:r>
      <w:r>
        <w:rPr>
          <w:rFonts w:hint="eastAsia" w:ascii="仿宋" w:hAnsi="仿宋" w:eastAsia="仿宋"/>
          <w:b/>
          <w:kern w:val="0"/>
          <w:sz w:val="24"/>
          <w:szCs w:val="20"/>
        </w:rPr>
        <w:t>在此同意并授权，徽银理财有限责任公司可根据监管要求，为理财产品登记等需要，向登记部门或监管机构提供投资者相关信息。</w:t>
      </w:r>
    </w:p>
    <w:p w14:paraId="1662DC4C">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徽银理财有限责任公司将</w:t>
      </w:r>
      <w:r>
        <w:rPr>
          <w:rFonts w:hint="eastAsia" w:ascii="仿宋" w:hAnsi="仿宋" w:eastAsia="仿宋"/>
          <w:b/>
          <w:kern w:val="0"/>
          <w:sz w:val="24"/>
          <w:szCs w:val="20"/>
        </w:rPr>
        <w:t>恪守勤勉尽责的原则，合理配置资产组合，为投资者提供专业化的投资服务。投资者应密切关注与本产品有关的信息披露，以免造成不必要的损失。</w:t>
      </w:r>
    </w:p>
    <w:p w14:paraId="1E562D3B">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投资者对本理财产品有任何建议、意见或投诉，</w:t>
      </w:r>
      <w:r>
        <w:rPr>
          <w:rFonts w:hint="eastAsia" w:ascii="仿宋" w:hAnsi="仿宋" w:eastAsia="仿宋"/>
          <w:b/>
          <w:kern w:val="0"/>
          <w:sz w:val="24"/>
          <w:szCs w:val="20"/>
        </w:rPr>
        <w:t>请</w:t>
      </w:r>
      <w:r>
        <w:rPr>
          <w:rFonts w:ascii="仿宋" w:hAnsi="仿宋" w:eastAsia="仿宋"/>
          <w:b/>
          <w:kern w:val="0"/>
          <w:sz w:val="24"/>
          <w:szCs w:val="20"/>
        </w:rPr>
        <w:t>联系</w:t>
      </w:r>
      <w:r>
        <w:rPr>
          <w:rFonts w:hint="eastAsia" w:ascii="仿宋" w:hAnsi="仿宋" w:eastAsia="仿宋"/>
          <w:b/>
          <w:kern w:val="0"/>
          <w:sz w:val="24"/>
          <w:szCs w:val="20"/>
        </w:rPr>
        <w:t>产品销售机构营业网点的工作人员，或拨打产品销售机构24小时客户服务电话。徽银理财有限责任公司与产品销售机构将以诚实守信、勤勉尽责的态度竭诚为投资者提供专业的服务。</w:t>
      </w:r>
    </w:p>
    <w:p w14:paraId="18AE9257">
      <w:pPr>
        <w:ind w:firstLine="480" w:firstLineChars="200"/>
        <w:rPr>
          <w:rFonts w:ascii="仿宋" w:hAnsi="仿宋" w:eastAsia="仿宋"/>
          <w:bCs/>
          <w:kern w:val="0"/>
          <w:sz w:val="24"/>
          <w:szCs w:val="20"/>
        </w:rPr>
      </w:pPr>
    </w:p>
    <w:p w14:paraId="01D89884">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（以下无正文）</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B08F3">
    <w:pPr>
      <w:pStyle w:val="3"/>
      <w:jc w:val="center"/>
    </w:pPr>
    <w:r>
      <w:rPr>
        <w:rFonts w:hint="eastAsia"/>
        <w:b/>
        <w:i/>
        <w:sz w:val="15"/>
        <w:szCs w:val="15"/>
      </w:rPr>
      <w:t>理财产品过往业绩不代表其未来表现，不等于理财产品实际收益，投资须谨慎；理财非存款、产品有风险、投资须谨慎！</w:t>
    </w:r>
  </w:p>
  <w:p w14:paraId="494885EF">
    <w:pPr>
      <w:pStyle w:val="3"/>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8DEBE">
    <w:pPr>
      <w:pStyle w:val="4"/>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E2CDC"/>
    <w:multiLevelType w:val="singleLevel"/>
    <w:tmpl w:val="FCCE2CDC"/>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E99F6DB"/>
    <w:multiLevelType w:val="singleLevel"/>
    <w:tmpl w:val="7E99F6DB"/>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172A27"/>
    <w:rsid w:val="00013765"/>
    <w:rsid w:val="000138E2"/>
    <w:rsid w:val="00014E4C"/>
    <w:rsid w:val="00014F9A"/>
    <w:rsid w:val="000150FD"/>
    <w:rsid w:val="00016764"/>
    <w:rsid w:val="0002508C"/>
    <w:rsid w:val="00032311"/>
    <w:rsid w:val="00033242"/>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0FE0"/>
    <w:rsid w:val="00091C2D"/>
    <w:rsid w:val="000A19A9"/>
    <w:rsid w:val="000A7FF1"/>
    <w:rsid w:val="000B3806"/>
    <w:rsid w:val="000C35FB"/>
    <w:rsid w:val="000C38B5"/>
    <w:rsid w:val="000C4136"/>
    <w:rsid w:val="000C5B9F"/>
    <w:rsid w:val="000C7FC5"/>
    <w:rsid w:val="000D02C3"/>
    <w:rsid w:val="000D1145"/>
    <w:rsid w:val="000D6552"/>
    <w:rsid w:val="000D772D"/>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478D0"/>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1320"/>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A6B6A"/>
    <w:rsid w:val="002B01EB"/>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1D36"/>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C18"/>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201EA"/>
    <w:rsid w:val="00430A77"/>
    <w:rsid w:val="0043103F"/>
    <w:rsid w:val="00431CC5"/>
    <w:rsid w:val="00434CF0"/>
    <w:rsid w:val="00440A10"/>
    <w:rsid w:val="00440CFA"/>
    <w:rsid w:val="004415D7"/>
    <w:rsid w:val="0044620C"/>
    <w:rsid w:val="00446589"/>
    <w:rsid w:val="00452C66"/>
    <w:rsid w:val="00453776"/>
    <w:rsid w:val="004538E4"/>
    <w:rsid w:val="004613A2"/>
    <w:rsid w:val="004651BF"/>
    <w:rsid w:val="00470814"/>
    <w:rsid w:val="00473FFD"/>
    <w:rsid w:val="00474CE8"/>
    <w:rsid w:val="00483674"/>
    <w:rsid w:val="00492AEE"/>
    <w:rsid w:val="004A060E"/>
    <w:rsid w:val="004A3067"/>
    <w:rsid w:val="004A4BC0"/>
    <w:rsid w:val="004A61C9"/>
    <w:rsid w:val="004A738B"/>
    <w:rsid w:val="004B3CBF"/>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472E0"/>
    <w:rsid w:val="00550615"/>
    <w:rsid w:val="0056164C"/>
    <w:rsid w:val="005647E1"/>
    <w:rsid w:val="005671CD"/>
    <w:rsid w:val="005707EC"/>
    <w:rsid w:val="00574E34"/>
    <w:rsid w:val="005775E7"/>
    <w:rsid w:val="005776F1"/>
    <w:rsid w:val="00581F20"/>
    <w:rsid w:val="005820CA"/>
    <w:rsid w:val="00583366"/>
    <w:rsid w:val="00587204"/>
    <w:rsid w:val="00591990"/>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44FA"/>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661E"/>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1DE2"/>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649"/>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115D"/>
    <w:rsid w:val="00BE1B09"/>
    <w:rsid w:val="00BE2841"/>
    <w:rsid w:val="00BE2918"/>
    <w:rsid w:val="00BE303D"/>
    <w:rsid w:val="00BE4832"/>
    <w:rsid w:val="00BF059E"/>
    <w:rsid w:val="00BF0E07"/>
    <w:rsid w:val="00C000CB"/>
    <w:rsid w:val="00C0012C"/>
    <w:rsid w:val="00C01AB3"/>
    <w:rsid w:val="00C04273"/>
    <w:rsid w:val="00C12E23"/>
    <w:rsid w:val="00C12E73"/>
    <w:rsid w:val="00C21607"/>
    <w:rsid w:val="00C23359"/>
    <w:rsid w:val="00C23A1E"/>
    <w:rsid w:val="00C23E9B"/>
    <w:rsid w:val="00C31C33"/>
    <w:rsid w:val="00C31D06"/>
    <w:rsid w:val="00C31FAC"/>
    <w:rsid w:val="00C33C3D"/>
    <w:rsid w:val="00C44C79"/>
    <w:rsid w:val="00C44F34"/>
    <w:rsid w:val="00C47D77"/>
    <w:rsid w:val="00C562EF"/>
    <w:rsid w:val="00C62D80"/>
    <w:rsid w:val="00C64E41"/>
    <w:rsid w:val="00C701CC"/>
    <w:rsid w:val="00C71FF4"/>
    <w:rsid w:val="00C75D60"/>
    <w:rsid w:val="00C771CD"/>
    <w:rsid w:val="00C80467"/>
    <w:rsid w:val="00C8093A"/>
    <w:rsid w:val="00C8122A"/>
    <w:rsid w:val="00C82FCF"/>
    <w:rsid w:val="00C844C3"/>
    <w:rsid w:val="00C8529A"/>
    <w:rsid w:val="00C85EFA"/>
    <w:rsid w:val="00C908D1"/>
    <w:rsid w:val="00C9226A"/>
    <w:rsid w:val="00C96F3F"/>
    <w:rsid w:val="00CA22BC"/>
    <w:rsid w:val="00CA264B"/>
    <w:rsid w:val="00CA4B5D"/>
    <w:rsid w:val="00CA4CDB"/>
    <w:rsid w:val="00CA6F42"/>
    <w:rsid w:val="00CB2662"/>
    <w:rsid w:val="00CB281F"/>
    <w:rsid w:val="00CB34B0"/>
    <w:rsid w:val="00CB6A3F"/>
    <w:rsid w:val="00CC0271"/>
    <w:rsid w:val="00CC1BF6"/>
    <w:rsid w:val="00CC27CD"/>
    <w:rsid w:val="00CC36C8"/>
    <w:rsid w:val="00CC3974"/>
    <w:rsid w:val="00CC4A47"/>
    <w:rsid w:val="00CC5BBD"/>
    <w:rsid w:val="00CC6E2A"/>
    <w:rsid w:val="00CD453E"/>
    <w:rsid w:val="00CD4B5C"/>
    <w:rsid w:val="00CE04F6"/>
    <w:rsid w:val="00CE0507"/>
    <w:rsid w:val="00CE0FA8"/>
    <w:rsid w:val="00CE26EA"/>
    <w:rsid w:val="00CE3E60"/>
    <w:rsid w:val="00CE71EE"/>
    <w:rsid w:val="00CF0F6F"/>
    <w:rsid w:val="00CF7E6D"/>
    <w:rsid w:val="00D04AF5"/>
    <w:rsid w:val="00D06E79"/>
    <w:rsid w:val="00D1236A"/>
    <w:rsid w:val="00D15936"/>
    <w:rsid w:val="00D1741D"/>
    <w:rsid w:val="00D26792"/>
    <w:rsid w:val="00D27EFE"/>
    <w:rsid w:val="00D30468"/>
    <w:rsid w:val="00D34D36"/>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85DB4"/>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1C6B93"/>
    <w:rsid w:val="053232A4"/>
    <w:rsid w:val="05D9510C"/>
    <w:rsid w:val="06240D51"/>
    <w:rsid w:val="06317D27"/>
    <w:rsid w:val="06A967F3"/>
    <w:rsid w:val="06E72FC7"/>
    <w:rsid w:val="07771AC5"/>
    <w:rsid w:val="08774AFA"/>
    <w:rsid w:val="08844E87"/>
    <w:rsid w:val="09E75D02"/>
    <w:rsid w:val="0A147400"/>
    <w:rsid w:val="0A6B04A7"/>
    <w:rsid w:val="0A992C31"/>
    <w:rsid w:val="0ABB4C67"/>
    <w:rsid w:val="0B0C36FB"/>
    <w:rsid w:val="0B1C1638"/>
    <w:rsid w:val="0C0B48BD"/>
    <w:rsid w:val="0C8A203B"/>
    <w:rsid w:val="0E7D3980"/>
    <w:rsid w:val="0E9E1C89"/>
    <w:rsid w:val="0EBE7C94"/>
    <w:rsid w:val="0EC071AB"/>
    <w:rsid w:val="0F1B597D"/>
    <w:rsid w:val="0F257C27"/>
    <w:rsid w:val="0F772856"/>
    <w:rsid w:val="0F9D0EBF"/>
    <w:rsid w:val="0FA71A6B"/>
    <w:rsid w:val="100E1D09"/>
    <w:rsid w:val="105E465B"/>
    <w:rsid w:val="10FD20D0"/>
    <w:rsid w:val="122521E4"/>
    <w:rsid w:val="12697190"/>
    <w:rsid w:val="132B13FE"/>
    <w:rsid w:val="13555AA7"/>
    <w:rsid w:val="1379229B"/>
    <w:rsid w:val="144405BC"/>
    <w:rsid w:val="14946947"/>
    <w:rsid w:val="14C83372"/>
    <w:rsid w:val="14FE4A14"/>
    <w:rsid w:val="151B2514"/>
    <w:rsid w:val="15E617EE"/>
    <w:rsid w:val="17B14480"/>
    <w:rsid w:val="18A734E7"/>
    <w:rsid w:val="19060ABD"/>
    <w:rsid w:val="1A4A1D89"/>
    <w:rsid w:val="1A623675"/>
    <w:rsid w:val="1A624564"/>
    <w:rsid w:val="1B1C4E35"/>
    <w:rsid w:val="1B634A50"/>
    <w:rsid w:val="1BA15769"/>
    <w:rsid w:val="1C301D8E"/>
    <w:rsid w:val="1E020C45"/>
    <w:rsid w:val="1ED52BD1"/>
    <w:rsid w:val="1F5133E1"/>
    <w:rsid w:val="20292340"/>
    <w:rsid w:val="20CD16DC"/>
    <w:rsid w:val="21544F3F"/>
    <w:rsid w:val="21892C15"/>
    <w:rsid w:val="229144C4"/>
    <w:rsid w:val="22AE0761"/>
    <w:rsid w:val="233F5C10"/>
    <w:rsid w:val="23B0705C"/>
    <w:rsid w:val="243F40F2"/>
    <w:rsid w:val="25023362"/>
    <w:rsid w:val="251A5A39"/>
    <w:rsid w:val="25304F5F"/>
    <w:rsid w:val="259B43BD"/>
    <w:rsid w:val="26162F6E"/>
    <w:rsid w:val="26850645"/>
    <w:rsid w:val="26BB58C6"/>
    <w:rsid w:val="273E15BB"/>
    <w:rsid w:val="28A1635E"/>
    <w:rsid w:val="29EF4208"/>
    <w:rsid w:val="2AF34838"/>
    <w:rsid w:val="2BE90B33"/>
    <w:rsid w:val="2C617F85"/>
    <w:rsid w:val="2D8C6F09"/>
    <w:rsid w:val="2DA84FB0"/>
    <w:rsid w:val="2DDA058B"/>
    <w:rsid w:val="2E7B7CD3"/>
    <w:rsid w:val="2FDE08D9"/>
    <w:rsid w:val="303401C0"/>
    <w:rsid w:val="303E7A21"/>
    <w:rsid w:val="314A499E"/>
    <w:rsid w:val="321B19F6"/>
    <w:rsid w:val="33026C90"/>
    <w:rsid w:val="332A340C"/>
    <w:rsid w:val="343336A4"/>
    <w:rsid w:val="343D1447"/>
    <w:rsid w:val="34E72958"/>
    <w:rsid w:val="35F7153B"/>
    <w:rsid w:val="36FB4337"/>
    <w:rsid w:val="370038F1"/>
    <w:rsid w:val="371D199F"/>
    <w:rsid w:val="379D4DD2"/>
    <w:rsid w:val="37B61D36"/>
    <w:rsid w:val="382E1FF3"/>
    <w:rsid w:val="395C1A2F"/>
    <w:rsid w:val="3A214CA5"/>
    <w:rsid w:val="3A541FF7"/>
    <w:rsid w:val="3ABF08DD"/>
    <w:rsid w:val="3AD97171"/>
    <w:rsid w:val="3B087D37"/>
    <w:rsid w:val="3BFD2B80"/>
    <w:rsid w:val="3DE05380"/>
    <w:rsid w:val="3EF335A2"/>
    <w:rsid w:val="3FC921F2"/>
    <w:rsid w:val="3FD23393"/>
    <w:rsid w:val="4007549A"/>
    <w:rsid w:val="412727D1"/>
    <w:rsid w:val="416660B8"/>
    <w:rsid w:val="423D53E0"/>
    <w:rsid w:val="42557076"/>
    <w:rsid w:val="430720B6"/>
    <w:rsid w:val="431A061D"/>
    <w:rsid w:val="434C7FB5"/>
    <w:rsid w:val="43BB04F1"/>
    <w:rsid w:val="45555DC9"/>
    <w:rsid w:val="45651961"/>
    <w:rsid w:val="45D408CB"/>
    <w:rsid w:val="46137844"/>
    <w:rsid w:val="46B15AE6"/>
    <w:rsid w:val="491D1373"/>
    <w:rsid w:val="496164DE"/>
    <w:rsid w:val="4AA208FA"/>
    <w:rsid w:val="4AD64DB4"/>
    <w:rsid w:val="4B19457D"/>
    <w:rsid w:val="4B331153"/>
    <w:rsid w:val="4B39589E"/>
    <w:rsid w:val="4B502967"/>
    <w:rsid w:val="4B7B5C93"/>
    <w:rsid w:val="4C263BB1"/>
    <w:rsid w:val="4C2F737C"/>
    <w:rsid w:val="4D9322BB"/>
    <w:rsid w:val="4E7B162D"/>
    <w:rsid w:val="4E8B2C69"/>
    <w:rsid w:val="4EC1308A"/>
    <w:rsid w:val="4F5F528A"/>
    <w:rsid w:val="4FAD6176"/>
    <w:rsid w:val="51704D63"/>
    <w:rsid w:val="520C39B4"/>
    <w:rsid w:val="525566DE"/>
    <w:rsid w:val="52926A67"/>
    <w:rsid w:val="52951E39"/>
    <w:rsid w:val="52BD6C7F"/>
    <w:rsid w:val="52C703DE"/>
    <w:rsid w:val="54CF5E34"/>
    <w:rsid w:val="5509789D"/>
    <w:rsid w:val="56B50954"/>
    <w:rsid w:val="580C2226"/>
    <w:rsid w:val="58254B7B"/>
    <w:rsid w:val="584F0F9E"/>
    <w:rsid w:val="58CD0237"/>
    <w:rsid w:val="59110353"/>
    <w:rsid w:val="59585A9A"/>
    <w:rsid w:val="59723D50"/>
    <w:rsid w:val="5A0D5396"/>
    <w:rsid w:val="5A5A147A"/>
    <w:rsid w:val="5C0405C3"/>
    <w:rsid w:val="5CA904B5"/>
    <w:rsid w:val="5DB73214"/>
    <w:rsid w:val="5DE073F8"/>
    <w:rsid w:val="5DE0757A"/>
    <w:rsid w:val="5ECC3698"/>
    <w:rsid w:val="5EDA6F44"/>
    <w:rsid w:val="5EF81D28"/>
    <w:rsid w:val="5F8B3A35"/>
    <w:rsid w:val="5FEF438A"/>
    <w:rsid w:val="601D73D2"/>
    <w:rsid w:val="60E60FC5"/>
    <w:rsid w:val="60F210A3"/>
    <w:rsid w:val="611E6F48"/>
    <w:rsid w:val="61846B4B"/>
    <w:rsid w:val="629B4C37"/>
    <w:rsid w:val="636F0B62"/>
    <w:rsid w:val="637E31EC"/>
    <w:rsid w:val="64DE6052"/>
    <w:rsid w:val="65EB6432"/>
    <w:rsid w:val="66032797"/>
    <w:rsid w:val="66510759"/>
    <w:rsid w:val="66530EAB"/>
    <w:rsid w:val="66DB3D32"/>
    <w:rsid w:val="66F665B4"/>
    <w:rsid w:val="678C63FC"/>
    <w:rsid w:val="687D3EE4"/>
    <w:rsid w:val="6A0B46DC"/>
    <w:rsid w:val="6B3C50AE"/>
    <w:rsid w:val="6C2E3685"/>
    <w:rsid w:val="6D5A7C13"/>
    <w:rsid w:val="6F8F55D4"/>
    <w:rsid w:val="6FC568D7"/>
    <w:rsid w:val="70154A4C"/>
    <w:rsid w:val="703F2B8F"/>
    <w:rsid w:val="711E146D"/>
    <w:rsid w:val="713567AE"/>
    <w:rsid w:val="715465A8"/>
    <w:rsid w:val="71C1041E"/>
    <w:rsid w:val="72870425"/>
    <w:rsid w:val="73635F94"/>
    <w:rsid w:val="740A3266"/>
    <w:rsid w:val="74712D48"/>
    <w:rsid w:val="75085ADA"/>
    <w:rsid w:val="75775CEA"/>
    <w:rsid w:val="75EC7429"/>
    <w:rsid w:val="76F21272"/>
    <w:rsid w:val="77347291"/>
    <w:rsid w:val="773700CD"/>
    <w:rsid w:val="77763819"/>
    <w:rsid w:val="797C3D46"/>
    <w:rsid w:val="79E61CF2"/>
    <w:rsid w:val="7A1D6F46"/>
    <w:rsid w:val="7BE02B0C"/>
    <w:rsid w:val="7C87782A"/>
    <w:rsid w:val="7CA32D6A"/>
    <w:rsid w:val="7EAD3051"/>
    <w:rsid w:val="7EAD7948"/>
    <w:rsid w:val="7F646A68"/>
    <w:rsid w:val="7FDD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p0"/>
    <w:basedOn w:val="1"/>
    <w:qFormat/>
    <w:uiPriority w:val="0"/>
    <w:pPr>
      <w:widowControl/>
    </w:pPr>
    <w:rPr>
      <w:kern w:val="0"/>
    </w:rPr>
  </w:style>
  <w:style w:type="paragraph" w:customStyle="1" w:styleId="11">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2">
    <w:name w:val="Table Paragraph"/>
    <w:basedOn w:val="1"/>
    <w:qFormat/>
    <w:uiPriority w:val="1"/>
    <w:pPr>
      <w:ind w:left="45"/>
    </w:pPr>
    <w:rPr>
      <w:rFonts w:ascii="仿宋" w:hAnsi="仿宋" w:eastAsia="仿宋" w:cs="仿宋"/>
      <w:lang w:val="zh-CN" w:bidi="zh-CN"/>
    </w:r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4">
    <w:name w:val="批注框文本 字符"/>
    <w:basedOn w:val="8"/>
    <w:link w:val="2"/>
    <w:qFormat/>
    <w:uiPriority w:val="0"/>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12</Pages>
  <Words>10654</Words>
  <Characters>11374</Characters>
  <Lines>87</Lines>
  <Paragraphs>24</Paragraphs>
  <TotalTime>6</TotalTime>
  <ScaleCrop>false</ScaleCrop>
  <LinksUpToDate>false</LinksUpToDate>
  <CharactersWithSpaces>11383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李晓昕</cp:lastModifiedBy>
  <cp:lastPrinted>2024-04-03T16:06:00Z</cp:lastPrinted>
  <dcterms:modified xsi:type="dcterms:W3CDTF">2026-06-08T06:08:18Z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A705C4E489334222BA20EAA0DC0A3411_13</vt:lpwstr>
  </property>
  <property fmtid="{D5CDD505-2E9C-101B-9397-08002B2CF9AE}" pid="4" name="commondata">
    <vt:lpwstr>eyJoZGlkIjoiOGU4NzViMzU3NWQ3MjQ1NmVkZWU2YTc4ZjEwODIzYTMifQ==</vt:lpwstr>
  </property>
  <property fmtid="{D5CDD505-2E9C-101B-9397-08002B2CF9AE}" pid="5" name="_KSOProductBuildMID">
    <vt:lpwstr>CAWM86GH79TQ0TBGQVR8MLJZ7NZMOYVR9S06XJDWXFF8TQLT6DBJDCJTFSVHPB6RAXMXLOZGZI678IJJRSFTYFF78RZMWHLBBSOORHB34B87533C4A28E32217D4BFB9437BF83D</vt:lpwstr>
  </property>
  <property fmtid="{D5CDD505-2E9C-101B-9397-08002B2CF9AE}" pid="6" name="_KSOProductBuildSID">
    <vt:lpwstr>SKWFP6GJ79VQ069GRYR8ML057ZC0OXVREO0XNJD7XFFRTQLTZDBJYC0PFS6HPBIRXOMXHOZNZIW78HXJROFT6FFT8RMMWILBAEOD0HB380C5A4DE43675793B9F02896343D6AD5</vt:lpwstr>
  </property>
  <property fmtid="{D5CDD505-2E9C-101B-9397-08002B2CF9AE}" pid="7" name="KSOTemplateDocerSaveRecord">
    <vt:lpwstr>eyJoZGlkIjoiMmU5NGY4ZjI0MmZhMjM4Y2ZkZWZkYTlmMjQ5MTg4ODEiLCJ1c2VySWQiOiIxNDU2OTEzODUwIn0=</vt:lpwstr>
  </property>
</Properties>
</file>