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918" w:rsidRDefault="004B5A89">
      <w:pPr>
        <w:snapToGrid w:val="0"/>
        <w:spacing w:line="360" w:lineRule="auto"/>
        <w:jc w:val="center"/>
        <w:rPr>
          <w:rFonts w:ascii="新宋体" w:eastAsia="新宋体" w:hAnsi="新宋体"/>
          <w:b/>
          <w:color w:val="auto"/>
          <w:sz w:val="30"/>
          <w:szCs w:val="30"/>
        </w:rPr>
      </w:pPr>
      <w:r>
        <w:rPr>
          <w:rFonts w:ascii="新宋体" w:eastAsia="新宋体" w:hAnsi="新宋体" w:hint="eastAsia"/>
          <w:b/>
          <w:color w:val="auto"/>
          <w:sz w:val="30"/>
          <w:szCs w:val="30"/>
        </w:rPr>
        <w:t>青银理财璀璨人生奋斗系列开放式净值型</w:t>
      </w:r>
    </w:p>
    <w:p w:rsidR="009C2918" w:rsidRDefault="004B5A89">
      <w:pPr>
        <w:snapToGrid w:val="0"/>
        <w:spacing w:line="360" w:lineRule="auto"/>
        <w:jc w:val="center"/>
        <w:rPr>
          <w:rFonts w:ascii="新宋体" w:eastAsia="新宋体" w:hAnsi="新宋体"/>
          <w:b/>
          <w:color w:val="auto"/>
          <w:sz w:val="30"/>
          <w:szCs w:val="30"/>
        </w:rPr>
      </w:pPr>
      <w:r>
        <w:rPr>
          <w:rFonts w:ascii="新宋体" w:eastAsia="新宋体" w:hAnsi="新宋体" w:hint="eastAsia"/>
          <w:b/>
          <w:color w:val="auto"/>
          <w:sz w:val="30"/>
          <w:szCs w:val="30"/>
        </w:rPr>
        <w:t>人民币理财计划产品说明书</w:t>
      </w:r>
    </w:p>
    <w:p w:rsidR="009C2918" w:rsidRDefault="004B5A89">
      <w:pPr>
        <w:spacing w:line="360" w:lineRule="auto"/>
        <w:jc w:val="center"/>
        <w:rPr>
          <w:rFonts w:ascii="新宋体" w:eastAsia="新宋体" w:hAnsi="新宋体"/>
          <w:b/>
          <w:i/>
          <w:sz w:val="21"/>
          <w:szCs w:val="21"/>
          <w:u w:val="single"/>
        </w:rPr>
      </w:pPr>
      <w:r>
        <w:rPr>
          <w:rFonts w:ascii="新宋体" w:eastAsia="新宋体" w:hAnsi="新宋体" w:cs="宋体" w:hint="eastAsia"/>
          <w:b/>
          <w:i/>
          <w:kern w:val="0"/>
          <w:sz w:val="21"/>
          <w:szCs w:val="21"/>
          <w:u w:val="single"/>
        </w:rPr>
        <w:t>理财非存款、产品有风险、投资须谨慎。</w:t>
      </w:r>
    </w:p>
    <w:p w:rsidR="009C2918" w:rsidRDefault="004B5A89">
      <w:pPr>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重要须知：</w:t>
      </w:r>
    </w:p>
    <w:p w:rsidR="009C2918" w:rsidRDefault="004B5A89">
      <w:pPr>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本理财计划与存款有明显区别。理财非存款、产品有风险、投资须谨慎。</w:t>
      </w:r>
    </w:p>
    <w:p w:rsidR="009C2918" w:rsidRDefault="004B5A89">
      <w:pPr>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青银理财有限责任公司（以下简称“青银理财”或“管理人”）不保证本理财计划的本金及收益。本理财计划在发生不利情况下（可能但不一定发生），客户（下或称“投资者”）可能无法获得收益，并面临损失本金的风险。您应充分认识投资风险。</w:t>
      </w:r>
    </w:p>
    <w:p w:rsidR="009C2918" w:rsidRDefault="004B5A89">
      <w:pPr>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本理财产品仅向依据中华人民共和国有关法律法规及本理财产品说明书约定可以购买本理财产品的投资者发售。</w:t>
      </w:r>
    </w:p>
    <w:p w:rsidR="009C2918" w:rsidRDefault="004B5A89">
      <w:pPr>
        <w:snapToGrid w:val="0"/>
        <w:spacing w:line="360" w:lineRule="auto"/>
        <w:ind w:firstLineChars="200" w:firstLine="422"/>
        <w:jc w:val="left"/>
        <w:rPr>
          <w:rFonts w:ascii="新宋体" w:eastAsia="新宋体" w:hAnsi="新宋体" w:cs="宋体"/>
          <w:b/>
          <w:kern w:val="0"/>
          <w:sz w:val="21"/>
          <w:szCs w:val="21"/>
          <w:u w:val="single"/>
        </w:rPr>
      </w:pPr>
      <w:r>
        <w:rPr>
          <w:rFonts w:ascii="新宋体" w:eastAsia="新宋体" w:hAnsi="新宋体" w:cs="宋体" w:hint="eastAsia"/>
          <w:b/>
          <w:color w:val="auto"/>
          <w:kern w:val="0"/>
          <w:sz w:val="21"/>
          <w:szCs w:val="21"/>
        </w:rPr>
        <w:t>本理财计划的测算收益、业绩比较基准等类似表述仅供客户投资决策参考，不代表客户可能获得的实际收益，亦不构成青银理财对本理财计划的任何收益承诺。</w:t>
      </w:r>
      <w:r>
        <w:rPr>
          <w:rFonts w:ascii="新宋体" w:eastAsia="新宋体" w:hAnsi="新宋体" w:cs="宋体" w:hint="eastAsia"/>
          <w:b/>
          <w:kern w:val="0"/>
          <w:sz w:val="21"/>
          <w:szCs w:val="21"/>
          <w:u w:val="single"/>
        </w:rPr>
        <w:t>理财产品过往业绩不代表其未来表现，不等于理财产品实际收益，投资须谨慎。</w:t>
      </w:r>
    </w:p>
    <w:p w:rsidR="009C2918" w:rsidRDefault="004B5A89">
      <w:pPr>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本理财计划的产品说明书、投资协议书、风险揭示书、客户权益须知、个人计划书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rsidR="009C2918" w:rsidRDefault="004B5A89">
      <w:pPr>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投资者承诺其用于认购理财计划的资金来源合法合规，不存在使用贷款、发行债券等筹集的非自有资金投资本理财产品的情形。</w:t>
      </w:r>
    </w:p>
    <w:p w:rsidR="009C2918" w:rsidRDefault="004B5A89">
      <w:pPr>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投资者承诺投资本理财产品使用的资金为投资者合法持有，不存在代他人持有或投资理财产品的情形；资金来源合法合规，不属于依据联合国、中国政府等国际组织或政府制裁范围；仅为合法目的投资本理财产品；如发生异常情况，投资者将配合销售服务机构及管理人开展投资者适当性管理、客户身份识别及尽职调查等反洗钱、反恐怖融资、反扩散融资及非居民金融账户涉税信息尽职调查等活动，及时、真实、准确、完整提供身份信息及资金来源等信息。</w:t>
      </w:r>
    </w:p>
    <w:p w:rsidR="009C2918" w:rsidRDefault="004B5A89">
      <w:pPr>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在本理财计划存续期内，如出于维持本产品正常运营的需要且在不损害投资者利益的前提下，或因国家法律法规、监管规定发生变化，</w:t>
      </w:r>
      <w:r>
        <w:rPr>
          <w:rFonts w:ascii="新宋体" w:eastAsia="新宋体" w:hAnsi="新宋体" w:cs="宋体"/>
          <w:color w:val="auto"/>
          <w:kern w:val="0"/>
          <w:sz w:val="21"/>
          <w:szCs w:val="21"/>
        </w:rPr>
        <w:t>管理人有权在法律允许的范围内单方对本产品说明书进行修订。管理人决定对产品说明书进行修订的，将以本《产品说明书》约定的信息披露方式向投资者进行信息披露，管理人按照前述规则发布该信息披露即视为该修订通知已送达投资者并对投资者具有法律约束力。</w:t>
      </w:r>
    </w:p>
    <w:p w:rsidR="009C2918" w:rsidRDefault="004B5A89">
      <w:pPr>
        <w:snapToGrid w:val="0"/>
        <w:spacing w:line="360" w:lineRule="auto"/>
        <w:ind w:firstLineChars="200" w:firstLine="422"/>
        <w:jc w:val="left"/>
        <w:rPr>
          <w:rFonts w:ascii="新宋体" w:eastAsia="新宋体" w:hAnsi="新宋体"/>
          <w:b/>
          <w:color w:val="auto"/>
          <w:sz w:val="21"/>
          <w:szCs w:val="24"/>
        </w:rPr>
      </w:pPr>
      <w:r>
        <w:rPr>
          <w:rFonts w:ascii="新宋体" w:eastAsia="新宋体" w:hAnsi="新宋体" w:hint="eastAsia"/>
          <w:b/>
          <w:color w:val="auto"/>
          <w:sz w:val="21"/>
          <w:szCs w:val="24"/>
        </w:rPr>
        <w:t>一、风险揭示</w:t>
      </w:r>
    </w:p>
    <w:p w:rsidR="009C2918" w:rsidRDefault="004B5A89">
      <w:pPr>
        <w:snapToGrid w:val="0"/>
        <w:spacing w:line="360" w:lineRule="auto"/>
        <w:ind w:firstLineChars="200" w:firstLine="422"/>
        <w:jc w:val="left"/>
        <w:rPr>
          <w:rFonts w:ascii="新宋体" w:eastAsia="新宋体" w:hAnsi="新宋体"/>
          <w:b/>
          <w:color w:val="auto"/>
          <w:sz w:val="21"/>
          <w:szCs w:val="24"/>
        </w:rPr>
      </w:pPr>
      <w:r>
        <w:rPr>
          <w:rFonts w:ascii="新宋体" w:eastAsia="新宋体" w:hAnsi="新宋体" w:hint="eastAsia"/>
          <w:b/>
          <w:color w:val="auto"/>
          <w:sz w:val="21"/>
          <w:szCs w:val="24"/>
        </w:rPr>
        <w:t>尊敬的客户：</w:t>
      </w:r>
    </w:p>
    <w:p w:rsidR="009C2918" w:rsidRDefault="004B5A89">
      <w:pPr>
        <w:snapToGrid w:val="0"/>
        <w:spacing w:line="360" w:lineRule="auto"/>
        <w:ind w:firstLineChars="200" w:firstLine="420"/>
        <w:jc w:val="left"/>
        <w:rPr>
          <w:rFonts w:ascii="新宋体" w:eastAsia="新宋体" w:hAnsi="新宋体"/>
          <w:color w:val="auto"/>
          <w:sz w:val="21"/>
          <w:szCs w:val="24"/>
        </w:rPr>
      </w:pPr>
      <w:r>
        <w:rPr>
          <w:rFonts w:ascii="新宋体" w:eastAsia="新宋体" w:hAnsi="新宋体" w:hint="eastAsia"/>
          <w:color w:val="auto"/>
          <w:sz w:val="21"/>
          <w:szCs w:val="24"/>
        </w:rPr>
        <w:t>在您购买理财产品前，应仔细阅读本理财产品对应的产品说明书，同时了解本理财计划</w:t>
      </w:r>
      <w:r>
        <w:rPr>
          <w:rFonts w:ascii="新宋体" w:eastAsia="新宋体" w:hAnsi="新宋体" w:hint="eastAsia"/>
          <w:color w:val="auto"/>
          <w:sz w:val="21"/>
          <w:szCs w:val="24"/>
        </w:rPr>
        <w:lastRenderedPageBreak/>
        <w:t>的投资风险等相关信息，并自己独立作出是否购买本理财产品的决定。您签署本产品说明书及相应风险揭示书、理财计划协议书、投资协议书、客户权益须知，并将资金委托于我方运作是您真实的意思表示。本产品说明书及相应理财计划协议书、风险揭示书、投资协议书、客户权益须知等销售材料将共同构成贵我双方理财合同的有效组成部分。</w:t>
      </w:r>
    </w:p>
    <w:p w:rsidR="009C2918" w:rsidRDefault="004B5A89">
      <w:pPr>
        <w:snapToGrid w:val="0"/>
        <w:spacing w:line="360" w:lineRule="auto"/>
        <w:ind w:firstLineChars="200" w:firstLine="420"/>
        <w:jc w:val="left"/>
        <w:rPr>
          <w:rFonts w:ascii="新宋体" w:eastAsia="新宋体" w:hAnsi="新宋体"/>
          <w:color w:val="auto"/>
          <w:sz w:val="21"/>
          <w:szCs w:val="24"/>
        </w:rPr>
      </w:pPr>
      <w:r>
        <w:rPr>
          <w:rFonts w:ascii="新宋体" w:eastAsia="新宋体" w:hAnsi="新宋体" w:hint="eastAsia"/>
          <w:color w:val="auto"/>
          <w:sz w:val="21"/>
          <w:szCs w:val="24"/>
        </w:rPr>
        <w:t>本理财产品风险揭示内容详见《青银理财个人理财计划风险揭示书》。</w:t>
      </w:r>
    </w:p>
    <w:p w:rsidR="009C2918" w:rsidRDefault="004B5A89">
      <w:pPr>
        <w:snapToGrid w:val="0"/>
        <w:spacing w:line="360" w:lineRule="auto"/>
        <w:ind w:firstLineChars="200" w:firstLine="422"/>
        <w:jc w:val="left"/>
        <w:rPr>
          <w:rFonts w:ascii="新宋体" w:eastAsia="新宋体" w:hAnsi="新宋体"/>
          <w:b/>
          <w:color w:val="auto"/>
          <w:sz w:val="21"/>
          <w:szCs w:val="24"/>
        </w:rPr>
      </w:pPr>
      <w:r>
        <w:rPr>
          <w:rFonts w:ascii="新宋体" w:eastAsia="新宋体" w:hAnsi="新宋体" w:hint="eastAsia"/>
          <w:b/>
          <w:color w:val="auto"/>
          <w:sz w:val="21"/>
          <w:szCs w:val="24"/>
        </w:rPr>
        <w:t>理财非存款，产品有风险，投资须谨慎。您应充分认识以下风险：</w:t>
      </w:r>
    </w:p>
    <w:p w:rsidR="009C2918" w:rsidRDefault="004B5A89">
      <w:pPr>
        <w:snapToGrid w:val="0"/>
        <w:spacing w:line="360" w:lineRule="auto"/>
        <w:ind w:firstLineChars="200" w:firstLine="422"/>
        <w:jc w:val="left"/>
        <w:rPr>
          <w:rFonts w:ascii="新宋体" w:eastAsia="新宋体" w:hAnsi="新宋体"/>
          <w:b/>
          <w:color w:val="auto"/>
          <w:sz w:val="21"/>
          <w:szCs w:val="24"/>
        </w:rPr>
      </w:pPr>
      <w:r>
        <w:rPr>
          <w:rFonts w:ascii="新宋体" w:eastAsia="新宋体" w:hAnsi="新宋体" w:hint="eastAsia"/>
          <w:b/>
          <w:color w:val="auto"/>
          <w:sz w:val="21"/>
          <w:szCs w:val="24"/>
        </w:rPr>
        <w:t>1.理财本金及收益风险</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本理财产品为非保本浮动收益型，不保障理财本金和收益，您的本金可能会因市场波动而蒙受重大损失。产品的业绩比较基准为综合考虑当前市场环境、</w:t>
      </w:r>
      <w:r w:rsidR="009D61F2">
        <w:rPr>
          <w:rFonts w:ascii="新宋体" w:eastAsia="新宋体" w:hAnsi="新宋体" w:cs="宋体" w:hint="eastAsia"/>
          <w:color w:val="auto"/>
          <w:kern w:val="0"/>
          <w:sz w:val="21"/>
          <w:szCs w:val="21"/>
        </w:rPr>
        <w:t>资产配置中枢比例</w:t>
      </w:r>
      <w:r>
        <w:rPr>
          <w:rFonts w:ascii="新宋体" w:eastAsia="新宋体" w:hAnsi="新宋体" w:cs="宋体" w:hint="eastAsia"/>
          <w:color w:val="auto"/>
          <w:kern w:val="0"/>
          <w:sz w:val="21"/>
          <w:szCs w:val="21"/>
        </w:rPr>
        <w:t>、产品费用及税费等因素而得，不代表产品业绩的未来表现，不作为支付产品本金或收益的承诺。本产品为净值型产品，业绩表现将随市场情况波动，具有不确定性，产品业绩表现存在不达业绩基准的风险。</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综合考虑本产品的投资组合、同类产品过往业绩和风险水平（包括但不限于拟投资市场和资产的风险评估等）等因素，本产品的青银理财内部评级为</w:t>
      </w:r>
      <w:r>
        <w:rPr>
          <w:rFonts w:ascii="新宋体" w:eastAsia="新宋体" w:hAnsi="新宋体" w:cs="宋体" w:hint="eastAsia"/>
          <w:b/>
          <w:color w:val="auto"/>
          <w:kern w:val="0"/>
          <w:sz w:val="21"/>
          <w:szCs w:val="21"/>
        </w:rPr>
        <w:t>稳健型</w:t>
      </w:r>
      <w:r>
        <w:rPr>
          <w:rFonts w:ascii="新宋体" w:eastAsia="新宋体" w:hAnsi="新宋体" w:cs="宋体" w:hint="eastAsia"/>
          <w:color w:val="auto"/>
          <w:kern w:val="0"/>
          <w:sz w:val="21"/>
          <w:szCs w:val="21"/>
        </w:rPr>
        <w:t>，该评级仅供参考。投资者应充分认识投资风险，谨慎投资。</w:t>
      </w:r>
    </w:p>
    <w:p w:rsidR="009C2918" w:rsidRDefault="004B5A89">
      <w:pPr>
        <w:autoSpaceDE w:val="0"/>
        <w:autoSpaceDN w:val="0"/>
        <w:adjustRightInd w:val="0"/>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该产品通过代理销售机构渠道销售的，理财产品评级应当以代理销售机构最终披露的评级结果为准。</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b/>
          <w:color w:val="auto"/>
          <w:kern w:val="0"/>
          <w:sz w:val="21"/>
          <w:szCs w:val="21"/>
        </w:rPr>
      </w:pPr>
      <w:r>
        <w:rPr>
          <w:rFonts w:ascii="新宋体" w:eastAsia="新宋体" w:hAnsi="新宋体" w:cs="宋体" w:hint="eastAsia"/>
          <w:color w:val="auto"/>
          <w:kern w:val="0"/>
          <w:sz w:val="21"/>
          <w:szCs w:val="21"/>
        </w:rPr>
        <w:t>青银理财根据资产投资类别、风险收益特点、流动性等因素对产品进行风险评级，按产品风险级别</w:t>
      </w:r>
      <w:r>
        <w:rPr>
          <w:rFonts w:ascii="新宋体" w:eastAsia="新宋体" w:hAnsi="新宋体" w:cs="宋体" w:hint="eastAsia"/>
          <w:b/>
          <w:color w:val="auto"/>
          <w:kern w:val="0"/>
          <w:sz w:val="21"/>
          <w:szCs w:val="21"/>
        </w:rPr>
        <w:t>从低到高分为五级</w:t>
      </w:r>
      <w:r>
        <w:rPr>
          <w:rFonts w:ascii="新宋体" w:eastAsia="新宋体" w:hAnsi="新宋体" w:cs="宋体" w:hint="eastAsia"/>
          <w:color w:val="auto"/>
          <w:kern w:val="0"/>
          <w:sz w:val="21"/>
          <w:szCs w:val="21"/>
        </w:rPr>
        <w:t>，依次为：谨慎型 (★)、稳健型 (★★)、平衡型 (★★★)、进取型 (★★★★)、激进型 (★★★★★)。（本评级为青银理财内部评级，仅供参考）</w:t>
      </w:r>
    </w:p>
    <w:p w:rsidR="009C2918" w:rsidRDefault="004B5A89">
      <w:pPr>
        <w:autoSpaceDE w:val="0"/>
        <w:autoSpaceDN w:val="0"/>
        <w:adjustRightInd w:val="0"/>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2.管理人风险</w:t>
      </w:r>
    </w:p>
    <w:p w:rsidR="009C2918" w:rsidRDefault="004B5A89">
      <w:pPr>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因管理人（包括本理财计划的理财管理人、所投资信托计划/资管计划的受托人（如有）、相关投资顾问（如有）等，下同）受经验、技能等因素限制，可能导致本理财计划项下的理财资金遭受损失。</w:t>
      </w:r>
    </w:p>
    <w:p w:rsidR="009C2918" w:rsidRDefault="004B5A89">
      <w:pPr>
        <w:autoSpaceDE w:val="0"/>
        <w:autoSpaceDN w:val="0"/>
        <w:adjustRightInd w:val="0"/>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3.市场风险</w:t>
      </w:r>
    </w:p>
    <w:p w:rsidR="009C2918" w:rsidRDefault="004B5A89">
      <w:pPr>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受未来各种市场因素变化影响，本产品基础资产价值可能波动，进而导致客户投资收益波动，甚至本金损失。青银理财将竭力降低市场风险带来的负面影响，但并不能完全规避。市场风险包括但不限于股票投资风险、债券投资风险、商品投资风险以及衍生品投资风险。</w:t>
      </w:r>
    </w:p>
    <w:p w:rsidR="009C2918" w:rsidRDefault="004B5A89">
      <w:pPr>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（1）</w:t>
      </w:r>
      <w:r>
        <w:rPr>
          <w:rFonts w:ascii="新宋体" w:eastAsia="新宋体" w:hAnsi="新宋体"/>
          <w:color w:val="auto"/>
          <w:sz w:val="21"/>
          <w:szCs w:val="21"/>
        </w:rPr>
        <w:t>投资股票类资产的风险</w:t>
      </w:r>
    </w:p>
    <w:p w:rsidR="009C2918" w:rsidRDefault="004B5A89">
      <w:pPr>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rsidR="009C2918" w:rsidRDefault="004B5A89">
      <w:pPr>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（2）</w:t>
      </w:r>
      <w:r>
        <w:rPr>
          <w:rFonts w:ascii="新宋体" w:eastAsia="新宋体" w:hAnsi="新宋体"/>
          <w:color w:val="auto"/>
          <w:sz w:val="21"/>
          <w:szCs w:val="21"/>
        </w:rPr>
        <w:t>投资标准化债权类资产的风险</w:t>
      </w:r>
    </w:p>
    <w:p w:rsidR="009C2918" w:rsidRDefault="004B5A89">
      <w:pPr>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rsidR="009C2918" w:rsidRDefault="004B5A89">
      <w:pPr>
        <w:snapToGrid w:val="0"/>
        <w:spacing w:line="360" w:lineRule="auto"/>
        <w:ind w:firstLineChars="200" w:firstLine="422"/>
        <w:jc w:val="left"/>
        <w:rPr>
          <w:rFonts w:ascii="新宋体" w:eastAsia="新宋体" w:hAnsi="新宋体"/>
          <w:b/>
          <w:color w:val="auto"/>
          <w:sz w:val="21"/>
          <w:szCs w:val="21"/>
        </w:rPr>
      </w:pPr>
      <w:r>
        <w:rPr>
          <w:rFonts w:ascii="新宋体" w:eastAsia="新宋体" w:hAnsi="新宋体" w:hint="eastAsia"/>
          <w:b/>
          <w:color w:val="auto"/>
          <w:sz w:val="21"/>
          <w:szCs w:val="21"/>
        </w:rPr>
        <w:t>4.政策风险</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b/>
          <w:color w:val="auto"/>
          <w:kern w:val="0"/>
          <w:sz w:val="21"/>
          <w:szCs w:val="21"/>
        </w:rPr>
      </w:pPr>
      <w:r>
        <w:rPr>
          <w:rFonts w:ascii="新宋体" w:eastAsia="新宋体" w:hAnsi="新宋体" w:cs="宋体" w:hint="eastAsia"/>
          <w:color w:val="auto"/>
          <w:kern w:val="0"/>
          <w:sz w:val="21"/>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rsidR="009C2918" w:rsidRDefault="004B5A89">
      <w:pPr>
        <w:autoSpaceDE w:val="0"/>
        <w:autoSpaceDN w:val="0"/>
        <w:adjustRightInd w:val="0"/>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5.流动性风险</w:t>
      </w:r>
    </w:p>
    <w:p w:rsidR="009C2918" w:rsidRDefault="004B5A89">
      <w:pPr>
        <w:pStyle w:val="Default"/>
        <w:spacing w:line="360" w:lineRule="auto"/>
        <w:ind w:firstLineChars="200" w:firstLine="420"/>
        <w:rPr>
          <w:rFonts w:ascii="新宋体" w:eastAsia="新宋体" w:hAnsi="新宋体" w:cs="Times New Roman"/>
          <w:color w:val="auto"/>
          <w:kern w:val="2"/>
          <w:sz w:val="21"/>
          <w:szCs w:val="21"/>
        </w:rPr>
      </w:pPr>
      <w:r>
        <w:rPr>
          <w:rFonts w:ascii="新宋体" w:eastAsia="新宋体" w:hAnsi="新宋体" w:hint="eastAsia"/>
          <w:color w:val="auto"/>
          <w:sz w:val="21"/>
          <w:szCs w:val="21"/>
        </w:rPr>
        <w:t>本理财计划开放期间，投资者只能在本产品说明书以及管理人公告的规定时间及规则内办理购买与赎回,这可能影响投资者的资金使用安排，带来流动性风险。若</w:t>
      </w:r>
      <w:r>
        <w:rPr>
          <w:rFonts w:ascii="新宋体" w:eastAsia="新宋体" w:hAnsi="新宋体" w:cs="Times New Roman" w:hint="eastAsia"/>
          <w:color w:val="auto"/>
          <w:kern w:val="2"/>
          <w:sz w:val="21"/>
          <w:szCs w:val="21"/>
        </w:rPr>
        <w:t>在本理财计划存续期内，理财产品发生巨额赎回时，为</w:t>
      </w:r>
      <w:r>
        <w:rPr>
          <w:rFonts w:ascii="新宋体" w:eastAsia="新宋体" w:cs="新宋体" w:hint="eastAsia"/>
          <w:color w:val="auto"/>
          <w:sz w:val="21"/>
          <w:szCs w:val="21"/>
        </w:rPr>
        <w:t>维持理财资产正常运作，保护已有投资者利益，青银理财有权拒绝投资者的赎回申请，投资者可于下一开放日重新提交赎回申请。</w:t>
      </w:r>
      <w:r>
        <w:rPr>
          <w:rFonts w:ascii="新宋体" w:eastAsia="新宋体" w:cs="新宋体"/>
          <w:color w:val="auto"/>
          <w:sz w:val="21"/>
          <w:szCs w:val="21"/>
        </w:rPr>
        <w:t xml:space="preserve"> </w:t>
      </w:r>
      <w:r>
        <w:rPr>
          <w:rFonts w:ascii="新宋体" w:eastAsia="新宋体" w:cs="新宋体" w:hint="eastAsia"/>
          <w:color w:val="auto"/>
          <w:sz w:val="21"/>
          <w:szCs w:val="21"/>
        </w:rPr>
        <w:t>本理财计划连续两个开放日发生巨额赎回，从保护投资者利益出发，为避免资产变现可能引发的产品资产净值较大波动，青银理财有权暂停接受投资者赎回申请，并于两个工作日内通过青银理财官网进行公告。</w:t>
      </w:r>
      <w:r>
        <w:rPr>
          <w:rFonts w:ascii="新宋体" w:eastAsia="新宋体" w:hAnsi="新宋体" w:cs="Times New Roman" w:hint="eastAsia"/>
          <w:color w:val="auto"/>
          <w:kern w:val="2"/>
          <w:sz w:val="21"/>
          <w:szCs w:val="21"/>
        </w:rPr>
        <w:t>发生上述情形时，投资者将面临无法全部赎回或无法及时获得赎回资金的风险，由此可能影响投资者的资金安排，带来流动性风险。</w:t>
      </w:r>
    </w:p>
    <w:p w:rsidR="009C2918" w:rsidRDefault="004B5A89">
      <w:pPr>
        <w:autoSpaceDE w:val="0"/>
        <w:autoSpaceDN w:val="0"/>
        <w:adjustRightInd w:val="0"/>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b/>
          <w:color w:val="auto"/>
          <w:kern w:val="0"/>
          <w:sz w:val="21"/>
          <w:szCs w:val="21"/>
        </w:rPr>
        <w:t>6.理财计划不成立风险</w:t>
      </w:r>
    </w:p>
    <w:p w:rsidR="009C2918" w:rsidRDefault="004B5A89">
      <w:pPr>
        <w:autoSpaceDE w:val="0"/>
        <w:autoSpaceDN w:val="0"/>
        <w:adjustRightInd w:val="0"/>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rsidR="009C2918" w:rsidRDefault="004B5A89">
      <w:pPr>
        <w:autoSpaceDE w:val="0"/>
        <w:autoSpaceDN w:val="0"/>
        <w:adjustRightInd w:val="0"/>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b/>
          <w:color w:val="auto"/>
          <w:kern w:val="0"/>
          <w:sz w:val="21"/>
          <w:szCs w:val="21"/>
        </w:rPr>
        <w:t>7.理财计划提前终止风险</w:t>
      </w:r>
    </w:p>
    <w:p w:rsidR="009C2918" w:rsidRDefault="004B5A89">
      <w:pPr>
        <w:snapToGrid w:val="0"/>
        <w:spacing w:line="360" w:lineRule="auto"/>
        <w:ind w:firstLineChars="200" w:firstLine="422"/>
        <w:jc w:val="left"/>
        <w:rPr>
          <w:rFonts w:ascii="新宋体" w:eastAsia="新宋体" w:hAnsi="新宋体"/>
          <w:b/>
          <w:color w:val="auto"/>
          <w:sz w:val="21"/>
          <w:szCs w:val="21"/>
        </w:rPr>
      </w:pPr>
      <w:r>
        <w:rPr>
          <w:rFonts w:ascii="新宋体" w:eastAsia="新宋体" w:hAnsi="新宋体" w:cs="宋体" w:hint="eastAsia"/>
          <w:b/>
          <w:color w:val="auto"/>
          <w:kern w:val="0"/>
          <w:sz w:val="21"/>
          <w:szCs w:val="21"/>
        </w:rPr>
        <w:t>产品存续期内，为保护客户利益，如遇包括但不限于国家金融政策发生重大调整、金融市场发生重大波动、不可抗力、产品存续规模低于产品最低成立规模或产品管理人认为影响产品运作需要提前终止产品的其他情况，青银理财可能根据国家金融政策、市场变化等情况选择提前终止本期产品，客户可能因此面临不能按预定期限取得本金及预期收益的风险。（具体信息及相关规则见十五、产品终止）</w:t>
      </w:r>
    </w:p>
    <w:p w:rsidR="009C2918" w:rsidRDefault="004B5A89">
      <w:pPr>
        <w:autoSpaceDE w:val="0"/>
        <w:autoSpaceDN w:val="0"/>
        <w:adjustRightInd w:val="0"/>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b/>
          <w:color w:val="auto"/>
          <w:kern w:val="0"/>
          <w:sz w:val="21"/>
          <w:szCs w:val="21"/>
        </w:rPr>
        <w:t>8.信息传递风险</w:t>
      </w:r>
    </w:p>
    <w:p w:rsidR="009C2918" w:rsidRDefault="004B5A89">
      <w:pPr>
        <w:autoSpaceDE w:val="0"/>
        <w:autoSpaceDN w:val="0"/>
        <w:adjustRightInd w:val="0"/>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青银理财或代理销售机构将按照本理财计划产品说明书所约定的方式进行信息披露，客户应充分关注并主动及时查询青银理财披露的相关信息。青银理财或代理销售机构通过理财产品销售文件约定方式披露信息后，视为本公司已向您完全履行信息披露义务，您可及时登录本公司</w:t>
      </w:r>
      <w:r>
        <w:rPr>
          <w:rFonts w:ascii="新宋体" w:eastAsia="新宋体" w:hAnsi="新宋体" w:cs="宋体"/>
          <w:b/>
          <w:color w:val="auto"/>
          <w:kern w:val="0"/>
          <w:sz w:val="21"/>
          <w:szCs w:val="21"/>
        </w:rPr>
        <w:t>/代理销售机构网站或致电本公司/代理销售机构客户服务热线（青银理财：4000879666；代理销售机构详见客户权益须知）查询。如因您未及时查询，或因通讯、系统故障或其他不可抗力等因素的影响，致使您无法及时了解理财产品信息，所产生的责任和风险将由您自行承担。客户预留在青</w:t>
      </w:r>
      <w:r>
        <w:rPr>
          <w:rFonts w:ascii="新宋体" w:eastAsia="新宋体" w:hAnsi="新宋体" w:cs="宋体" w:hint="eastAsia"/>
          <w:b/>
          <w:color w:val="auto"/>
          <w:kern w:val="0"/>
          <w:sz w:val="21"/>
          <w:szCs w:val="21"/>
        </w:rPr>
        <w:t>银理财或代理销售机构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rsidR="009C2918" w:rsidRDefault="004B5A89">
      <w:pPr>
        <w:autoSpaceDE w:val="0"/>
        <w:autoSpaceDN w:val="0"/>
        <w:adjustRightInd w:val="0"/>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b/>
          <w:color w:val="auto"/>
          <w:kern w:val="0"/>
          <w:sz w:val="21"/>
          <w:szCs w:val="21"/>
        </w:rPr>
        <w:t>9.不可抗力及意外事件风险</w:t>
      </w:r>
    </w:p>
    <w:p w:rsidR="009C2918" w:rsidRDefault="004B5A89">
      <w:pPr>
        <w:autoSpaceDE w:val="0"/>
        <w:autoSpaceDN w:val="0"/>
        <w:adjustRightInd w:val="0"/>
        <w:snapToGrid w:val="0"/>
        <w:spacing w:line="360" w:lineRule="auto"/>
        <w:ind w:firstLineChars="200" w:firstLine="422"/>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不可抗力因素可能导致理财资产收益降低或本金损失，影响理财计划的信息传递、成立、运作、偿还及本金安全。“不可抗力”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rsidR="009C2918" w:rsidRDefault="004B5A89">
      <w:pPr>
        <w:pStyle w:val="a3"/>
        <w:spacing w:before="0" w:beforeAutospacing="0" w:after="0" w:afterAutospacing="0" w:line="360" w:lineRule="auto"/>
        <w:ind w:firstLine="420"/>
        <w:rPr>
          <w:rFonts w:ascii="新宋体" w:eastAsia="新宋体" w:hAnsi="新宋体"/>
          <w:color w:val="000000"/>
          <w:sz w:val="27"/>
          <w:szCs w:val="27"/>
        </w:rPr>
      </w:pPr>
      <w:r>
        <w:rPr>
          <w:rFonts w:ascii="新宋体" w:eastAsia="新宋体" w:hAnsi="新宋体" w:hint="eastAsia"/>
          <w:b/>
          <w:sz w:val="21"/>
          <w:szCs w:val="21"/>
        </w:rPr>
        <w:t>以上风险仅为列举性质，详见产品风险揭示书。</w:t>
      </w:r>
    </w:p>
    <w:p w:rsidR="009C2918" w:rsidRDefault="004B5A89">
      <w:pPr>
        <w:snapToGrid w:val="0"/>
        <w:spacing w:line="360" w:lineRule="auto"/>
        <w:ind w:left="397"/>
        <w:jc w:val="left"/>
        <w:rPr>
          <w:rFonts w:ascii="新宋体" w:eastAsia="新宋体" w:hAnsi="新宋体"/>
          <w:b/>
          <w:color w:val="auto"/>
          <w:sz w:val="21"/>
          <w:szCs w:val="21"/>
        </w:rPr>
      </w:pPr>
      <w:r>
        <w:rPr>
          <w:rFonts w:ascii="新宋体" w:eastAsia="新宋体" w:hAnsi="新宋体" w:hint="eastAsia"/>
          <w:b/>
          <w:color w:val="auto"/>
          <w:sz w:val="21"/>
          <w:szCs w:val="21"/>
        </w:rPr>
        <w:t>二、产品概述</w:t>
      </w:r>
    </w:p>
    <w:tbl>
      <w:tblPr>
        <w:tblW w:w="6073" w:type="pct"/>
        <w:tblInd w:w="-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1"/>
        <w:gridCol w:w="8370"/>
      </w:tblGrid>
      <w:tr w:rsidR="009C2918">
        <w:trPr>
          <w:trHeight w:val="298"/>
        </w:trPr>
        <w:tc>
          <w:tcPr>
            <w:tcW w:w="5000" w:type="pct"/>
            <w:gridSpan w:val="2"/>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ind w:firstLineChars="200" w:firstLine="420"/>
              <w:jc w:val="left"/>
              <w:rPr>
                <w:rFonts w:ascii="新宋体" w:eastAsia="新宋体" w:hAnsi="新宋体"/>
                <w:b/>
                <w:color w:val="auto"/>
                <w:sz w:val="21"/>
                <w:szCs w:val="21"/>
              </w:rPr>
            </w:pPr>
            <w:r>
              <w:rPr>
                <w:rFonts w:ascii="新宋体" w:eastAsia="新宋体" w:hAnsi="新宋体" w:hint="eastAsia"/>
                <w:color w:val="auto"/>
                <w:sz w:val="21"/>
                <w:szCs w:val="21"/>
              </w:rPr>
              <w:t>本理财计划面向不特定社会公众发售，青银理财内部风险评级为</w:t>
            </w:r>
            <w:r>
              <w:rPr>
                <w:rFonts w:ascii="新宋体" w:eastAsia="新宋体" w:hAnsi="新宋体" w:hint="eastAsia"/>
                <w:b/>
                <w:color w:val="auto"/>
                <w:sz w:val="21"/>
                <w:szCs w:val="21"/>
              </w:rPr>
              <w:t>稳健型★★（中低风险），适合经青银理财评估为稳健型及以上级别的个人投资者和机构投资者购买。上述信息仅供参考。</w:t>
            </w:r>
          </w:p>
          <w:p w:rsidR="009C2918" w:rsidRDefault="004B5A89">
            <w:pPr>
              <w:spacing w:line="360" w:lineRule="auto"/>
              <w:ind w:firstLineChars="200" w:firstLine="480"/>
              <w:jc w:val="left"/>
              <w:rPr>
                <w:rFonts w:ascii="新宋体" w:eastAsia="新宋体" w:hAnsi="新宋体"/>
                <w:b/>
                <w:color w:val="auto"/>
                <w:sz w:val="21"/>
                <w:szCs w:val="21"/>
              </w:rPr>
            </w:pPr>
            <w:r>
              <w:rPr>
                <w:rFonts w:ascii="宋体" w:eastAsia="宋体" w:hAnsi="宋体" w:cs="宋体"/>
                <w:sz w:val="24"/>
                <w:szCs w:val="24"/>
              </w:rPr>
              <w:t>★</w:t>
            </w:r>
            <w:r>
              <w:rPr>
                <w:rFonts w:ascii="新宋体" w:eastAsia="新宋体" w:hAnsi="新宋体" w:hint="eastAsia"/>
                <w:b/>
                <w:color w:val="auto"/>
                <w:sz w:val="21"/>
                <w:szCs w:val="21"/>
              </w:rPr>
              <w:t>本理财产品通过代销机构渠道销售的，理财产品评级应当以代销机构最终披露的评级结果为准。</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产品名称</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青银理财璀璨人生奋斗系列开放式净值型人民币理财计划天天开放</w:t>
            </w:r>
            <w:r w:rsidR="00C64268">
              <w:rPr>
                <w:rFonts w:ascii="新宋体" w:eastAsia="新宋体" w:hAnsi="新宋体"/>
                <w:color w:val="auto"/>
                <w:sz w:val="21"/>
                <w:szCs w:val="21"/>
              </w:rPr>
              <w:t>05</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产品简称</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C64268">
            <w:pPr>
              <w:spacing w:line="360" w:lineRule="auto"/>
              <w:jc w:val="left"/>
              <w:rPr>
                <w:rFonts w:ascii="新宋体" w:eastAsia="新宋体" w:hAnsi="新宋体"/>
                <w:color w:val="auto"/>
                <w:sz w:val="21"/>
                <w:szCs w:val="21"/>
              </w:rPr>
            </w:pPr>
            <w:r w:rsidRPr="00C64268">
              <w:rPr>
                <w:rFonts w:ascii="新宋体" w:eastAsia="新宋体" w:hAnsi="新宋体" w:hint="eastAsia"/>
                <w:color w:val="auto"/>
                <w:sz w:val="21"/>
                <w:szCs w:val="21"/>
              </w:rPr>
              <w:t>青银理财奋斗系列天天开放</w:t>
            </w:r>
            <w:r w:rsidRPr="00C64268">
              <w:rPr>
                <w:rFonts w:ascii="新宋体" w:eastAsia="新宋体" w:hAnsi="新宋体"/>
                <w:color w:val="auto"/>
                <w:sz w:val="21"/>
                <w:szCs w:val="21"/>
              </w:rPr>
              <w:t>05</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产品代码</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C64268">
            <w:pPr>
              <w:spacing w:line="360" w:lineRule="auto"/>
              <w:jc w:val="left"/>
              <w:rPr>
                <w:rFonts w:ascii="新宋体" w:eastAsia="新宋体" w:hAnsi="新宋体"/>
                <w:color w:val="auto"/>
                <w:sz w:val="21"/>
                <w:szCs w:val="21"/>
              </w:rPr>
            </w:pPr>
            <w:r w:rsidRPr="00C64268">
              <w:rPr>
                <w:rFonts w:ascii="新宋体" w:eastAsia="新宋体" w:hAnsi="新宋体"/>
                <w:color w:val="auto"/>
                <w:sz w:val="21"/>
                <w:szCs w:val="21"/>
              </w:rPr>
              <w:t>CCRSFDKFJZ05</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份额类型</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本产品根据投资者购买理财产品的金额、适合的投资者、销售机构等因素，对投资者所持有的理财产品份额设置不同的理财产品份额类别。</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本产品设置不同的理财产品份额，每类份额以下内容可能单独设置：</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产品销售代码、产品销售名称、产品销售对象、认购</w:t>
            </w:r>
            <w:r>
              <w:rPr>
                <w:rFonts w:ascii="新宋体" w:eastAsia="新宋体" w:hAnsi="新宋体"/>
                <w:color w:val="auto"/>
                <w:sz w:val="21"/>
                <w:szCs w:val="21"/>
              </w:rPr>
              <w:t>/申购投资起点金额及递增金额、业绩比较基准、固定管理费率、销售手续费率（如有）、业绩报酬分成比例、收费方式、单一投资者持有限额、产品规模上限等，并分别计算和公告产品份额净值。投资者可根据实际情况自行选择认购的产品份额类别。</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color w:val="auto"/>
                <w:sz w:val="21"/>
                <w:szCs w:val="21"/>
              </w:rPr>
              <w:t>A份额，销售代码【</w:t>
            </w:r>
            <w:r w:rsidR="00FD0C09" w:rsidRPr="00FD0C09">
              <w:rPr>
                <w:rFonts w:ascii="新宋体" w:eastAsia="新宋体" w:hAnsi="新宋体"/>
                <w:color w:val="auto"/>
                <w:sz w:val="21"/>
                <w:szCs w:val="21"/>
              </w:rPr>
              <w:t>CCRSFDKFJZ05A</w:t>
            </w:r>
            <w:r>
              <w:rPr>
                <w:rFonts w:ascii="新宋体" w:eastAsia="新宋体" w:hAnsi="新宋体"/>
                <w:color w:val="auto"/>
                <w:sz w:val="21"/>
                <w:szCs w:val="21"/>
              </w:rPr>
              <w:t>】，销售名称：</w:t>
            </w:r>
            <w:r w:rsidR="00C64268" w:rsidRPr="00C64268">
              <w:rPr>
                <w:rFonts w:ascii="新宋体" w:eastAsia="新宋体" w:hAnsi="新宋体" w:hint="eastAsia"/>
                <w:color w:val="auto"/>
                <w:sz w:val="21"/>
                <w:szCs w:val="21"/>
              </w:rPr>
              <w:t>青银理财奋斗系列天天开放</w:t>
            </w:r>
            <w:r w:rsidR="00C64268" w:rsidRPr="00C64268">
              <w:rPr>
                <w:rFonts w:ascii="新宋体" w:eastAsia="新宋体" w:hAnsi="新宋体"/>
                <w:color w:val="auto"/>
                <w:sz w:val="21"/>
                <w:szCs w:val="21"/>
              </w:rPr>
              <w:t>05A份额</w:t>
            </w:r>
            <w:r>
              <w:rPr>
                <w:rFonts w:ascii="新宋体" w:eastAsia="新宋体" w:hAnsi="新宋体" w:hint="eastAsia"/>
                <w:color w:val="auto"/>
                <w:sz w:val="21"/>
                <w:szCs w:val="21"/>
              </w:rPr>
              <w:t>，</w:t>
            </w:r>
            <w:r>
              <w:rPr>
                <w:rFonts w:ascii="新宋体" w:eastAsia="新宋体" w:hAnsi="新宋体"/>
                <w:color w:val="auto"/>
                <w:sz w:val="21"/>
                <w:szCs w:val="21"/>
              </w:rPr>
              <w:t>销售对象【</w:t>
            </w:r>
            <w:r w:rsidR="002012C8" w:rsidRPr="002012C8">
              <w:rPr>
                <w:rFonts w:ascii="新宋体" w:eastAsia="新宋体" w:hAnsi="新宋体" w:hint="eastAsia"/>
                <w:color w:val="auto"/>
                <w:sz w:val="21"/>
                <w:szCs w:val="21"/>
              </w:rPr>
              <w:t>百信银行</w:t>
            </w:r>
            <w:r>
              <w:rPr>
                <w:rFonts w:ascii="新宋体" w:eastAsia="新宋体" w:hAnsi="新宋体" w:hint="eastAsia"/>
                <w:color w:val="auto"/>
                <w:sz w:val="21"/>
                <w:szCs w:val="21"/>
              </w:rPr>
              <w:t>及各销售服务渠道</w:t>
            </w:r>
            <w:r>
              <w:rPr>
                <w:rFonts w:ascii="新宋体" w:eastAsia="新宋体" w:hAnsi="新宋体"/>
                <w:color w:val="auto"/>
                <w:sz w:val="21"/>
                <w:szCs w:val="21"/>
              </w:rPr>
              <w:t>个人及机构客户，具体客户类型以销售机构规定为准】</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如理财产品份额类型有新增、减少和变更，青银理财将按照本理财产品说明书中有关“信息披露”的约定告知投资者。</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理财信息登记系统</w:t>
            </w:r>
          </w:p>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产品登记编码</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6E2C8D" w:rsidP="006E2C8D">
            <w:pPr>
              <w:spacing w:line="360" w:lineRule="auto"/>
              <w:jc w:val="left"/>
              <w:rPr>
                <w:rFonts w:ascii="新宋体" w:eastAsia="新宋体" w:hAnsi="新宋体"/>
                <w:color w:val="auto"/>
                <w:sz w:val="21"/>
                <w:szCs w:val="21"/>
              </w:rPr>
            </w:pPr>
            <w:r w:rsidRPr="006E2C8D">
              <w:rPr>
                <w:rFonts w:ascii="新宋体" w:eastAsia="新宋体" w:hAnsi="新宋体"/>
                <w:color w:val="auto"/>
                <w:sz w:val="21"/>
                <w:szCs w:val="21"/>
              </w:rPr>
              <w:t>Z7003526000376</w:t>
            </w:r>
            <w:r w:rsidR="004B5A89">
              <w:rPr>
                <w:rFonts w:ascii="新宋体" w:eastAsia="新宋体" w:hAnsi="新宋体" w:hint="eastAsia"/>
                <w:color w:val="auto"/>
                <w:sz w:val="21"/>
                <w:szCs w:val="21"/>
              </w:rPr>
              <w:t>，投资者可依据该编码在“中国理财网”（www.chinawealth.com.cn）查询产品信息</w:t>
            </w:r>
          </w:p>
        </w:tc>
      </w:tr>
      <w:tr w:rsidR="009C2918">
        <w:trPr>
          <w:trHeight w:val="369"/>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产品类型</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b/>
                <w:color w:val="auto"/>
                <w:sz w:val="21"/>
                <w:szCs w:val="21"/>
              </w:rPr>
            </w:pPr>
            <w:r>
              <w:rPr>
                <w:rFonts w:ascii="新宋体" w:eastAsia="新宋体" w:hAnsi="新宋体" w:hint="eastAsia"/>
                <w:b/>
                <w:color w:val="auto"/>
                <w:sz w:val="21"/>
                <w:szCs w:val="21"/>
              </w:rPr>
              <w:t>固定收益类，非保本浮动收益型，开放式，净值型，公募类</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本金/收益币种</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人民币</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销售服务机构</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青银理财及符合《理财公司理财产品销售管理暂行办法》和国家金融监督管理总局（原银保监会）规定，办理理财产品销售业务的机构。</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销售服务机构负责包括理财计划宣传推广、投资者风险承受能力评估和投资者适当性管理、理财计划份额认购/申购</w:t>
            </w:r>
            <w:r>
              <w:rPr>
                <w:rFonts w:ascii="新宋体" w:eastAsia="新宋体" w:hAnsi="新宋体"/>
                <w:color w:val="auto"/>
                <w:sz w:val="21"/>
                <w:szCs w:val="21"/>
              </w:rPr>
              <w:t>/赎回、协助管理人与投资者订立理财计划合同、协助投资者与管理人沟通、接受投资者咨询和客户维护等销售服务。</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产品募集期</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rsidP="00B55DB5">
            <w:pPr>
              <w:spacing w:line="360" w:lineRule="auto"/>
              <w:jc w:val="left"/>
              <w:rPr>
                <w:rFonts w:ascii="新宋体" w:eastAsia="新宋体" w:hAnsi="新宋体"/>
                <w:color w:val="auto"/>
                <w:sz w:val="21"/>
                <w:szCs w:val="21"/>
              </w:rPr>
            </w:pPr>
            <w:r>
              <w:rPr>
                <w:rFonts w:ascii="新宋体" w:eastAsia="新宋体" w:hAnsi="新宋体"/>
                <w:color w:val="auto"/>
                <w:sz w:val="21"/>
                <w:szCs w:val="21"/>
              </w:rPr>
              <w:t>2026</w:t>
            </w:r>
            <w:r>
              <w:rPr>
                <w:rFonts w:ascii="新宋体" w:eastAsia="新宋体" w:hAnsi="新宋体" w:hint="eastAsia"/>
                <w:color w:val="auto"/>
                <w:sz w:val="21"/>
                <w:szCs w:val="21"/>
              </w:rPr>
              <w:t>年</w:t>
            </w:r>
            <w:r w:rsidR="00B55DB5">
              <w:rPr>
                <w:rFonts w:ascii="新宋体" w:eastAsia="新宋体" w:hAnsi="新宋体"/>
                <w:color w:val="auto"/>
                <w:sz w:val="21"/>
                <w:szCs w:val="21"/>
              </w:rPr>
              <w:t>5</w:t>
            </w:r>
            <w:r>
              <w:rPr>
                <w:rFonts w:ascii="新宋体" w:eastAsia="新宋体" w:hAnsi="新宋体" w:hint="eastAsia"/>
                <w:color w:val="auto"/>
                <w:sz w:val="21"/>
                <w:szCs w:val="21"/>
              </w:rPr>
              <w:t>月</w:t>
            </w:r>
            <w:r w:rsidR="00B55DB5">
              <w:rPr>
                <w:rFonts w:ascii="新宋体" w:eastAsia="新宋体" w:hAnsi="新宋体"/>
                <w:color w:val="auto"/>
                <w:sz w:val="21"/>
                <w:szCs w:val="21"/>
              </w:rPr>
              <w:t>20</w:t>
            </w:r>
            <w:r>
              <w:rPr>
                <w:rFonts w:ascii="新宋体" w:eastAsia="新宋体" w:hAnsi="新宋体" w:hint="eastAsia"/>
                <w:color w:val="auto"/>
                <w:sz w:val="21"/>
                <w:szCs w:val="21"/>
              </w:rPr>
              <w:t>日 9:00—</w:t>
            </w:r>
            <w:r w:rsidR="00B55DB5">
              <w:rPr>
                <w:rFonts w:ascii="新宋体" w:eastAsia="新宋体" w:hAnsi="新宋体"/>
                <w:color w:val="auto"/>
                <w:sz w:val="21"/>
                <w:szCs w:val="21"/>
              </w:rPr>
              <w:t>2026</w:t>
            </w:r>
            <w:r w:rsidR="00B55DB5">
              <w:rPr>
                <w:rFonts w:ascii="新宋体" w:eastAsia="新宋体" w:hAnsi="新宋体" w:hint="eastAsia"/>
                <w:color w:val="auto"/>
                <w:sz w:val="21"/>
                <w:szCs w:val="21"/>
              </w:rPr>
              <w:t>年</w:t>
            </w:r>
            <w:r w:rsidR="00B55DB5">
              <w:rPr>
                <w:rFonts w:ascii="新宋体" w:eastAsia="新宋体" w:hAnsi="新宋体"/>
                <w:color w:val="auto"/>
                <w:sz w:val="21"/>
                <w:szCs w:val="21"/>
              </w:rPr>
              <w:t>5</w:t>
            </w:r>
            <w:r w:rsidR="00B55DB5">
              <w:rPr>
                <w:rFonts w:ascii="新宋体" w:eastAsia="新宋体" w:hAnsi="新宋体" w:hint="eastAsia"/>
                <w:color w:val="auto"/>
                <w:sz w:val="21"/>
                <w:szCs w:val="21"/>
              </w:rPr>
              <w:t>月</w:t>
            </w:r>
            <w:r w:rsidR="00D10CFA">
              <w:rPr>
                <w:rFonts w:ascii="新宋体" w:eastAsia="新宋体" w:hAnsi="新宋体"/>
                <w:color w:val="auto"/>
                <w:sz w:val="21"/>
                <w:szCs w:val="21"/>
              </w:rPr>
              <w:t>25</w:t>
            </w:r>
            <w:r w:rsidR="00B55DB5">
              <w:rPr>
                <w:rFonts w:ascii="新宋体" w:eastAsia="新宋体" w:hAnsi="新宋体" w:hint="eastAsia"/>
                <w:color w:val="auto"/>
                <w:sz w:val="21"/>
                <w:szCs w:val="21"/>
              </w:rPr>
              <w:t>日</w:t>
            </w:r>
            <w:r w:rsidR="00F42149">
              <w:rPr>
                <w:rFonts w:ascii="新宋体" w:eastAsia="新宋体" w:hAnsi="新宋体" w:hint="eastAsia"/>
                <w:color w:val="auto"/>
                <w:sz w:val="21"/>
                <w:szCs w:val="21"/>
              </w:rPr>
              <w:t>17:00</w:t>
            </w:r>
            <w:r>
              <w:rPr>
                <w:rFonts w:ascii="新宋体" w:eastAsia="新宋体" w:hAnsi="新宋体" w:hint="eastAsia"/>
                <w:color w:val="auto"/>
                <w:sz w:val="21"/>
                <w:szCs w:val="21"/>
              </w:rPr>
              <w:t>（含）。募集期内的购买申请将实时扣款（具体以各销售服务机构规则为准），于产品成立日起息确认。募集期内的购买申请仅可在募集期内撤销。</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产品成立日</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B55DB5" w:rsidP="00D10CFA">
            <w:pPr>
              <w:spacing w:line="360" w:lineRule="auto"/>
              <w:jc w:val="left"/>
              <w:rPr>
                <w:rFonts w:ascii="新宋体" w:eastAsia="新宋体" w:hAnsi="新宋体"/>
                <w:color w:val="auto"/>
                <w:sz w:val="21"/>
                <w:szCs w:val="21"/>
              </w:rPr>
            </w:pPr>
            <w:r>
              <w:rPr>
                <w:rFonts w:ascii="新宋体" w:eastAsia="新宋体" w:hAnsi="新宋体"/>
                <w:color w:val="auto"/>
                <w:sz w:val="21"/>
                <w:szCs w:val="21"/>
              </w:rPr>
              <w:t>2026</w:t>
            </w:r>
            <w:r>
              <w:rPr>
                <w:rFonts w:ascii="新宋体" w:eastAsia="新宋体" w:hAnsi="新宋体" w:hint="eastAsia"/>
                <w:color w:val="auto"/>
                <w:sz w:val="21"/>
                <w:szCs w:val="21"/>
              </w:rPr>
              <w:t>年</w:t>
            </w:r>
            <w:r>
              <w:rPr>
                <w:rFonts w:ascii="新宋体" w:eastAsia="新宋体" w:hAnsi="新宋体"/>
                <w:color w:val="auto"/>
                <w:sz w:val="21"/>
                <w:szCs w:val="21"/>
              </w:rPr>
              <w:t>5</w:t>
            </w:r>
            <w:r>
              <w:rPr>
                <w:rFonts w:ascii="新宋体" w:eastAsia="新宋体" w:hAnsi="新宋体" w:hint="eastAsia"/>
                <w:color w:val="auto"/>
                <w:sz w:val="21"/>
                <w:szCs w:val="21"/>
              </w:rPr>
              <w:t>月</w:t>
            </w:r>
            <w:r>
              <w:rPr>
                <w:rFonts w:ascii="新宋体" w:eastAsia="新宋体" w:hAnsi="新宋体"/>
                <w:color w:val="auto"/>
                <w:sz w:val="21"/>
                <w:szCs w:val="21"/>
              </w:rPr>
              <w:t>2</w:t>
            </w:r>
            <w:r w:rsidR="00D10CFA">
              <w:rPr>
                <w:rFonts w:ascii="新宋体" w:eastAsia="新宋体" w:hAnsi="新宋体"/>
                <w:color w:val="auto"/>
                <w:sz w:val="21"/>
                <w:szCs w:val="21"/>
              </w:rPr>
              <w:t>6</w:t>
            </w:r>
            <w:r>
              <w:rPr>
                <w:rFonts w:ascii="新宋体" w:eastAsia="新宋体" w:hAnsi="新宋体" w:hint="eastAsia"/>
                <w:color w:val="auto"/>
                <w:sz w:val="21"/>
                <w:szCs w:val="21"/>
              </w:rPr>
              <w:t>日</w:t>
            </w:r>
            <w:r w:rsidR="004B5A89">
              <w:rPr>
                <w:rFonts w:ascii="新宋体" w:eastAsia="新宋体" w:hAnsi="新宋体" w:hint="eastAsia"/>
                <w:color w:val="auto"/>
                <w:sz w:val="21"/>
                <w:szCs w:val="21"/>
              </w:rPr>
              <w:t>。本理财计划自成立日起，起息运作。</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b/>
                <w:color w:val="auto"/>
                <w:sz w:val="21"/>
                <w:szCs w:val="21"/>
              </w:rPr>
            </w:pPr>
            <w:r>
              <w:rPr>
                <w:rFonts w:ascii="新宋体" w:eastAsia="新宋体" w:hAnsi="新宋体" w:hint="eastAsia"/>
                <w:b/>
                <w:color w:val="auto"/>
                <w:sz w:val="21"/>
                <w:szCs w:val="21"/>
              </w:rPr>
              <w:t>产品开放期</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B55DB5" w:rsidP="00D10CFA">
            <w:pPr>
              <w:spacing w:line="360" w:lineRule="auto"/>
              <w:jc w:val="left"/>
              <w:rPr>
                <w:rFonts w:ascii="新宋体" w:eastAsia="新宋体" w:hAnsi="新宋体"/>
                <w:b/>
                <w:color w:val="auto"/>
                <w:sz w:val="21"/>
                <w:szCs w:val="21"/>
              </w:rPr>
            </w:pPr>
            <w:r w:rsidRPr="00B55DB5">
              <w:rPr>
                <w:rFonts w:ascii="新宋体" w:eastAsia="新宋体" w:hAnsi="新宋体"/>
                <w:b/>
                <w:color w:val="auto"/>
                <w:sz w:val="21"/>
                <w:szCs w:val="21"/>
              </w:rPr>
              <w:t>2026年5月2</w:t>
            </w:r>
            <w:r w:rsidR="00D10CFA">
              <w:rPr>
                <w:rFonts w:ascii="新宋体" w:eastAsia="新宋体" w:hAnsi="新宋体"/>
                <w:b/>
                <w:color w:val="auto"/>
                <w:sz w:val="21"/>
                <w:szCs w:val="21"/>
              </w:rPr>
              <w:t>6</w:t>
            </w:r>
            <w:r w:rsidRPr="00B55DB5">
              <w:rPr>
                <w:rFonts w:ascii="新宋体" w:eastAsia="新宋体" w:hAnsi="新宋体"/>
                <w:b/>
                <w:color w:val="auto"/>
                <w:sz w:val="21"/>
                <w:szCs w:val="21"/>
              </w:rPr>
              <w:t>日</w:t>
            </w:r>
            <w:r w:rsidR="004B5A89">
              <w:rPr>
                <w:rFonts w:ascii="新宋体" w:eastAsia="新宋体" w:hAnsi="新宋体" w:hint="eastAsia"/>
                <w:b/>
                <w:color w:val="auto"/>
                <w:sz w:val="21"/>
                <w:szCs w:val="21"/>
              </w:rPr>
              <w:t>至</w:t>
            </w:r>
            <w:r w:rsidR="004B5A89">
              <w:rPr>
                <w:rFonts w:ascii="新宋体" w:eastAsia="新宋体" w:hAnsi="新宋体"/>
                <w:b/>
                <w:color w:val="auto"/>
                <w:sz w:val="21"/>
                <w:szCs w:val="21"/>
              </w:rPr>
              <w:t>2099年12月30日</w:t>
            </w:r>
            <w:r w:rsidR="004B5A89">
              <w:rPr>
                <w:rFonts w:ascii="新宋体" w:eastAsia="新宋体" w:hAnsi="新宋体" w:hint="eastAsia"/>
                <w:b/>
                <w:color w:val="auto"/>
                <w:sz w:val="21"/>
                <w:szCs w:val="21"/>
              </w:rPr>
              <w:t>，投资者每日均可提交购买</w:t>
            </w:r>
            <w:bookmarkStart w:id="0" w:name="_GoBack"/>
            <w:bookmarkEnd w:id="0"/>
            <w:r w:rsidR="004B5A89">
              <w:rPr>
                <w:rFonts w:ascii="新宋体" w:eastAsia="新宋体" w:hAnsi="新宋体" w:hint="eastAsia"/>
                <w:b/>
                <w:color w:val="auto"/>
                <w:sz w:val="21"/>
                <w:szCs w:val="21"/>
              </w:rPr>
              <w:t>、赎回申请。（银行早晚系统批量清算期间可能无法交易）。</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b/>
                <w:color w:val="auto"/>
                <w:sz w:val="21"/>
                <w:szCs w:val="21"/>
              </w:rPr>
            </w:pPr>
            <w:r>
              <w:rPr>
                <w:rFonts w:ascii="新宋体" w:eastAsia="新宋体" w:hAnsi="新宋体" w:hint="eastAsia"/>
                <w:color w:val="auto"/>
                <w:sz w:val="21"/>
                <w:szCs w:val="21"/>
              </w:rPr>
              <w:t>产品到期日</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b/>
                <w:color w:val="auto"/>
                <w:sz w:val="21"/>
                <w:szCs w:val="21"/>
              </w:rPr>
            </w:pPr>
            <w:r>
              <w:rPr>
                <w:rFonts w:ascii="新宋体" w:eastAsia="新宋体" w:hAnsi="新宋体"/>
                <w:color w:val="auto"/>
                <w:sz w:val="21"/>
                <w:szCs w:val="21"/>
              </w:rPr>
              <w:t>2099</w:t>
            </w:r>
            <w:r>
              <w:rPr>
                <w:rFonts w:ascii="新宋体" w:eastAsia="新宋体" w:hAnsi="新宋体" w:hint="eastAsia"/>
                <w:color w:val="auto"/>
                <w:sz w:val="21"/>
                <w:szCs w:val="21"/>
              </w:rPr>
              <w:t>年</w:t>
            </w:r>
            <w:r>
              <w:rPr>
                <w:rFonts w:ascii="新宋体" w:eastAsia="新宋体" w:hAnsi="新宋体"/>
                <w:color w:val="auto"/>
                <w:sz w:val="21"/>
                <w:szCs w:val="21"/>
              </w:rPr>
              <w:t>12</w:t>
            </w:r>
            <w:r>
              <w:rPr>
                <w:rFonts w:ascii="新宋体" w:eastAsia="新宋体" w:hAnsi="新宋体" w:hint="eastAsia"/>
                <w:color w:val="auto"/>
                <w:sz w:val="21"/>
                <w:szCs w:val="21"/>
              </w:rPr>
              <w:t>月</w:t>
            </w:r>
            <w:r>
              <w:rPr>
                <w:rFonts w:ascii="新宋体" w:eastAsia="新宋体" w:hAnsi="新宋体"/>
                <w:color w:val="auto"/>
                <w:sz w:val="21"/>
                <w:szCs w:val="21"/>
              </w:rPr>
              <w:t>31</w:t>
            </w:r>
            <w:r>
              <w:rPr>
                <w:rFonts w:ascii="新宋体" w:eastAsia="新宋体" w:hAnsi="新宋体" w:hint="eastAsia"/>
                <w:color w:val="auto"/>
                <w:sz w:val="21"/>
                <w:szCs w:val="21"/>
              </w:rPr>
              <w:t>日。如青银理财提前（延期）终止本理财计划，则产品到期日为提前（延期）终止日，产品到期日以届时青银理财公告信息为准。产品到期日当天暂停交易。</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工作日及时间</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除国家法定节假日、公休日以外的其他银行正常工作日本协议中的时间均指北京时间。</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交易日</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指上海证券交易所、深圳证券交易所及全国银行间债券市场同时开放交易的工作日。</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产品规模上限</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color w:val="auto"/>
                <w:sz w:val="21"/>
                <w:szCs w:val="21"/>
              </w:rPr>
              <w:t>A</w:t>
            </w:r>
            <w:r>
              <w:rPr>
                <w:rFonts w:ascii="新宋体" w:eastAsia="新宋体" w:hAnsi="新宋体" w:hint="eastAsia"/>
                <w:color w:val="auto"/>
                <w:sz w:val="21"/>
                <w:szCs w:val="21"/>
              </w:rPr>
              <w:t>份额规模上限</w:t>
            </w:r>
            <w:r w:rsidR="00385F38">
              <w:rPr>
                <w:rFonts w:ascii="新宋体" w:eastAsia="新宋体" w:hAnsi="新宋体"/>
                <w:color w:val="auto"/>
                <w:sz w:val="21"/>
                <w:szCs w:val="21"/>
              </w:rPr>
              <w:t>1</w:t>
            </w:r>
            <w:r>
              <w:rPr>
                <w:rFonts w:ascii="新宋体" w:eastAsia="新宋体" w:hAnsi="新宋体"/>
                <w:color w:val="auto"/>
                <w:sz w:val="21"/>
                <w:szCs w:val="21"/>
              </w:rPr>
              <w:t>00</w:t>
            </w:r>
            <w:r>
              <w:rPr>
                <w:rFonts w:ascii="新宋体" w:eastAsia="新宋体" w:hAnsi="新宋体" w:hint="eastAsia"/>
                <w:color w:val="auto"/>
                <w:sz w:val="21"/>
                <w:szCs w:val="21"/>
              </w:rPr>
              <w:t>亿。</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如需调整规模上限，青银理财将最迟提前2个工作日发布公告。</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单一投资者</w:t>
            </w:r>
          </w:p>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持有上限</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单一投资者持有份额不得超过产品总份额的</w:t>
            </w:r>
            <w:r>
              <w:rPr>
                <w:rFonts w:ascii="新宋体" w:eastAsia="新宋体" w:hAnsi="新宋体"/>
                <w:color w:val="auto"/>
                <w:sz w:val="21"/>
                <w:szCs w:val="21"/>
              </w:rPr>
              <w:t>50%。</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非因管理人主观因素导致突破上述比例限制的，在单一投资者持有比例降至</w:t>
            </w:r>
            <w:r>
              <w:rPr>
                <w:rFonts w:ascii="新宋体" w:eastAsia="新宋体" w:hAnsi="新宋体"/>
                <w:color w:val="auto"/>
                <w:sz w:val="21"/>
                <w:szCs w:val="21"/>
              </w:rPr>
              <w:t>50%以下之前，管理人不再接受该投资者对本理财产品的购买申请。</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购买金额</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rPr>
                <w:rFonts w:ascii="新宋体" w:eastAsia="新宋体" w:hAnsi="新宋体"/>
                <w:color w:val="auto"/>
                <w:sz w:val="21"/>
                <w:szCs w:val="21"/>
              </w:rPr>
            </w:pPr>
            <w:r>
              <w:rPr>
                <w:rFonts w:ascii="新宋体" w:eastAsia="新宋体" w:hAnsi="新宋体" w:hint="eastAsia"/>
                <w:color w:val="auto"/>
                <w:sz w:val="21"/>
                <w:szCs w:val="21"/>
              </w:rPr>
              <w:t>1.首次购买</w:t>
            </w:r>
            <w:r w:rsidR="00B328C7">
              <w:rPr>
                <w:rFonts w:ascii="新宋体" w:eastAsia="新宋体" w:hAnsi="新宋体"/>
                <w:color w:val="auto"/>
                <w:sz w:val="21"/>
                <w:szCs w:val="21"/>
              </w:rPr>
              <w:t>1</w:t>
            </w:r>
            <w:r>
              <w:rPr>
                <w:rFonts w:ascii="新宋体" w:eastAsia="新宋体" w:hAnsi="新宋体" w:hint="eastAsia"/>
                <w:color w:val="auto"/>
                <w:sz w:val="21"/>
                <w:szCs w:val="21"/>
              </w:rPr>
              <w:t>元起，</w:t>
            </w:r>
            <w:r w:rsidR="00B328C7">
              <w:rPr>
                <w:rFonts w:ascii="新宋体" w:eastAsia="新宋体" w:hAnsi="新宋体"/>
                <w:color w:val="auto"/>
                <w:sz w:val="21"/>
                <w:szCs w:val="21"/>
              </w:rPr>
              <w:t>1</w:t>
            </w:r>
            <w:r>
              <w:rPr>
                <w:rFonts w:ascii="新宋体" w:eastAsia="新宋体" w:hAnsi="新宋体"/>
                <w:color w:val="auto"/>
                <w:sz w:val="21"/>
                <w:szCs w:val="21"/>
              </w:rPr>
              <w:t>元</w:t>
            </w:r>
            <w:r>
              <w:rPr>
                <w:rFonts w:ascii="新宋体" w:eastAsia="新宋体" w:hAnsi="新宋体" w:hint="eastAsia"/>
                <w:color w:val="auto"/>
                <w:sz w:val="21"/>
                <w:szCs w:val="21"/>
              </w:rPr>
              <w:t>整数倍递增，全部赎回成功后再次购买视为首次购买</w:t>
            </w:r>
          </w:p>
          <w:p w:rsidR="009C2918" w:rsidRDefault="004B5A89">
            <w:pPr>
              <w:spacing w:line="360" w:lineRule="auto"/>
              <w:rPr>
                <w:rFonts w:ascii="新宋体" w:eastAsia="新宋体" w:hAnsi="新宋体"/>
                <w:color w:val="auto"/>
                <w:sz w:val="21"/>
                <w:szCs w:val="21"/>
              </w:rPr>
            </w:pPr>
            <w:r>
              <w:rPr>
                <w:rFonts w:ascii="新宋体" w:eastAsia="新宋体" w:hAnsi="新宋体" w:hint="eastAsia"/>
                <w:color w:val="auto"/>
                <w:sz w:val="21"/>
                <w:szCs w:val="21"/>
              </w:rPr>
              <w:t>2.</w:t>
            </w:r>
            <w:r>
              <w:rPr>
                <w:rFonts w:ascii="新宋体" w:eastAsia="新宋体" w:hAnsi="新宋体" w:hint="eastAsia"/>
                <w:b/>
                <w:color w:val="auto"/>
                <w:sz w:val="21"/>
                <w:szCs w:val="21"/>
              </w:rPr>
              <w:t>如投资者购买申请触发该产品规模上限控制，则购买申请将被拒绝</w:t>
            </w:r>
            <w:r>
              <w:rPr>
                <w:rFonts w:ascii="新宋体" w:eastAsia="新宋体" w:hAnsi="新宋体" w:hint="eastAsia"/>
                <w:color w:val="auto"/>
                <w:sz w:val="21"/>
                <w:szCs w:val="21"/>
              </w:rPr>
              <w:t>。</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单户投资上限</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rPr>
                <w:rFonts w:ascii="新宋体" w:eastAsia="新宋体" w:hAnsi="新宋体"/>
                <w:color w:val="auto"/>
                <w:sz w:val="21"/>
                <w:szCs w:val="21"/>
              </w:rPr>
            </w:pPr>
            <w:r>
              <w:rPr>
                <w:rFonts w:ascii="新宋体" w:eastAsia="新宋体" w:hAnsi="新宋体" w:hint="eastAsia"/>
                <w:color w:val="auto"/>
                <w:sz w:val="21"/>
                <w:szCs w:val="21"/>
              </w:rPr>
              <w:t>A份额：</w:t>
            </w:r>
            <w:r>
              <w:rPr>
                <w:rFonts w:ascii="新宋体" w:eastAsia="新宋体" w:hAnsi="新宋体"/>
                <w:color w:val="auto"/>
                <w:sz w:val="21"/>
                <w:szCs w:val="21"/>
              </w:rPr>
              <w:t>2000万</w:t>
            </w:r>
            <w:r>
              <w:rPr>
                <w:rFonts w:ascii="新宋体" w:eastAsia="新宋体" w:hAnsi="新宋体" w:hint="eastAsia"/>
                <w:b/>
                <w:color w:val="auto"/>
                <w:sz w:val="21"/>
                <w:szCs w:val="21"/>
              </w:rPr>
              <w:t>（同时受产品规模上限约束）</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赎回份额</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rPr>
                <w:rFonts w:ascii="新宋体" w:eastAsia="新宋体" w:hAnsi="新宋体"/>
                <w:color w:val="auto"/>
                <w:sz w:val="21"/>
                <w:szCs w:val="21"/>
              </w:rPr>
            </w:pPr>
            <w:r>
              <w:rPr>
                <w:rFonts w:ascii="新宋体" w:eastAsia="新宋体" w:hAnsi="新宋体"/>
                <w:color w:val="auto"/>
                <w:sz w:val="21"/>
                <w:szCs w:val="21"/>
              </w:rPr>
              <w:t>赎回份额为0.01份的整数倍，导致交易后余额低于0.01份的赎回申请，系统将拒绝</w:t>
            </w:r>
            <w:r>
              <w:rPr>
                <w:rFonts w:ascii="新宋体" w:eastAsia="新宋体" w:hAnsi="新宋体" w:hint="eastAsia"/>
                <w:color w:val="auto"/>
                <w:sz w:val="21"/>
                <w:szCs w:val="21"/>
              </w:rPr>
              <w:t>（全部赎回无限制）。</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最低持有份额</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rPr>
                <w:rFonts w:ascii="新宋体" w:eastAsia="新宋体" w:hAnsi="新宋体"/>
                <w:color w:val="auto"/>
                <w:sz w:val="21"/>
                <w:szCs w:val="21"/>
              </w:rPr>
            </w:pPr>
            <w:r>
              <w:rPr>
                <w:rFonts w:ascii="新宋体" w:eastAsia="新宋体" w:hAnsi="新宋体" w:hint="eastAsia"/>
                <w:color w:val="auto"/>
                <w:sz w:val="21"/>
                <w:szCs w:val="21"/>
              </w:rPr>
              <w:t>部分赎回后持有本理财份额不得低于0</w:t>
            </w:r>
            <w:r>
              <w:rPr>
                <w:rFonts w:ascii="新宋体" w:eastAsia="新宋体" w:hAnsi="新宋体"/>
                <w:color w:val="auto"/>
                <w:sz w:val="21"/>
                <w:szCs w:val="21"/>
              </w:rPr>
              <w:t>.0</w:t>
            </w:r>
            <w:r>
              <w:rPr>
                <w:rFonts w:ascii="新宋体" w:eastAsia="新宋体" w:hAnsi="新宋体" w:hint="eastAsia"/>
                <w:color w:val="auto"/>
                <w:sz w:val="21"/>
                <w:szCs w:val="21"/>
              </w:rPr>
              <w:t>1份（全部赎回无限制）</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单位净值</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color w:val="auto"/>
                <w:sz w:val="21"/>
                <w:szCs w:val="21"/>
              </w:rPr>
              <w:t>1.本产品单位净值为单位理财产品份额的净值，该净值为扣除相关费用后的净值</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color w:val="auto"/>
                <w:sz w:val="21"/>
                <w:szCs w:val="21"/>
              </w:rPr>
              <w:t>2.募集期内初始单位净值1元/份，若后续投资运作出现盈利（亏损），单位净值将上升（下降），</w:t>
            </w:r>
            <w:r>
              <w:rPr>
                <w:rFonts w:ascii="新宋体" w:eastAsia="新宋体" w:hAnsi="新宋体"/>
                <w:b/>
                <w:color w:val="auto"/>
                <w:sz w:val="21"/>
                <w:szCs w:val="21"/>
              </w:rPr>
              <w:t>如运作亏损，投资者所持产品市值可能小于初始投资本金。</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color w:val="auto"/>
                <w:sz w:val="21"/>
                <w:szCs w:val="21"/>
              </w:rPr>
              <w:t>3.本理财产品成立后，青银理财将按照监管政策要求，对理财产品的单位净值进行披露，单位净值四舍五入保留至6位小数。投资者可通过青银理财直销APP等可用渠道查询详情。</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有效交易时间</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工作日9:00—17:00（含）。</w:t>
            </w:r>
            <w:r>
              <w:rPr>
                <w:rFonts w:ascii="新宋体" w:eastAsia="新宋体" w:hAnsi="新宋体" w:hint="eastAsia"/>
                <w:b/>
                <w:color w:val="auto"/>
                <w:sz w:val="21"/>
                <w:szCs w:val="21"/>
              </w:rPr>
              <w:t>如系统批量提前完成，开始时间可能早于9:00</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开放期</w:t>
            </w:r>
          </w:p>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购买及确认</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color w:val="auto"/>
                <w:sz w:val="21"/>
                <w:szCs w:val="21"/>
              </w:rPr>
              <w:t>1</w:t>
            </w:r>
            <w:r>
              <w:rPr>
                <w:rFonts w:ascii="新宋体" w:eastAsia="新宋体" w:hAnsi="新宋体" w:hint="eastAsia"/>
                <w:color w:val="auto"/>
                <w:sz w:val="21"/>
                <w:szCs w:val="21"/>
              </w:rPr>
              <w:t>.T</w:t>
            </w:r>
            <w:r>
              <w:rPr>
                <w:rFonts w:ascii="新宋体" w:eastAsia="新宋体" w:hAnsi="新宋体"/>
                <w:color w:val="auto"/>
                <w:sz w:val="21"/>
                <w:szCs w:val="21"/>
              </w:rPr>
              <w:t>日</w:t>
            </w:r>
            <w:r>
              <w:rPr>
                <w:rFonts w:ascii="新宋体" w:eastAsia="新宋体" w:hAnsi="新宋体" w:hint="eastAsia"/>
                <w:color w:val="auto"/>
                <w:sz w:val="21"/>
                <w:szCs w:val="21"/>
              </w:rPr>
              <w:t>17：00（含）之前</w:t>
            </w:r>
            <w:r>
              <w:rPr>
                <w:rFonts w:ascii="新宋体" w:eastAsia="新宋体" w:hAnsi="新宋体"/>
                <w:color w:val="auto"/>
                <w:sz w:val="21"/>
                <w:szCs w:val="21"/>
              </w:rPr>
              <w:t>购买，</w:t>
            </w:r>
            <w:r>
              <w:rPr>
                <w:rFonts w:ascii="新宋体" w:eastAsia="新宋体" w:hAnsi="新宋体" w:hint="eastAsia"/>
                <w:color w:val="auto"/>
                <w:sz w:val="21"/>
                <w:szCs w:val="21"/>
              </w:rPr>
              <w:t>购买资金实时扣款（具体以各销售服务机构规则为准），青银理财将在T</w:t>
            </w:r>
            <w:r>
              <w:rPr>
                <w:rFonts w:ascii="新宋体" w:eastAsia="新宋体" w:hAnsi="新宋体"/>
                <w:color w:val="auto"/>
                <w:sz w:val="21"/>
                <w:szCs w:val="21"/>
              </w:rPr>
              <w:t>+1</w:t>
            </w:r>
            <w:r>
              <w:rPr>
                <w:rFonts w:ascii="新宋体" w:eastAsia="新宋体" w:hAnsi="新宋体" w:hint="eastAsia"/>
                <w:color w:val="auto"/>
                <w:sz w:val="21"/>
                <w:szCs w:val="21"/>
              </w:rPr>
              <w:t>日对该笔购买申请进行确认并开始计算收益，</w:t>
            </w:r>
            <w:r>
              <w:rPr>
                <w:rFonts w:ascii="新宋体" w:eastAsia="新宋体" w:hAnsi="新宋体"/>
                <w:color w:val="auto"/>
                <w:sz w:val="21"/>
                <w:szCs w:val="21"/>
              </w:rPr>
              <w:t>确认使用</w:t>
            </w:r>
            <w:r>
              <w:rPr>
                <w:rFonts w:ascii="新宋体" w:eastAsia="新宋体" w:hAnsi="新宋体" w:hint="eastAsia"/>
                <w:color w:val="auto"/>
                <w:sz w:val="21"/>
                <w:szCs w:val="21"/>
              </w:rPr>
              <w:t>T日单位</w:t>
            </w:r>
            <w:r>
              <w:rPr>
                <w:rFonts w:ascii="新宋体" w:eastAsia="新宋体" w:hAnsi="新宋体"/>
                <w:color w:val="auto"/>
                <w:sz w:val="21"/>
                <w:szCs w:val="21"/>
              </w:rPr>
              <w:t>净值。</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color w:val="auto"/>
                <w:sz w:val="21"/>
                <w:szCs w:val="21"/>
              </w:rPr>
              <w:t>2</w:t>
            </w:r>
            <w:r>
              <w:rPr>
                <w:rFonts w:ascii="新宋体" w:eastAsia="新宋体" w:hAnsi="新宋体" w:hint="eastAsia"/>
                <w:color w:val="auto"/>
                <w:sz w:val="21"/>
                <w:szCs w:val="21"/>
              </w:rPr>
              <w:t>.T日17:00（不含）之后购买，购买资金实时扣款（具体以各销售服务机构规则为准），该购买委托算作下一工作日（T+1日）的申请，青银理财将于T+2日对该笔购买申请进行确认并开始计算收益，确认使用T+</w:t>
            </w:r>
            <w:r>
              <w:rPr>
                <w:rFonts w:ascii="新宋体" w:eastAsia="新宋体" w:hAnsi="新宋体"/>
                <w:color w:val="auto"/>
                <w:sz w:val="21"/>
                <w:szCs w:val="21"/>
              </w:rPr>
              <w:t>1</w:t>
            </w:r>
            <w:r>
              <w:rPr>
                <w:rFonts w:ascii="新宋体" w:eastAsia="新宋体" w:hAnsi="新宋体" w:hint="eastAsia"/>
                <w:color w:val="auto"/>
                <w:sz w:val="21"/>
                <w:szCs w:val="21"/>
              </w:rPr>
              <w:t>日的单位净值。</w:t>
            </w:r>
            <w:r>
              <w:rPr>
                <w:rFonts w:ascii="新宋体" w:eastAsia="新宋体" w:hAnsi="新宋体" w:hint="eastAsia"/>
                <w:color w:val="auto"/>
                <w:sz w:val="21"/>
                <w:szCs w:val="21"/>
              </w:rPr>
              <w:br/>
            </w:r>
            <w:r>
              <w:rPr>
                <w:rFonts w:ascii="新宋体" w:eastAsia="新宋体" w:hAnsi="新宋体"/>
                <w:color w:val="auto"/>
                <w:sz w:val="21"/>
                <w:szCs w:val="21"/>
              </w:rPr>
              <w:t>3</w:t>
            </w:r>
            <w:r>
              <w:rPr>
                <w:rFonts w:ascii="新宋体" w:eastAsia="新宋体" w:hAnsi="新宋体" w:hint="eastAsia"/>
                <w:color w:val="auto"/>
                <w:sz w:val="21"/>
                <w:szCs w:val="21"/>
              </w:rPr>
              <w:t>.T日交易申请仅可在T日17:00（含）前撤销，撤销成功后购买资金</w:t>
            </w:r>
            <w:r>
              <w:rPr>
                <w:rFonts w:ascii="新宋体" w:eastAsia="新宋体" w:hAnsi="新宋体"/>
                <w:color w:val="auto"/>
                <w:sz w:val="21"/>
                <w:szCs w:val="21"/>
              </w:rPr>
              <w:t>回款</w:t>
            </w:r>
            <w:r>
              <w:rPr>
                <w:rFonts w:ascii="新宋体" w:eastAsia="新宋体" w:hAnsi="新宋体" w:hint="eastAsia"/>
                <w:color w:val="auto"/>
                <w:sz w:val="21"/>
                <w:szCs w:val="21"/>
              </w:rPr>
              <w:t>时间以各销售机构实际情况为准。</w:t>
            </w:r>
          </w:p>
          <w:p w:rsidR="009C2918" w:rsidRDefault="004B5A89">
            <w:pPr>
              <w:spacing w:line="360" w:lineRule="auto"/>
              <w:rPr>
                <w:rFonts w:ascii="新宋体" w:eastAsia="新宋体" w:hAnsi="新宋体"/>
                <w:color w:val="auto"/>
                <w:sz w:val="21"/>
                <w:szCs w:val="21"/>
              </w:rPr>
            </w:pPr>
            <w:r>
              <w:rPr>
                <w:rFonts w:ascii="新宋体" w:eastAsia="新宋体" w:hAnsi="新宋体"/>
                <w:color w:val="auto"/>
                <w:sz w:val="21"/>
                <w:szCs w:val="21"/>
              </w:rPr>
              <w:t>4</w:t>
            </w:r>
            <w:r>
              <w:rPr>
                <w:rFonts w:ascii="新宋体" w:eastAsia="新宋体" w:hAnsi="新宋体" w:hint="eastAsia"/>
                <w:color w:val="auto"/>
                <w:sz w:val="21"/>
                <w:szCs w:val="21"/>
              </w:rPr>
              <w:t>.购买确认份额=购买金额÷单位净值。产品份额四舍五入保留2位小数。</w:t>
            </w:r>
          </w:p>
          <w:p w:rsidR="009C2918" w:rsidRDefault="004B5A89">
            <w:pPr>
              <w:spacing w:line="360" w:lineRule="auto"/>
              <w:rPr>
                <w:rFonts w:ascii="新宋体" w:eastAsia="新宋体" w:hAnsi="新宋体"/>
                <w:color w:val="auto"/>
                <w:sz w:val="21"/>
                <w:szCs w:val="21"/>
              </w:rPr>
            </w:pPr>
            <w:r>
              <w:rPr>
                <w:rFonts w:ascii="新宋体" w:eastAsia="新宋体" w:hAnsi="新宋体" w:hint="eastAsia"/>
                <w:color w:val="auto"/>
                <w:sz w:val="21"/>
                <w:szCs w:val="21"/>
              </w:rPr>
              <w:t>5</w:t>
            </w:r>
            <w:r>
              <w:rPr>
                <w:rFonts w:ascii="新宋体" w:eastAsia="新宋体" w:hAnsi="新宋体"/>
                <w:color w:val="auto"/>
                <w:sz w:val="21"/>
                <w:szCs w:val="21"/>
              </w:rPr>
              <w:t>.</w:t>
            </w:r>
            <w:r>
              <w:rPr>
                <w:rFonts w:ascii="新宋体" w:eastAsia="新宋体" w:hAnsi="新宋体" w:hint="eastAsia"/>
                <w:color w:val="auto"/>
                <w:sz w:val="21"/>
                <w:szCs w:val="21"/>
              </w:rPr>
              <w:t>上述T日</w:t>
            </w:r>
            <w:r>
              <w:rPr>
                <w:rFonts w:ascii="新宋体" w:eastAsia="新宋体" w:hAnsi="新宋体"/>
                <w:color w:val="auto"/>
                <w:sz w:val="21"/>
                <w:szCs w:val="21"/>
              </w:rPr>
              <w:t>、</w:t>
            </w:r>
            <w:r>
              <w:rPr>
                <w:rFonts w:ascii="新宋体" w:eastAsia="新宋体" w:hAnsi="新宋体" w:hint="eastAsia"/>
                <w:color w:val="auto"/>
                <w:sz w:val="21"/>
                <w:szCs w:val="21"/>
              </w:rPr>
              <w:t>T+1日、T+2日指工作日。</w:t>
            </w:r>
          </w:p>
          <w:p w:rsidR="009C2918" w:rsidRDefault="004B5A89">
            <w:pPr>
              <w:spacing w:line="360" w:lineRule="auto"/>
              <w:rPr>
                <w:rFonts w:ascii="新宋体" w:eastAsia="新宋体" w:hAnsi="新宋体"/>
                <w:color w:val="auto"/>
                <w:sz w:val="21"/>
                <w:szCs w:val="21"/>
              </w:rPr>
            </w:pPr>
            <w:r>
              <w:rPr>
                <w:rFonts w:ascii="新宋体" w:eastAsia="新宋体" w:hAnsi="新宋体" w:hint="eastAsia"/>
                <w:color w:val="auto"/>
                <w:sz w:val="21"/>
                <w:szCs w:val="21"/>
              </w:rPr>
              <w:t>开放期申购资金是否产生利息及相关利率及其计算方式以各销售渠道实际计量为准，产生的利息</w:t>
            </w:r>
            <w:r>
              <w:rPr>
                <w:rFonts w:ascii="新宋体" w:eastAsia="新宋体" w:hAnsi="新宋体"/>
                <w:color w:val="auto"/>
                <w:sz w:val="21"/>
                <w:szCs w:val="21"/>
              </w:rPr>
              <w:t>(如有)不作为理财资金进入运作，不计算理财收益。</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开放期</w:t>
            </w:r>
          </w:p>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赎回及确认</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color w:val="auto"/>
                <w:sz w:val="21"/>
                <w:szCs w:val="21"/>
              </w:rPr>
              <w:t>1</w:t>
            </w:r>
            <w:r>
              <w:rPr>
                <w:rFonts w:ascii="新宋体" w:eastAsia="新宋体" w:hAnsi="新宋体" w:hint="eastAsia"/>
                <w:color w:val="auto"/>
                <w:sz w:val="21"/>
                <w:szCs w:val="21"/>
              </w:rPr>
              <w:t>.T</w:t>
            </w:r>
            <w:r>
              <w:rPr>
                <w:rFonts w:ascii="新宋体" w:eastAsia="新宋体" w:hAnsi="新宋体"/>
                <w:color w:val="auto"/>
                <w:sz w:val="21"/>
                <w:szCs w:val="21"/>
              </w:rPr>
              <w:t>日</w:t>
            </w:r>
            <w:r>
              <w:rPr>
                <w:rFonts w:ascii="新宋体" w:eastAsia="新宋体" w:hAnsi="新宋体" w:hint="eastAsia"/>
                <w:color w:val="auto"/>
                <w:sz w:val="21"/>
                <w:szCs w:val="21"/>
              </w:rPr>
              <w:t>17：00（含）之前赎回</w:t>
            </w:r>
            <w:r>
              <w:rPr>
                <w:rFonts w:ascii="新宋体" w:eastAsia="新宋体" w:hAnsi="新宋体"/>
                <w:color w:val="auto"/>
                <w:sz w:val="21"/>
                <w:szCs w:val="21"/>
              </w:rPr>
              <w:t>，</w:t>
            </w:r>
            <w:r>
              <w:rPr>
                <w:rFonts w:ascii="新宋体" w:eastAsia="新宋体" w:hAnsi="新宋体" w:hint="eastAsia"/>
                <w:color w:val="auto"/>
                <w:sz w:val="21"/>
                <w:szCs w:val="21"/>
              </w:rPr>
              <w:t>青银理财将在T</w:t>
            </w:r>
            <w:r>
              <w:rPr>
                <w:rFonts w:ascii="新宋体" w:eastAsia="新宋体" w:hAnsi="新宋体"/>
                <w:color w:val="auto"/>
                <w:sz w:val="21"/>
                <w:szCs w:val="21"/>
              </w:rPr>
              <w:t>+1</w:t>
            </w:r>
            <w:r>
              <w:rPr>
                <w:rFonts w:ascii="新宋体" w:eastAsia="新宋体" w:hAnsi="新宋体" w:hint="eastAsia"/>
                <w:color w:val="auto"/>
                <w:sz w:val="21"/>
                <w:szCs w:val="21"/>
              </w:rPr>
              <w:t>日对该笔赎回申请进行确认，赎回</w:t>
            </w:r>
            <w:r>
              <w:rPr>
                <w:rFonts w:ascii="新宋体" w:eastAsia="新宋体" w:hAnsi="新宋体"/>
                <w:color w:val="auto"/>
                <w:sz w:val="21"/>
                <w:szCs w:val="21"/>
              </w:rPr>
              <w:t>入账资金计算使用</w:t>
            </w:r>
            <w:r>
              <w:rPr>
                <w:rFonts w:ascii="新宋体" w:eastAsia="新宋体" w:hAnsi="新宋体" w:hint="eastAsia"/>
                <w:color w:val="auto"/>
                <w:sz w:val="21"/>
                <w:szCs w:val="21"/>
              </w:rPr>
              <w:t>T日单位</w:t>
            </w:r>
            <w:r>
              <w:rPr>
                <w:rFonts w:ascii="新宋体" w:eastAsia="新宋体" w:hAnsi="新宋体"/>
                <w:color w:val="auto"/>
                <w:sz w:val="21"/>
                <w:szCs w:val="21"/>
              </w:rPr>
              <w:t>净值。</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color w:val="auto"/>
                <w:sz w:val="21"/>
                <w:szCs w:val="21"/>
              </w:rPr>
              <w:t>2</w:t>
            </w:r>
            <w:r>
              <w:rPr>
                <w:rFonts w:ascii="新宋体" w:eastAsia="新宋体" w:hAnsi="新宋体" w:hint="eastAsia"/>
                <w:color w:val="auto"/>
                <w:sz w:val="21"/>
                <w:szCs w:val="21"/>
              </w:rPr>
              <w:t>.T日17:00（不含）之后赎回，该赎回委托算作下一工作日（T+1日）的申请，青银理财将于T+2日对该笔赎回申请进行确认，赎回</w:t>
            </w:r>
            <w:r>
              <w:rPr>
                <w:rFonts w:ascii="新宋体" w:eastAsia="新宋体" w:hAnsi="新宋体"/>
                <w:color w:val="auto"/>
                <w:sz w:val="21"/>
                <w:szCs w:val="21"/>
              </w:rPr>
              <w:t>入账资金计算</w:t>
            </w:r>
            <w:r>
              <w:rPr>
                <w:rFonts w:ascii="新宋体" w:eastAsia="新宋体" w:hAnsi="新宋体" w:hint="eastAsia"/>
                <w:color w:val="auto"/>
                <w:sz w:val="21"/>
                <w:szCs w:val="21"/>
              </w:rPr>
              <w:t>使用T+</w:t>
            </w:r>
            <w:r>
              <w:rPr>
                <w:rFonts w:ascii="新宋体" w:eastAsia="新宋体" w:hAnsi="新宋体"/>
                <w:color w:val="auto"/>
                <w:sz w:val="21"/>
                <w:szCs w:val="21"/>
              </w:rPr>
              <w:t>1</w:t>
            </w:r>
            <w:r>
              <w:rPr>
                <w:rFonts w:ascii="新宋体" w:eastAsia="新宋体" w:hAnsi="新宋体" w:hint="eastAsia"/>
                <w:color w:val="auto"/>
                <w:sz w:val="21"/>
                <w:szCs w:val="21"/>
              </w:rPr>
              <w:t>日的单位净值。</w:t>
            </w:r>
            <w:r>
              <w:rPr>
                <w:rFonts w:ascii="新宋体" w:eastAsia="新宋体" w:hAnsi="新宋体" w:hint="eastAsia"/>
                <w:color w:val="auto"/>
                <w:sz w:val="21"/>
                <w:szCs w:val="21"/>
              </w:rPr>
              <w:br/>
            </w:r>
            <w:r>
              <w:rPr>
                <w:rFonts w:ascii="新宋体" w:eastAsia="新宋体" w:hAnsi="新宋体"/>
                <w:color w:val="auto"/>
                <w:sz w:val="21"/>
                <w:szCs w:val="21"/>
              </w:rPr>
              <w:t>3</w:t>
            </w:r>
            <w:r>
              <w:rPr>
                <w:rFonts w:ascii="新宋体" w:eastAsia="新宋体" w:hAnsi="新宋体" w:hint="eastAsia"/>
                <w:color w:val="auto"/>
                <w:sz w:val="21"/>
                <w:szCs w:val="21"/>
              </w:rPr>
              <w:t>.T日交易申请仅可在T日17:00（含）前撤销。</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4.赎回资金将于赎回份额确认日后的</w:t>
            </w:r>
            <w:r>
              <w:rPr>
                <w:rFonts w:ascii="新宋体" w:eastAsia="新宋体" w:hAnsi="新宋体"/>
                <w:color w:val="auto"/>
                <w:sz w:val="21"/>
                <w:szCs w:val="21"/>
              </w:rPr>
              <w:t>3</w:t>
            </w:r>
            <w:r>
              <w:rPr>
                <w:rFonts w:ascii="新宋体" w:eastAsia="新宋体" w:hAnsi="新宋体" w:hint="eastAsia"/>
                <w:color w:val="auto"/>
                <w:sz w:val="21"/>
                <w:szCs w:val="21"/>
              </w:rPr>
              <w:t>个工作日内到账，实际到账时间以各销售机构为准。</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color w:val="auto"/>
                <w:sz w:val="21"/>
                <w:szCs w:val="21"/>
              </w:rPr>
              <w:t>5</w:t>
            </w:r>
            <w:r>
              <w:rPr>
                <w:rFonts w:ascii="新宋体" w:eastAsia="新宋体" w:hAnsi="新宋体" w:hint="eastAsia"/>
                <w:color w:val="auto"/>
                <w:sz w:val="21"/>
                <w:szCs w:val="21"/>
              </w:rPr>
              <w:t>.赎回入账资金=赎回份额×单位净值。</w:t>
            </w:r>
          </w:p>
          <w:p w:rsidR="009C2918" w:rsidRDefault="004B5A89">
            <w:pPr>
              <w:spacing w:line="360" w:lineRule="auto"/>
              <w:jc w:val="left"/>
              <w:rPr>
                <w:rFonts w:ascii="新宋体" w:eastAsia="新宋体" w:hAnsi="新宋体"/>
                <w:color w:val="auto"/>
                <w:sz w:val="21"/>
                <w:szCs w:val="21"/>
              </w:rPr>
            </w:pPr>
            <w:r>
              <w:rPr>
                <w:rFonts w:ascii="新宋体" w:eastAsia="新宋体" w:hAnsi="新宋体"/>
                <w:color w:val="auto"/>
                <w:sz w:val="21"/>
                <w:szCs w:val="21"/>
              </w:rPr>
              <w:t>6.</w:t>
            </w:r>
            <w:r>
              <w:rPr>
                <w:rFonts w:ascii="新宋体" w:eastAsia="新宋体" w:hAnsi="新宋体" w:hint="eastAsia"/>
                <w:color w:val="auto"/>
                <w:sz w:val="21"/>
                <w:szCs w:val="21"/>
              </w:rPr>
              <w:t>上述T日</w:t>
            </w:r>
            <w:r>
              <w:rPr>
                <w:rFonts w:ascii="新宋体" w:eastAsia="新宋体" w:hAnsi="新宋体"/>
                <w:color w:val="auto"/>
                <w:sz w:val="21"/>
                <w:szCs w:val="21"/>
              </w:rPr>
              <w:t>、</w:t>
            </w:r>
            <w:r>
              <w:rPr>
                <w:rFonts w:ascii="新宋体" w:eastAsia="新宋体" w:hAnsi="新宋体" w:hint="eastAsia"/>
                <w:color w:val="auto"/>
                <w:sz w:val="21"/>
                <w:szCs w:val="21"/>
              </w:rPr>
              <w:t>T+1日、T+2日指工作日。</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销售机构实际工作服务时间的提示</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为本产品办理相关交易的实际服务时间、赎回资金实际到账时间，因销售服务机构的不同可能存在差异，投资者应当以销售服务机构的实际规则为准。</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巨额赎回</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left"/>
              <w:rPr>
                <w:rFonts w:ascii="新宋体" w:eastAsia="新宋体" w:hAnsi="新宋体"/>
                <w:b/>
                <w:color w:val="auto"/>
                <w:sz w:val="21"/>
                <w:szCs w:val="21"/>
              </w:rPr>
            </w:pPr>
            <w:r>
              <w:rPr>
                <w:rFonts w:ascii="新宋体" w:eastAsia="新宋体" w:cs="新宋体" w:hint="eastAsia"/>
                <w:b/>
                <w:color w:val="auto"/>
                <w:kern w:val="0"/>
                <w:sz w:val="21"/>
                <w:szCs w:val="21"/>
              </w:rPr>
              <w:t>指本理财计划规模余额达到</w:t>
            </w:r>
            <w:r>
              <w:rPr>
                <w:rFonts w:ascii="新宋体" w:eastAsia="新宋体" w:cs="新宋体"/>
                <w:b/>
                <w:color w:val="auto"/>
                <w:kern w:val="0"/>
                <w:sz w:val="21"/>
                <w:szCs w:val="21"/>
              </w:rPr>
              <w:t>50亿元（含）后</w:t>
            </w:r>
            <w:r>
              <w:rPr>
                <w:rFonts w:ascii="新宋体" w:eastAsia="新宋体" w:cs="新宋体" w:hint="eastAsia"/>
                <w:b/>
                <w:color w:val="auto"/>
                <w:kern w:val="0"/>
                <w:sz w:val="21"/>
                <w:szCs w:val="21"/>
              </w:rPr>
              <w:t>，单个开放日中，本理财计划的净赎回份额（当日赎回申请总份额扣除当日购买总份额后的余额）超过上一日本理财计划总份额的1</w:t>
            </w:r>
            <w:r>
              <w:rPr>
                <w:rFonts w:ascii="新宋体" w:eastAsia="新宋体" w:cs="新宋体"/>
                <w:b/>
                <w:color w:val="auto"/>
                <w:kern w:val="0"/>
                <w:sz w:val="21"/>
                <w:szCs w:val="21"/>
              </w:rPr>
              <w:t>0%</w:t>
            </w:r>
            <w:r>
              <w:rPr>
                <w:rFonts w:ascii="新宋体" w:eastAsia="新宋体" w:cs="新宋体" w:hint="eastAsia"/>
                <w:b/>
                <w:color w:val="auto"/>
                <w:kern w:val="0"/>
                <w:sz w:val="21"/>
                <w:szCs w:val="21"/>
              </w:rPr>
              <w:t>，为巨额赎回。发生巨额赎回时，为维持理财资产正常运作，保护已有投资者利益，青银理财有权拒绝赎回申请。</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产品市值</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rPr>
                <w:rFonts w:ascii="新宋体" w:eastAsia="新宋体" w:hAnsi="新宋体"/>
                <w:color w:val="auto"/>
                <w:sz w:val="21"/>
                <w:szCs w:val="21"/>
              </w:rPr>
            </w:pPr>
            <w:r>
              <w:rPr>
                <w:rFonts w:ascii="新宋体" w:eastAsia="新宋体" w:hAnsi="新宋体" w:hint="eastAsia"/>
                <w:color w:val="auto"/>
                <w:sz w:val="21"/>
                <w:szCs w:val="21"/>
              </w:rPr>
              <w:t>产品市值=产品份额×单位净值</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widowControl/>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理财收益</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widowControl/>
              <w:spacing w:line="360" w:lineRule="auto"/>
              <w:jc w:val="left"/>
              <w:rPr>
                <w:rFonts w:ascii="新宋体" w:eastAsia="新宋体" w:hAnsi="新宋体"/>
                <w:color w:val="auto"/>
                <w:sz w:val="21"/>
                <w:szCs w:val="21"/>
              </w:rPr>
            </w:pPr>
            <w:r>
              <w:rPr>
                <w:rFonts w:ascii="新宋体" w:eastAsia="新宋体" w:hAnsi="新宋体" w:hint="eastAsia"/>
                <w:color w:val="auto"/>
                <w:sz w:val="21"/>
                <w:szCs w:val="21"/>
              </w:rPr>
              <w:t>详见以下“十三、理财收益及分配”</w:t>
            </w:r>
          </w:p>
        </w:tc>
      </w:tr>
      <w:tr w:rsidR="009C2918">
        <w:trPr>
          <w:trHeight w:val="24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交易渠道</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rPr>
                <w:rFonts w:ascii="新宋体" w:eastAsia="新宋体" w:hAnsi="新宋体"/>
                <w:color w:val="auto"/>
                <w:sz w:val="21"/>
                <w:szCs w:val="21"/>
              </w:rPr>
            </w:pPr>
            <w:r>
              <w:rPr>
                <w:rFonts w:ascii="新宋体" w:eastAsia="新宋体" w:hAnsi="新宋体" w:hint="eastAsia"/>
                <w:color w:val="auto"/>
                <w:sz w:val="21"/>
                <w:szCs w:val="21"/>
              </w:rPr>
              <w:t>A</w:t>
            </w:r>
            <w:r w:rsidR="006B6EB5">
              <w:rPr>
                <w:rFonts w:ascii="新宋体" w:eastAsia="新宋体" w:hAnsi="新宋体" w:hint="eastAsia"/>
                <w:color w:val="auto"/>
                <w:sz w:val="21"/>
                <w:szCs w:val="21"/>
              </w:rPr>
              <w:t>份额交易渠道为百信</w:t>
            </w:r>
            <w:r>
              <w:rPr>
                <w:rFonts w:ascii="新宋体" w:eastAsia="新宋体" w:hAnsi="新宋体" w:hint="eastAsia"/>
                <w:color w:val="auto"/>
                <w:sz w:val="21"/>
                <w:szCs w:val="21"/>
              </w:rPr>
              <w:t>银行及各销售服务渠道（</w:t>
            </w:r>
            <w:r>
              <w:rPr>
                <w:rFonts w:ascii="黑体" w:eastAsia="黑体" w:hAnsi="黑体" w:hint="eastAsia"/>
                <w:b/>
                <w:bCs/>
                <w:sz w:val="21"/>
                <w:szCs w:val="21"/>
              </w:rPr>
              <w:t>可购投资者以销售机构认定为准</w:t>
            </w:r>
            <w:r>
              <w:rPr>
                <w:rFonts w:ascii="新宋体" w:eastAsia="新宋体" w:hAnsi="新宋体" w:hint="eastAsia"/>
                <w:color w:val="auto"/>
                <w:sz w:val="21"/>
                <w:szCs w:val="21"/>
              </w:rPr>
              <w:t>）</w:t>
            </w:r>
          </w:p>
        </w:tc>
      </w:tr>
      <w:tr w:rsidR="009C2918">
        <w:trPr>
          <w:trHeight w:val="208"/>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sz w:val="21"/>
                <w:szCs w:val="21"/>
              </w:rPr>
              <w:t>业绩比较基准</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rPr>
                <w:rFonts w:ascii="新宋体" w:eastAsia="新宋体" w:hAnsi="新宋体"/>
                <w:b/>
                <w:sz w:val="21"/>
                <w:szCs w:val="21"/>
              </w:rPr>
            </w:pPr>
            <w:r>
              <w:rPr>
                <w:rFonts w:ascii="新宋体" w:eastAsia="新宋体" w:hAnsi="新宋体" w:hint="eastAsia"/>
                <w:b/>
                <w:sz w:val="21"/>
                <w:szCs w:val="21"/>
              </w:rPr>
              <w:t>本产品为净值型产品，业绩表现将随市场波动，具有不确定性。业绩比较基准不代表本理财计划的未来表现和实际收益，或管理人对本理财计划进行的收益承诺。投资者不应将业绩比较基准作为持有本理财计划份额到期的综合投资收益参考值。</w:t>
            </w:r>
          </w:p>
          <w:p w:rsidR="009C2918" w:rsidRDefault="004B5A89">
            <w:pPr>
              <w:spacing w:line="360" w:lineRule="auto"/>
              <w:rPr>
                <w:rFonts w:ascii="新宋体" w:eastAsia="新宋体" w:hAnsi="新宋体"/>
                <w:b/>
                <w:sz w:val="21"/>
                <w:szCs w:val="21"/>
              </w:rPr>
            </w:pPr>
            <w:r>
              <w:rPr>
                <w:rFonts w:ascii="新宋体" w:eastAsia="新宋体" w:hAnsi="新宋体"/>
                <w:b/>
                <w:sz w:val="21"/>
                <w:szCs w:val="21"/>
              </w:rPr>
              <w:t>A份额</w:t>
            </w:r>
            <w:r>
              <w:rPr>
                <w:rFonts w:ascii="新宋体" w:eastAsia="新宋体" w:hAnsi="新宋体" w:hint="eastAsia"/>
                <w:b/>
                <w:sz w:val="21"/>
                <w:szCs w:val="21"/>
              </w:rPr>
              <w:t>业绩比较基准：</w:t>
            </w:r>
            <w:r w:rsidR="00B328C7" w:rsidRPr="00B328C7">
              <w:rPr>
                <w:rFonts w:ascii="新宋体" w:eastAsia="新宋体" w:hAnsi="新宋体"/>
                <w:b/>
                <w:sz w:val="21"/>
                <w:szCs w:val="21"/>
              </w:rPr>
              <w:t>2.10%-2.40%</w:t>
            </w:r>
            <w:r>
              <w:rPr>
                <w:rFonts w:ascii="新宋体" w:eastAsia="新宋体" w:hAnsi="新宋体" w:hint="eastAsia"/>
                <w:b/>
                <w:sz w:val="21"/>
                <w:szCs w:val="21"/>
              </w:rPr>
              <w:t>（年化）</w:t>
            </w:r>
          </w:p>
          <w:p w:rsidR="009C2918" w:rsidRDefault="004B5A89">
            <w:pPr>
              <w:spacing w:line="360" w:lineRule="auto"/>
              <w:rPr>
                <w:rFonts w:ascii="新宋体" w:eastAsia="新宋体" w:hAnsi="新宋体"/>
                <w:b/>
                <w:sz w:val="21"/>
                <w:szCs w:val="21"/>
              </w:rPr>
            </w:pPr>
            <w:r>
              <w:rPr>
                <w:rFonts w:ascii="新宋体" w:eastAsia="新宋体" w:hAnsi="新宋体" w:hint="eastAsia"/>
                <w:b/>
                <w:sz w:val="21"/>
                <w:szCs w:val="21"/>
              </w:rPr>
              <w:t>业绩比较基准测算依据：本产品投资对象主要包括固定收益类资产、货币市场工具、资产管理计划、非标资产（如有）等，业绩比较基准测算参考上述投资对象的资产加权平均收益率。综合考虑当前市场环境、</w:t>
            </w:r>
            <w:r w:rsidR="009D61F2" w:rsidRPr="009D61F2">
              <w:rPr>
                <w:rFonts w:ascii="新宋体" w:eastAsia="新宋体" w:hAnsi="新宋体" w:hint="eastAsia"/>
                <w:b/>
                <w:sz w:val="21"/>
                <w:szCs w:val="21"/>
              </w:rPr>
              <w:t>资产配置中枢比例、</w:t>
            </w:r>
            <w:r>
              <w:rPr>
                <w:rFonts w:ascii="新宋体" w:eastAsia="新宋体" w:hAnsi="新宋体" w:hint="eastAsia"/>
                <w:b/>
                <w:sz w:val="21"/>
                <w:szCs w:val="21"/>
              </w:rPr>
              <w:t>产品费用及税费等因素，得出产品业绩比较基准。业绩比较基准的选择原因是产品管理人基于产品性质、投资策略、过往经验等因素进行综合考量设定。业绩比较基准不是预期收益率，不代表产品的未来表现和实际收益，不构成对产品收益的承诺。</w:t>
            </w:r>
          </w:p>
          <w:p w:rsidR="009C2918" w:rsidRDefault="004B5A89">
            <w:pPr>
              <w:spacing w:line="360" w:lineRule="auto"/>
              <w:rPr>
                <w:rFonts w:ascii="新宋体" w:eastAsia="新宋体" w:hAnsi="新宋体"/>
                <w:b/>
                <w:sz w:val="21"/>
                <w:szCs w:val="21"/>
              </w:rPr>
            </w:pPr>
            <w:r>
              <w:rPr>
                <w:rFonts w:ascii="新宋体" w:eastAsia="新宋体" w:hAnsi="新宋体" w:hint="eastAsia"/>
                <w:b/>
                <w:sz w:val="21"/>
                <w:szCs w:val="21"/>
              </w:rPr>
              <w:t>本产品为净值型产品，业绩表现将随市场情况波动，具有不确定性。当监管政策、市场环境、产品性质等因素发生变化，导致理财产品的业绩比较基准需要调整时，产品管理人将至少于调整日之前</w:t>
            </w:r>
            <w:r>
              <w:rPr>
                <w:rFonts w:ascii="新宋体" w:eastAsia="新宋体" w:hAnsi="新宋体"/>
                <w:b/>
                <w:sz w:val="21"/>
                <w:szCs w:val="21"/>
              </w:rPr>
              <w:t>2个工作日通过机构官方渠道或与投资者约定的其他渠道公布调整情况和调整原因。</w:t>
            </w:r>
          </w:p>
          <w:p w:rsidR="009C2918" w:rsidRDefault="004B5A89" w:rsidP="00B328C7">
            <w:pPr>
              <w:spacing w:line="400" w:lineRule="exact"/>
              <w:jc w:val="left"/>
              <w:rPr>
                <w:rFonts w:ascii="新宋体" w:eastAsia="新宋体" w:hAnsi="新宋体"/>
                <w:sz w:val="21"/>
                <w:szCs w:val="21"/>
              </w:rPr>
            </w:pPr>
            <w:r>
              <w:rPr>
                <w:rFonts w:ascii="新宋体" w:eastAsia="新宋体" w:hAnsi="新宋体" w:hint="eastAsia"/>
                <w:sz w:val="21"/>
                <w:szCs w:val="21"/>
              </w:rPr>
              <w:t>如理财投资本金及收益未按时和</w:t>
            </w:r>
            <w:r>
              <w:rPr>
                <w:rFonts w:ascii="新宋体" w:eastAsia="新宋体" w:hAnsi="新宋体"/>
                <w:sz w:val="21"/>
                <w:szCs w:val="21"/>
              </w:rPr>
              <w:t>/或足额收回</w:t>
            </w:r>
            <w:r>
              <w:rPr>
                <w:rFonts w:ascii="新宋体" w:eastAsia="新宋体" w:hAnsi="新宋体" w:hint="eastAsia"/>
                <w:sz w:val="21"/>
                <w:szCs w:val="21"/>
              </w:rPr>
              <w:t>，则本理财计划的到期收益可能降低，最不利情形损失部分或全部本金。对于超出“业绩基准”</w:t>
            </w:r>
            <w:r w:rsidR="00B328C7">
              <w:rPr>
                <w:rFonts w:ascii="新宋体" w:eastAsia="新宋体" w:hAnsi="新宋体" w:hint="eastAsia"/>
                <w:sz w:val="21"/>
                <w:szCs w:val="21"/>
              </w:rPr>
              <w:t>上限</w:t>
            </w:r>
            <w:r>
              <w:rPr>
                <w:rFonts w:ascii="新宋体" w:eastAsia="新宋体" w:hAnsi="新宋体" w:hint="eastAsia"/>
                <w:sz w:val="21"/>
                <w:szCs w:val="21"/>
              </w:rPr>
              <w:t>部分的投资收益，</w:t>
            </w:r>
            <w:r>
              <w:rPr>
                <w:rFonts w:ascii="新宋体" w:eastAsia="新宋体" w:hAnsi="新宋体"/>
                <w:sz w:val="21"/>
                <w:szCs w:val="21"/>
              </w:rPr>
              <w:t>10</w:t>
            </w:r>
            <w:r>
              <w:rPr>
                <w:rFonts w:ascii="新宋体" w:eastAsia="新宋体" w:hAnsi="新宋体" w:hint="eastAsia"/>
                <w:sz w:val="21"/>
                <w:szCs w:val="21"/>
              </w:rPr>
              <w:t>0%</w:t>
            </w:r>
            <w:r>
              <w:rPr>
                <w:rFonts w:ascii="新宋体" w:eastAsia="新宋体" w:hAnsi="新宋体"/>
                <w:sz w:val="21"/>
                <w:szCs w:val="21"/>
              </w:rPr>
              <w:t>作为管理人业绩报酬。</w:t>
            </w:r>
          </w:p>
        </w:tc>
      </w:tr>
      <w:tr w:rsidR="009C2918">
        <w:trPr>
          <w:trHeight w:val="208"/>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托管费率</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widowControl/>
              <w:spacing w:before="100" w:beforeAutospacing="1" w:after="100" w:afterAutospacing="1" w:line="360" w:lineRule="auto"/>
              <w:jc w:val="left"/>
              <w:rPr>
                <w:rFonts w:ascii="新宋体" w:eastAsia="新宋体" w:hAnsi="新宋体"/>
                <w:color w:val="auto"/>
                <w:sz w:val="21"/>
                <w:szCs w:val="21"/>
              </w:rPr>
            </w:pPr>
            <w:r>
              <w:rPr>
                <w:rFonts w:ascii="新宋体" w:eastAsia="新宋体" w:hAnsi="新宋体" w:hint="eastAsia"/>
                <w:color w:val="auto"/>
                <w:sz w:val="21"/>
                <w:szCs w:val="21"/>
              </w:rPr>
              <w:t>0.0</w:t>
            </w:r>
            <w:r>
              <w:rPr>
                <w:rFonts w:ascii="新宋体" w:eastAsia="新宋体" w:hAnsi="新宋体"/>
                <w:color w:val="auto"/>
                <w:sz w:val="21"/>
                <w:szCs w:val="21"/>
              </w:rPr>
              <w:t>10</w:t>
            </w:r>
            <w:r>
              <w:rPr>
                <w:rFonts w:ascii="新宋体" w:eastAsia="新宋体" w:hAnsi="新宋体" w:hint="eastAsia"/>
                <w:color w:val="auto"/>
                <w:sz w:val="21"/>
                <w:szCs w:val="21"/>
              </w:rPr>
              <w:t>%（年化费率，按日</w:t>
            </w:r>
            <w:r>
              <w:rPr>
                <w:rFonts w:ascii="新宋体" w:eastAsia="新宋体" w:hAnsi="新宋体" w:cs="新宋体" w:hint="eastAsia"/>
                <w:sz w:val="21"/>
                <w:szCs w:val="21"/>
              </w:rPr>
              <w:t>根据理财计划存续份额</w:t>
            </w:r>
            <w:r>
              <w:rPr>
                <w:rFonts w:ascii="新宋体" w:eastAsia="新宋体" w:hAnsi="新宋体" w:hint="eastAsia"/>
                <w:color w:val="auto"/>
                <w:sz w:val="21"/>
                <w:szCs w:val="21"/>
              </w:rPr>
              <w:t>计提，由理财托管人收取）</w:t>
            </w:r>
          </w:p>
        </w:tc>
      </w:tr>
      <w:tr w:rsidR="009C2918">
        <w:trPr>
          <w:trHeight w:val="208"/>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管理费率</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rsidP="00B328C7">
            <w:pPr>
              <w:widowControl/>
              <w:spacing w:before="100" w:beforeAutospacing="1" w:after="100" w:afterAutospacing="1" w:line="360" w:lineRule="auto"/>
              <w:jc w:val="left"/>
              <w:rPr>
                <w:rFonts w:ascii="新宋体" w:eastAsia="新宋体" w:hAnsi="新宋体"/>
                <w:color w:val="auto"/>
                <w:sz w:val="21"/>
                <w:szCs w:val="21"/>
              </w:rPr>
            </w:pPr>
            <w:r>
              <w:rPr>
                <w:rFonts w:ascii="新宋体" w:eastAsia="新宋体" w:hAnsi="新宋体" w:hint="eastAsia"/>
                <w:color w:val="auto"/>
                <w:sz w:val="21"/>
                <w:szCs w:val="21"/>
              </w:rPr>
              <w:t>0.</w:t>
            </w:r>
            <w:r w:rsidR="00B328C7">
              <w:rPr>
                <w:rFonts w:ascii="新宋体" w:eastAsia="新宋体" w:hAnsi="新宋体"/>
                <w:color w:val="auto"/>
                <w:sz w:val="21"/>
                <w:szCs w:val="21"/>
              </w:rPr>
              <w:t>5</w:t>
            </w:r>
            <w:r>
              <w:rPr>
                <w:rFonts w:ascii="新宋体" w:eastAsia="新宋体" w:hAnsi="新宋体"/>
                <w:color w:val="auto"/>
                <w:sz w:val="21"/>
                <w:szCs w:val="21"/>
              </w:rPr>
              <w:t>0</w:t>
            </w:r>
            <w:r>
              <w:rPr>
                <w:rFonts w:ascii="新宋体" w:eastAsia="新宋体" w:hAnsi="新宋体" w:hint="eastAsia"/>
                <w:color w:val="auto"/>
                <w:sz w:val="21"/>
                <w:szCs w:val="21"/>
              </w:rPr>
              <w:t>%（年化费率，按日</w:t>
            </w:r>
            <w:r>
              <w:rPr>
                <w:rFonts w:ascii="新宋体" w:eastAsia="新宋体" w:hAnsi="新宋体" w:cs="新宋体" w:hint="eastAsia"/>
                <w:sz w:val="21"/>
                <w:szCs w:val="21"/>
              </w:rPr>
              <w:t>根据理财计划存续份额</w:t>
            </w:r>
            <w:r>
              <w:rPr>
                <w:rFonts w:ascii="新宋体" w:eastAsia="新宋体" w:hAnsi="新宋体" w:hint="eastAsia"/>
                <w:color w:val="auto"/>
                <w:sz w:val="21"/>
                <w:szCs w:val="21"/>
              </w:rPr>
              <w:t>计提，由理财管理人收取），当本理财到期资产投资运作收益小于“业绩比较基准”下限时，管理人将有权放弃计提的固定管理费，最高为已计提的全部固定管理费。</w:t>
            </w:r>
          </w:p>
        </w:tc>
      </w:tr>
      <w:tr w:rsidR="009C2918">
        <w:trPr>
          <w:trHeight w:val="208"/>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业绩报酬</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rsidP="00F70984">
            <w:pPr>
              <w:widowControl/>
              <w:spacing w:before="100" w:beforeAutospacing="1" w:after="100" w:afterAutospacing="1" w:line="360" w:lineRule="auto"/>
              <w:rPr>
                <w:rFonts w:ascii="新宋体" w:eastAsia="新宋体" w:hAnsi="新宋体"/>
                <w:color w:val="auto"/>
                <w:sz w:val="21"/>
                <w:szCs w:val="21"/>
              </w:rPr>
            </w:pPr>
            <w:r>
              <w:rPr>
                <w:rFonts w:ascii="新宋体" w:eastAsia="新宋体" w:hAnsi="新宋体" w:hint="eastAsia"/>
                <w:color w:val="auto"/>
                <w:sz w:val="21"/>
                <w:szCs w:val="21"/>
              </w:rPr>
              <w:t>在扣除本产品说明书约定的应由本理财产品承担的费用包括但不限于管理费、托管费、销售服务费等费用后，本理财计划项下资产组合收益超出本理财计划业绩比较基准（</w:t>
            </w:r>
            <w:r>
              <w:rPr>
                <w:rFonts w:ascii="新宋体" w:eastAsia="新宋体" w:hAnsi="新宋体" w:hint="eastAsia"/>
                <w:b/>
                <w:color w:val="auto"/>
                <w:sz w:val="21"/>
                <w:szCs w:val="21"/>
              </w:rPr>
              <w:t>A份额</w:t>
            </w:r>
            <w:r w:rsidR="00B328C7">
              <w:rPr>
                <w:rFonts w:ascii="新宋体" w:eastAsia="新宋体" w:hAnsi="新宋体"/>
                <w:b/>
                <w:color w:val="auto"/>
                <w:sz w:val="21"/>
                <w:szCs w:val="21"/>
              </w:rPr>
              <w:t>2.10%-2.40%</w:t>
            </w:r>
            <w:r>
              <w:rPr>
                <w:rFonts w:ascii="新宋体" w:eastAsia="新宋体" w:hAnsi="新宋体" w:hint="eastAsia"/>
                <w:b/>
                <w:color w:val="auto"/>
                <w:sz w:val="21"/>
                <w:szCs w:val="21"/>
              </w:rPr>
              <w:t>，实际以最新调整公告为准</w:t>
            </w:r>
            <w:r>
              <w:rPr>
                <w:rFonts w:ascii="新宋体" w:eastAsia="新宋体" w:hAnsi="新宋体" w:hint="eastAsia"/>
                <w:color w:val="auto"/>
                <w:sz w:val="21"/>
                <w:szCs w:val="21"/>
              </w:rPr>
              <w:t>）</w:t>
            </w:r>
            <w:r w:rsidR="00F70984">
              <w:rPr>
                <w:rFonts w:ascii="新宋体" w:eastAsia="新宋体" w:hAnsi="新宋体" w:hint="eastAsia"/>
                <w:color w:val="auto"/>
                <w:sz w:val="21"/>
                <w:szCs w:val="21"/>
              </w:rPr>
              <w:t>上限</w:t>
            </w:r>
            <w:r>
              <w:rPr>
                <w:rFonts w:ascii="新宋体" w:eastAsia="新宋体" w:hAnsi="新宋体" w:hint="eastAsia"/>
                <w:color w:val="auto"/>
                <w:sz w:val="21"/>
                <w:szCs w:val="21"/>
              </w:rPr>
              <w:t>的部分，</w:t>
            </w:r>
            <w:r>
              <w:rPr>
                <w:rFonts w:ascii="新宋体" w:eastAsia="新宋体" w:hAnsi="新宋体"/>
                <w:color w:val="auto"/>
                <w:sz w:val="21"/>
                <w:szCs w:val="21"/>
              </w:rPr>
              <w:t>10</w:t>
            </w:r>
            <w:r>
              <w:rPr>
                <w:rFonts w:ascii="新宋体" w:eastAsia="新宋体" w:hAnsi="新宋体" w:hint="eastAsia"/>
                <w:color w:val="auto"/>
                <w:sz w:val="21"/>
                <w:szCs w:val="21"/>
              </w:rPr>
              <w:t>0%作为管理人业绩报酬，业绩报酬逐日计提。每日计提的业绩报酬仅作为暂估数据，用于理财产品会计核算和估值日估值。仅以理财产品确认日（或产品实际到期日）当天确认计提的业绩报酬作为业绩报酬的结算依据。</w:t>
            </w:r>
            <w:r>
              <w:rPr>
                <w:rFonts w:ascii="新宋体" w:eastAsia="新宋体" w:hAnsi="新宋体" w:hint="eastAsia"/>
                <w:b/>
                <w:color w:val="auto"/>
                <w:sz w:val="21"/>
                <w:szCs w:val="21"/>
              </w:rPr>
              <w:t>业绩基准并不代表投资者投资本理财计划的实际收益率。</w:t>
            </w:r>
          </w:p>
        </w:tc>
      </w:tr>
      <w:tr w:rsidR="009C2918">
        <w:trPr>
          <w:trHeight w:val="208"/>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提前终止权</w:t>
            </w:r>
          </w:p>
        </w:tc>
        <w:tc>
          <w:tcPr>
            <w:tcW w:w="4043" w:type="pct"/>
            <w:tcBorders>
              <w:top w:val="dotted" w:sz="4" w:space="0" w:color="auto"/>
              <w:left w:val="dotted" w:sz="4" w:space="0" w:color="auto"/>
              <w:bottom w:val="dotted" w:sz="4" w:space="0" w:color="auto"/>
              <w:right w:val="dotted" w:sz="4" w:space="0" w:color="auto"/>
            </w:tcBorders>
          </w:tcPr>
          <w:p w:rsidR="009C2918" w:rsidRDefault="004B5A89">
            <w:pPr>
              <w:spacing w:line="360" w:lineRule="auto"/>
              <w:rPr>
                <w:rFonts w:ascii="新宋体" w:eastAsia="新宋体" w:hAnsi="新宋体"/>
                <w:color w:val="auto"/>
                <w:sz w:val="21"/>
                <w:szCs w:val="21"/>
              </w:rPr>
            </w:pPr>
            <w:r>
              <w:rPr>
                <w:rFonts w:ascii="新宋体" w:eastAsia="新宋体" w:hAnsi="新宋体"/>
                <w:color w:val="auto"/>
                <w:sz w:val="21"/>
                <w:szCs w:val="21"/>
              </w:rPr>
              <w:t>1.</w:t>
            </w:r>
            <w:r>
              <w:rPr>
                <w:rFonts w:ascii="新宋体" w:eastAsia="新宋体" w:hAnsi="新宋体" w:hint="eastAsia"/>
                <w:color w:val="auto"/>
                <w:sz w:val="21"/>
                <w:szCs w:val="21"/>
              </w:rPr>
              <w:t>管理人有权按照监管要求或实际投资情况终止本理财产品，并至少于终止前</w:t>
            </w:r>
            <w:r>
              <w:rPr>
                <w:rFonts w:ascii="新宋体" w:eastAsia="新宋体" w:hAnsi="新宋体"/>
                <w:color w:val="auto"/>
                <w:sz w:val="21"/>
                <w:szCs w:val="21"/>
              </w:rPr>
              <w:t>2个工作日进行信息披露。</w:t>
            </w:r>
          </w:p>
          <w:p w:rsidR="009C2918" w:rsidRDefault="004B5A89">
            <w:pPr>
              <w:spacing w:line="360" w:lineRule="auto"/>
              <w:rPr>
                <w:rFonts w:ascii="新宋体" w:eastAsia="新宋体" w:hAnsi="新宋体"/>
                <w:b/>
                <w:color w:val="auto"/>
                <w:sz w:val="21"/>
                <w:szCs w:val="21"/>
              </w:rPr>
            </w:pPr>
            <w:r>
              <w:rPr>
                <w:rFonts w:ascii="新宋体" w:eastAsia="新宋体" w:hAnsi="新宋体"/>
                <w:b/>
                <w:color w:val="auto"/>
                <w:sz w:val="21"/>
                <w:szCs w:val="21"/>
              </w:rPr>
              <w:t>2.投资者无权提前终止本理财计划，仅能根据本产品说明书的约定选择赎回本理财计划。</w:t>
            </w:r>
          </w:p>
        </w:tc>
      </w:tr>
      <w:tr w:rsidR="009C2918">
        <w:trPr>
          <w:trHeight w:val="513"/>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168" w:lineRule="atLeast"/>
              <w:jc w:val="center"/>
              <w:rPr>
                <w:rFonts w:ascii="新宋体" w:eastAsia="新宋体" w:hAnsi="新宋体"/>
                <w:color w:val="auto"/>
                <w:sz w:val="21"/>
                <w:szCs w:val="21"/>
              </w:rPr>
            </w:pPr>
            <w:r>
              <w:rPr>
                <w:rFonts w:ascii="新宋体" w:eastAsia="新宋体" w:hAnsi="新宋体" w:hint="eastAsia"/>
                <w:sz w:val="21"/>
                <w:szCs w:val="21"/>
              </w:rPr>
              <w:t>税款</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400" w:lineRule="exact"/>
              <w:jc w:val="left"/>
              <w:rPr>
                <w:rFonts w:ascii="新宋体" w:eastAsia="新宋体" w:hAnsi="新宋体"/>
                <w:b/>
                <w:sz w:val="21"/>
                <w:szCs w:val="21"/>
              </w:rPr>
            </w:pPr>
            <w:r>
              <w:rPr>
                <w:rFonts w:ascii="新宋体" w:eastAsia="新宋体" w:hAnsi="新宋体" w:hint="eastAsia"/>
                <w:b/>
                <w:sz w:val="21"/>
                <w:szCs w:val="21"/>
              </w:rPr>
              <w:t>本理财收益的应纳税款由投资者自行申报、缴纳</w:t>
            </w:r>
          </w:p>
          <w:p w:rsidR="009C2918" w:rsidRDefault="004B5A89">
            <w:pPr>
              <w:spacing w:line="360" w:lineRule="auto"/>
              <w:rPr>
                <w:rFonts w:ascii="新宋体" w:eastAsia="新宋体" w:hAnsi="新宋体"/>
                <w:sz w:val="21"/>
                <w:szCs w:val="21"/>
              </w:rPr>
            </w:pPr>
            <w:r>
              <w:rPr>
                <w:rFonts w:ascii="新宋体" w:eastAsia="新宋体" w:hAnsi="新宋体" w:hint="eastAsia"/>
                <w:color w:val="auto"/>
                <w:sz w:val="21"/>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rsidR="009C2918">
        <w:trPr>
          <w:trHeight w:val="421"/>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168" w:lineRule="atLeast"/>
              <w:jc w:val="center"/>
              <w:rPr>
                <w:rFonts w:ascii="新宋体" w:eastAsia="新宋体" w:hAnsi="新宋体"/>
                <w:color w:val="auto"/>
                <w:sz w:val="21"/>
                <w:szCs w:val="21"/>
              </w:rPr>
            </w:pPr>
            <w:r>
              <w:rPr>
                <w:rFonts w:ascii="新宋体" w:eastAsia="新宋体" w:hAnsi="新宋体" w:hint="eastAsia"/>
                <w:color w:val="auto"/>
                <w:sz w:val="21"/>
                <w:szCs w:val="21"/>
              </w:rPr>
              <w:t>其它</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168" w:lineRule="atLeast"/>
              <w:rPr>
                <w:rFonts w:ascii="新宋体" w:eastAsia="新宋体" w:hAnsi="新宋体"/>
                <w:b/>
                <w:color w:val="auto"/>
                <w:sz w:val="21"/>
                <w:szCs w:val="21"/>
              </w:rPr>
            </w:pPr>
            <w:r>
              <w:rPr>
                <w:rFonts w:ascii="新宋体" w:eastAsia="新宋体" w:hAnsi="新宋体" w:hint="eastAsia"/>
                <w:b/>
                <w:color w:val="auto"/>
                <w:sz w:val="21"/>
                <w:szCs w:val="21"/>
              </w:rPr>
              <w:t>本理财计划不能转让，不能质押。如有变更，分红</w:t>
            </w:r>
            <w:r>
              <w:rPr>
                <w:rFonts w:ascii="新宋体" w:eastAsia="新宋体" w:hAnsi="新宋体"/>
                <w:b/>
                <w:color w:val="auto"/>
                <w:sz w:val="21"/>
                <w:szCs w:val="21"/>
              </w:rPr>
              <w:t>等事宜</w:t>
            </w:r>
            <w:r>
              <w:rPr>
                <w:rFonts w:ascii="新宋体" w:eastAsia="新宋体" w:hAnsi="新宋体" w:hint="eastAsia"/>
                <w:b/>
                <w:color w:val="auto"/>
                <w:sz w:val="21"/>
                <w:szCs w:val="21"/>
              </w:rPr>
              <w:t>以青银理财官网公告为准。</w:t>
            </w:r>
          </w:p>
        </w:tc>
      </w:tr>
      <w:tr w:rsidR="009C2918">
        <w:trPr>
          <w:trHeight w:val="437"/>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143" w:lineRule="atLeast"/>
              <w:jc w:val="center"/>
              <w:rPr>
                <w:rFonts w:ascii="新宋体" w:eastAsia="新宋体" w:hAnsi="新宋体"/>
                <w:color w:val="auto"/>
                <w:sz w:val="18"/>
                <w:szCs w:val="18"/>
              </w:rPr>
            </w:pPr>
            <w:r>
              <w:rPr>
                <w:rFonts w:ascii="新宋体" w:eastAsia="新宋体" w:hAnsi="新宋体" w:hint="eastAsia"/>
                <w:color w:val="auto"/>
                <w:sz w:val="18"/>
                <w:szCs w:val="18"/>
              </w:rPr>
              <w:t>理财发行人/管理人</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400" w:lineRule="exact"/>
              <w:jc w:val="left"/>
              <w:rPr>
                <w:rFonts w:ascii="新宋体" w:eastAsia="新宋体" w:hAnsi="新宋体"/>
                <w:sz w:val="21"/>
                <w:szCs w:val="21"/>
              </w:rPr>
            </w:pPr>
            <w:r>
              <w:rPr>
                <w:rFonts w:ascii="新宋体" w:eastAsia="新宋体" w:hAnsi="新宋体" w:hint="eastAsia"/>
                <w:sz w:val="21"/>
                <w:szCs w:val="21"/>
              </w:rPr>
              <w:t>青银理财有限责任公司</w:t>
            </w:r>
          </w:p>
          <w:p w:rsidR="009C2918" w:rsidRDefault="004B5A89">
            <w:pPr>
              <w:spacing w:line="400" w:lineRule="exact"/>
              <w:jc w:val="left"/>
              <w:rPr>
                <w:rFonts w:ascii="新宋体" w:eastAsia="新宋体" w:hAnsi="新宋体"/>
                <w:color w:val="auto"/>
                <w:sz w:val="21"/>
                <w:szCs w:val="21"/>
              </w:rPr>
            </w:pPr>
            <w:r>
              <w:rPr>
                <w:rFonts w:ascii="新宋体" w:eastAsia="新宋体" w:hAnsi="新宋体" w:hint="eastAsia"/>
                <w:sz w:val="21"/>
                <w:szCs w:val="21"/>
              </w:rPr>
              <w:t>负责本理财计划的投资运作和产品管理。</w:t>
            </w:r>
          </w:p>
        </w:tc>
      </w:tr>
      <w:tr w:rsidR="009C2918">
        <w:trPr>
          <w:trHeight w:val="429"/>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143" w:lineRule="atLeast"/>
              <w:jc w:val="center"/>
              <w:rPr>
                <w:rFonts w:ascii="新宋体" w:eastAsia="新宋体" w:hAnsi="新宋体"/>
                <w:color w:val="auto"/>
                <w:sz w:val="21"/>
                <w:szCs w:val="21"/>
              </w:rPr>
            </w:pPr>
            <w:r>
              <w:rPr>
                <w:rFonts w:ascii="新宋体" w:eastAsia="新宋体" w:hAnsi="新宋体" w:hint="eastAsia"/>
                <w:color w:val="auto"/>
                <w:sz w:val="21"/>
                <w:szCs w:val="21"/>
              </w:rPr>
              <w:t>理财托管人</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400" w:lineRule="exact"/>
              <w:jc w:val="left"/>
              <w:rPr>
                <w:rFonts w:ascii="新宋体" w:eastAsia="新宋体" w:hAnsi="新宋体"/>
                <w:sz w:val="21"/>
                <w:szCs w:val="21"/>
              </w:rPr>
            </w:pPr>
            <w:r>
              <w:rPr>
                <w:rFonts w:ascii="新宋体" w:eastAsia="新宋体" w:hAnsi="新宋体" w:hint="eastAsia"/>
                <w:sz w:val="21"/>
                <w:szCs w:val="21"/>
              </w:rPr>
              <w:t>青岛银行股份有限公司</w:t>
            </w:r>
          </w:p>
          <w:p w:rsidR="009C2918" w:rsidRDefault="004B5A89">
            <w:pPr>
              <w:spacing w:line="400" w:lineRule="exact"/>
              <w:jc w:val="left"/>
              <w:rPr>
                <w:rFonts w:ascii="新宋体" w:eastAsia="新宋体" w:hAnsi="新宋体"/>
                <w:color w:val="auto"/>
                <w:sz w:val="21"/>
                <w:szCs w:val="21"/>
              </w:rPr>
            </w:pPr>
            <w:r>
              <w:rPr>
                <w:rFonts w:ascii="新宋体" w:eastAsia="新宋体" w:hAnsi="新宋体" w:hint="eastAsia"/>
                <w:sz w:val="21"/>
                <w:szCs w:val="21"/>
              </w:rPr>
              <w:t>负责履行法律法规和托管协议约定的各项职责，包括理财产品的资产保管、资金的清算交割、账务的处理及核对、理财产品净值的复核、以及投资运作的监督等职责。</w:t>
            </w:r>
          </w:p>
        </w:tc>
      </w:tr>
      <w:tr w:rsidR="009C2918">
        <w:trPr>
          <w:trHeight w:val="429"/>
        </w:trPr>
        <w:tc>
          <w:tcPr>
            <w:tcW w:w="957"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143" w:lineRule="atLeast"/>
              <w:jc w:val="center"/>
              <w:rPr>
                <w:rFonts w:ascii="新宋体" w:eastAsia="新宋体" w:hAnsi="新宋体"/>
                <w:color w:val="auto"/>
                <w:sz w:val="21"/>
                <w:szCs w:val="21"/>
              </w:rPr>
            </w:pPr>
            <w:r>
              <w:rPr>
                <w:rFonts w:ascii="新宋体" w:eastAsia="新宋体" w:hAnsi="新宋体" w:hint="eastAsia"/>
                <w:color w:val="auto"/>
                <w:sz w:val="21"/>
                <w:szCs w:val="21"/>
              </w:rPr>
              <w:t>理财投资合作机构</w:t>
            </w:r>
          </w:p>
        </w:tc>
        <w:tc>
          <w:tcPr>
            <w:tcW w:w="4043" w:type="pct"/>
            <w:tcBorders>
              <w:top w:val="dotted" w:sz="4" w:space="0" w:color="auto"/>
              <w:left w:val="dotted" w:sz="4" w:space="0" w:color="auto"/>
              <w:bottom w:val="dotted" w:sz="4" w:space="0" w:color="auto"/>
              <w:right w:val="dotted" w:sz="4" w:space="0" w:color="auto"/>
            </w:tcBorders>
            <w:vAlign w:val="center"/>
          </w:tcPr>
          <w:p w:rsidR="009C2918" w:rsidRDefault="004B5A89">
            <w:pPr>
              <w:spacing w:line="400" w:lineRule="exact"/>
              <w:jc w:val="left"/>
              <w:rPr>
                <w:rFonts w:ascii="新宋体" w:eastAsia="新宋体" w:hAnsi="新宋体"/>
                <w:sz w:val="21"/>
                <w:szCs w:val="21"/>
              </w:rPr>
            </w:pPr>
            <w:r>
              <w:rPr>
                <w:rFonts w:ascii="新宋体" w:eastAsia="新宋体" w:hAnsi="新宋体" w:hint="eastAsia"/>
                <w:sz w:val="21"/>
                <w:szCs w:val="21"/>
              </w:rPr>
              <w:t>本理财计划投资合作机构（如有）包括但不限于理财产品所投资资产管理产品的发行机构、根据合同约定从事理财产品受托投资的机构等。</w:t>
            </w:r>
          </w:p>
          <w:p w:rsidR="009C2918" w:rsidRDefault="004B5A89">
            <w:pPr>
              <w:spacing w:line="400" w:lineRule="exact"/>
              <w:jc w:val="left"/>
              <w:rPr>
                <w:rFonts w:ascii="新宋体" w:eastAsia="新宋体" w:hAnsi="新宋体"/>
                <w:sz w:val="21"/>
                <w:szCs w:val="21"/>
              </w:rPr>
            </w:pPr>
            <w:r>
              <w:rPr>
                <w:rFonts w:ascii="新宋体" w:eastAsia="新宋体" w:hAnsi="新宋体" w:hint="eastAsia"/>
                <w:sz w:val="21"/>
                <w:szCs w:val="21"/>
              </w:rPr>
              <w:t>负责进行受托资金的投资管理，具体以管理人与投资合作机构签署的合同为准。</w:t>
            </w:r>
          </w:p>
        </w:tc>
      </w:tr>
    </w:tbl>
    <w:p w:rsidR="009C2918" w:rsidRDefault="009C2918">
      <w:pPr>
        <w:snapToGrid w:val="0"/>
        <w:spacing w:line="360" w:lineRule="auto"/>
        <w:ind w:left="482"/>
        <w:rPr>
          <w:rFonts w:ascii="新宋体" w:eastAsia="新宋体" w:hAnsi="新宋体"/>
          <w:b/>
          <w:color w:val="auto"/>
          <w:sz w:val="21"/>
          <w:szCs w:val="21"/>
        </w:rPr>
      </w:pPr>
    </w:p>
    <w:p w:rsidR="009C2918" w:rsidRDefault="004B5A89">
      <w:pPr>
        <w:snapToGrid w:val="0"/>
        <w:spacing w:line="360" w:lineRule="auto"/>
        <w:ind w:firstLineChars="196" w:firstLine="413"/>
        <w:jc w:val="left"/>
        <w:rPr>
          <w:rFonts w:ascii="新宋体" w:eastAsia="新宋体" w:hAnsi="新宋体"/>
          <w:b/>
          <w:color w:val="auto"/>
          <w:sz w:val="21"/>
          <w:szCs w:val="21"/>
        </w:rPr>
      </w:pPr>
      <w:r>
        <w:rPr>
          <w:rFonts w:ascii="新宋体" w:eastAsia="新宋体" w:hAnsi="新宋体" w:hint="eastAsia"/>
          <w:b/>
          <w:color w:val="auto"/>
          <w:sz w:val="21"/>
          <w:szCs w:val="21"/>
        </w:rPr>
        <w:t>三、产品投资对象</w:t>
      </w:r>
    </w:p>
    <w:p w:rsidR="009C2918" w:rsidRDefault="004B5A89">
      <w:pPr>
        <w:snapToGrid w:val="0"/>
        <w:spacing w:line="360" w:lineRule="auto"/>
        <w:ind w:firstLineChars="196" w:firstLine="412"/>
        <w:jc w:val="left"/>
        <w:rPr>
          <w:rFonts w:ascii="新宋体" w:eastAsia="新宋体" w:hAnsi="新宋体"/>
          <w:color w:val="auto"/>
          <w:sz w:val="21"/>
          <w:szCs w:val="21"/>
        </w:rPr>
      </w:pPr>
      <w:r>
        <w:rPr>
          <w:rFonts w:ascii="新宋体" w:eastAsia="新宋体" w:hAnsi="新宋体" w:hint="eastAsia"/>
          <w:color w:val="auto"/>
          <w:sz w:val="21"/>
          <w:szCs w:val="21"/>
        </w:rPr>
        <w:t>本理财计划由青银理财募集理财资金自行投资运作，投资性质属固定收益类，投资对象主要包括：</w:t>
      </w:r>
    </w:p>
    <w:p w:rsidR="009C2918" w:rsidRDefault="004B5A89">
      <w:pPr>
        <w:snapToGrid w:val="0"/>
        <w:spacing w:line="360" w:lineRule="auto"/>
        <w:ind w:firstLineChars="196" w:firstLine="412"/>
        <w:jc w:val="left"/>
        <w:rPr>
          <w:rFonts w:ascii="新宋体" w:eastAsia="新宋体" w:hAnsi="新宋体"/>
          <w:color w:val="auto"/>
          <w:sz w:val="21"/>
          <w:szCs w:val="21"/>
        </w:rPr>
      </w:pPr>
      <w:r>
        <w:rPr>
          <w:rFonts w:ascii="新宋体" w:eastAsia="新宋体" w:hAnsi="新宋体"/>
          <w:color w:val="auto"/>
          <w:sz w:val="21"/>
          <w:szCs w:val="21"/>
        </w:rPr>
        <w:t>1.银行存款、债券回购、买入返售金融资产、拆放同业、同业存款、同业存单等货币市场工具；</w:t>
      </w:r>
    </w:p>
    <w:p w:rsidR="009C2918" w:rsidRDefault="004B5A89">
      <w:pPr>
        <w:snapToGrid w:val="0"/>
        <w:spacing w:line="360" w:lineRule="auto"/>
        <w:ind w:firstLineChars="196" w:firstLine="412"/>
        <w:jc w:val="left"/>
        <w:rPr>
          <w:rFonts w:ascii="新宋体" w:eastAsia="新宋体" w:hAnsi="新宋体"/>
          <w:color w:val="auto"/>
          <w:sz w:val="21"/>
          <w:szCs w:val="21"/>
        </w:rPr>
      </w:pPr>
      <w:r>
        <w:rPr>
          <w:rFonts w:ascii="新宋体" w:eastAsia="新宋体" w:hAnsi="新宋体"/>
          <w:color w:val="auto"/>
          <w:sz w:val="21"/>
          <w:szCs w:val="21"/>
        </w:rPr>
        <w:t>2.国债、央行票据、政策性金融债、商业银行金融债（含二级资本债、混合资本债、次级债等）、超短期融资券、短期融资券、中期票据、中小企业集合票据、定向工具、资产支持证券、企业债、项目收益票据、证券交易所标准化投资品种（含公司债、中小企业私募债、优先股、新股申购、股票质押回购等）等；</w:t>
      </w:r>
    </w:p>
    <w:p w:rsidR="009C2918" w:rsidRDefault="004B5A89">
      <w:pPr>
        <w:snapToGrid w:val="0"/>
        <w:spacing w:line="360" w:lineRule="auto"/>
        <w:ind w:firstLineChars="196" w:firstLine="412"/>
        <w:jc w:val="left"/>
        <w:rPr>
          <w:rFonts w:ascii="新宋体" w:eastAsia="新宋体" w:hAnsi="新宋体"/>
          <w:color w:val="auto"/>
          <w:sz w:val="21"/>
          <w:szCs w:val="21"/>
        </w:rPr>
      </w:pPr>
      <w:r>
        <w:rPr>
          <w:rFonts w:ascii="新宋体" w:eastAsia="新宋体" w:hAnsi="新宋体"/>
          <w:color w:val="auto"/>
          <w:sz w:val="21"/>
          <w:szCs w:val="21"/>
        </w:rPr>
        <w:t>3.符合条件的信托计划、券商资管计划、保险资管计划、基金资管计划、基金子公司资管计划、FOF、MOM；</w:t>
      </w:r>
    </w:p>
    <w:p w:rsidR="009C2918" w:rsidRDefault="004B5A89">
      <w:pPr>
        <w:snapToGrid w:val="0"/>
        <w:spacing w:line="360" w:lineRule="auto"/>
        <w:ind w:firstLineChars="196" w:firstLine="412"/>
        <w:jc w:val="left"/>
        <w:rPr>
          <w:rFonts w:ascii="新宋体" w:eastAsia="新宋体" w:hAnsi="新宋体"/>
          <w:color w:val="auto"/>
          <w:sz w:val="21"/>
          <w:szCs w:val="21"/>
        </w:rPr>
      </w:pPr>
      <w:r>
        <w:rPr>
          <w:rFonts w:ascii="新宋体" w:eastAsia="新宋体" w:hAnsi="新宋体"/>
          <w:color w:val="auto"/>
          <w:sz w:val="21"/>
          <w:szCs w:val="21"/>
        </w:rPr>
        <w:t>4.权益类资产、另类资产、公募基金；</w:t>
      </w:r>
    </w:p>
    <w:p w:rsidR="009C2918" w:rsidRDefault="004B5A89">
      <w:pPr>
        <w:snapToGrid w:val="0"/>
        <w:spacing w:line="360" w:lineRule="auto"/>
        <w:ind w:firstLineChars="196" w:firstLine="412"/>
        <w:jc w:val="left"/>
        <w:rPr>
          <w:rFonts w:ascii="新宋体" w:eastAsia="新宋体" w:hAnsi="新宋体"/>
          <w:color w:val="auto"/>
          <w:sz w:val="21"/>
          <w:szCs w:val="21"/>
        </w:rPr>
      </w:pPr>
      <w:r>
        <w:rPr>
          <w:rFonts w:ascii="新宋体" w:eastAsia="新宋体" w:hAnsi="新宋体"/>
          <w:color w:val="auto"/>
          <w:sz w:val="21"/>
          <w:szCs w:val="21"/>
        </w:rPr>
        <w:t>5.监管部门允许的其他投资工具。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60"/>
      </w:tblGrid>
      <w:tr w:rsidR="009C2918">
        <w:trPr>
          <w:trHeight w:val="405"/>
          <w:jc w:val="center"/>
        </w:trPr>
        <w:tc>
          <w:tcPr>
            <w:tcW w:w="3060" w:type="dxa"/>
            <w:tcBorders>
              <w:top w:val="single" w:sz="4" w:space="0" w:color="auto"/>
              <w:left w:val="single" w:sz="4" w:space="0" w:color="auto"/>
              <w:bottom w:val="single" w:sz="4" w:space="0" w:color="auto"/>
              <w:right w:val="single"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货币市场工具</w:t>
            </w:r>
          </w:p>
        </w:tc>
        <w:tc>
          <w:tcPr>
            <w:tcW w:w="3060" w:type="dxa"/>
            <w:tcBorders>
              <w:top w:val="single" w:sz="4" w:space="0" w:color="auto"/>
              <w:left w:val="single" w:sz="4" w:space="0" w:color="auto"/>
              <w:bottom w:val="single" w:sz="4" w:space="0" w:color="auto"/>
              <w:right w:val="single"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color w:val="auto"/>
                <w:sz w:val="21"/>
                <w:szCs w:val="21"/>
              </w:rPr>
              <w:t>0-95%</w:t>
            </w:r>
          </w:p>
        </w:tc>
      </w:tr>
      <w:tr w:rsidR="009C2918">
        <w:trPr>
          <w:trHeight w:val="405"/>
          <w:jc w:val="center"/>
        </w:trPr>
        <w:tc>
          <w:tcPr>
            <w:tcW w:w="3060" w:type="dxa"/>
            <w:tcBorders>
              <w:top w:val="single" w:sz="4" w:space="0" w:color="auto"/>
              <w:left w:val="single" w:sz="4" w:space="0" w:color="auto"/>
              <w:bottom w:val="single" w:sz="4" w:space="0" w:color="auto"/>
              <w:right w:val="single"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固定收益类资产</w:t>
            </w:r>
          </w:p>
        </w:tc>
        <w:tc>
          <w:tcPr>
            <w:tcW w:w="3060" w:type="dxa"/>
            <w:tcBorders>
              <w:top w:val="single" w:sz="4" w:space="0" w:color="auto"/>
              <w:left w:val="single" w:sz="4" w:space="0" w:color="auto"/>
              <w:bottom w:val="single" w:sz="4" w:space="0" w:color="auto"/>
              <w:right w:val="single"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color w:val="auto"/>
                <w:sz w:val="21"/>
                <w:szCs w:val="21"/>
              </w:rPr>
              <w:t>10-100%</w:t>
            </w:r>
          </w:p>
        </w:tc>
      </w:tr>
      <w:tr w:rsidR="009C2918">
        <w:trPr>
          <w:trHeight w:val="405"/>
          <w:jc w:val="center"/>
        </w:trPr>
        <w:tc>
          <w:tcPr>
            <w:tcW w:w="3060" w:type="dxa"/>
            <w:tcBorders>
              <w:top w:val="single" w:sz="4" w:space="0" w:color="auto"/>
              <w:left w:val="single" w:sz="4" w:space="0" w:color="auto"/>
              <w:bottom w:val="single" w:sz="4" w:space="0" w:color="auto"/>
              <w:right w:val="single"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其他资产</w:t>
            </w:r>
          </w:p>
        </w:tc>
        <w:tc>
          <w:tcPr>
            <w:tcW w:w="3060" w:type="dxa"/>
            <w:tcBorders>
              <w:top w:val="single" w:sz="4" w:space="0" w:color="auto"/>
              <w:left w:val="single" w:sz="4" w:space="0" w:color="auto"/>
              <w:bottom w:val="single" w:sz="4" w:space="0" w:color="auto"/>
              <w:right w:val="single" w:sz="4" w:space="0" w:color="auto"/>
            </w:tcBorders>
            <w:vAlign w:val="center"/>
          </w:tcPr>
          <w:p w:rsidR="009C2918" w:rsidRDefault="004B5A89">
            <w:pPr>
              <w:spacing w:line="360" w:lineRule="auto"/>
              <w:jc w:val="center"/>
              <w:rPr>
                <w:rFonts w:ascii="新宋体" w:eastAsia="新宋体" w:hAnsi="新宋体"/>
                <w:color w:val="auto"/>
                <w:sz w:val="21"/>
                <w:szCs w:val="21"/>
              </w:rPr>
            </w:pPr>
            <w:r>
              <w:rPr>
                <w:rFonts w:ascii="新宋体" w:eastAsia="新宋体" w:hAnsi="新宋体"/>
                <w:color w:val="auto"/>
                <w:sz w:val="21"/>
                <w:szCs w:val="21"/>
              </w:rPr>
              <w:t>0-20%</w:t>
            </w:r>
          </w:p>
        </w:tc>
      </w:tr>
    </w:tbl>
    <w:p w:rsidR="009C2918" w:rsidRDefault="004B5A89">
      <w:pPr>
        <w:snapToGrid w:val="0"/>
        <w:spacing w:line="360" w:lineRule="auto"/>
        <w:ind w:firstLineChars="196" w:firstLine="413"/>
        <w:jc w:val="left"/>
        <w:rPr>
          <w:rFonts w:ascii="新宋体" w:eastAsia="新宋体" w:hAnsi="新宋体"/>
          <w:b/>
          <w:color w:val="auto"/>
          <w:sz w:val="21"/>
          <w:szCs w:val="21"/>
        </w:rPr>
      </w:pPr>
      <w:r>
        <w:rPr>
          <w:rFonts w:ascii="新宋体" w:eastAsia="新宋体" w:hAnsi="新宋体" w:hint="eastAsia"/>
          <w:b/>
          <w:color w:val="auto"/>
          <w:sz w:val="21"/>
          <w:szCs w:val="21"/>
        </w:rPr>
        <w:t>理财产品存续期内可能因市场的重大变化导致投资比例暂时超出如上区间。非因管理人主观因素导致突破前述比例限制的，管理人应当在流动性受限资产可出售、可转让或者恢复交易的</w:t>
      </w:r>
      <w:r>
        <w:rPr>
          <w:rFonts w:ascii="新宋体" w:eastAsia="新宋体" w:hAnsi="新宋体"/>
          <w:b/>
          <w:color w:val="auto"/>
          <w:sz w:val="21"/>
          <w:szCs w:val="21"/>
        </w:rPr>
        <w:t>15个交易日内将理财产品投资比例调整至符合要求，国务院银行业监督管理机构规定的特殊情形除外。</w:t>
      </w:r>
    </w:p>
    <w:p w:rsidR="009C2918" w:rsidRDefault="004B5A89">
      <w:pPr>
        <w:spacing w:line="360" w:lineRule="auto"/>
        <w:ind w:firstLineChars="200" w:firstLine="422"/>
        <w:rPr>
          <w:rFonts w:ascii="新宋体" w:eastAsia="新宋体" w:hAnsi="新宋体"/>
          <w:b/>
          <w:sz w:val="21"/>
          <w:szCs w:val="21"/>
        </w:rPr>
      </w:pPr>
      <w:r>
        <w:rPr>
          <w:rFonts w:ascii="新宋体" w:eastAsia="新宋体" w:hAnsi="新宋体" w:hint="eastAsia"/>
          <w:b/>
          <w:color w:val="auto"/>
          <w:sz w:val="21"/>
          <w:szCs w:val="21"/>
        </w:rPr>
        <w:t>青银理财有权根据市场情况，以客户利益最大化为原则，对本理财的投资范围、投资品种和投资比例的上限进行调整。调整前，青银理财最迟提前</w:t>
      </w:r>
      <w:r>
        <w:rPr>
          <w:rFonts w:ascii="新宋体" w:eastAsia="新宋体" w:hAnsi="新宋体"/>
          <w:b/>
          <w:color w:val="auto"/>
          <w:sz w:val="21"/>
          <w:szCs w:val="21"/>
        </w:rPr>
        <w:t>2个交易日发布公告。</w:t>
      </w:r>
      <w:r>
        <w:rPr>
          <w:rFonts w:ascii="新宋体" w:eastAsia="新宋体" w:hAnsi="新宋体" w:hint="eastAsia"/>
          <w:sz w:val="21"/>
          <w:szCs w:val="21"/>
        </w:rPr>
        <w:t>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C2918" w:rsidRDefault="004B5A89">
      <w:pPr>
        <w:snapToGrid w:val="0"/>
        <w:spacing w:line="360" w:lineRule="auto"/>
        <w:ind w:firstLineChars="196" w:firstLine="413"/>
        <w:jc w:val="left"/>
        <w:rPr>
          <w:rFonts w:ascii="新宋体" w:eastAsia="新宋体" w:hAnsi="新宋体"/>
          <w:b/>
          <w:color w:val="auto"/>
          <w:sz w:val="21"/>
          <w:szCs w:val="21"/>
        </w:rPr>
      </w:pPr>
      <w:r>
        <w:rPr>
          <w:rFonts w:ascii="新宋体" w:eastAsia="新宋体" w:hAnsi="新宋体" w:hint="eastAsia"/>
          <w:b/>
          <w:color w:val="auto"/>
          <w:sz w:val="21"/>
          <w:szCs w:val="21"/>
        </w:rPr>
        <w:t>四、产品投资限制</w:t>
      </w:r>
    </w:p>
    <w:p w:rsidR="009C2918" w:rsidRDefault="004B5A89">
      <w:pPr>
        <w:snapToGrid w:val="0"/>
        <w:spacing w:line="360" w:lineRule="auto"/>
        <w:ind w:firstLineChars="196" w:firstLine="412"/>
        <w:jc w:val="left"/>
        <w:rPr>
          <w:rFonts w:ascii="新宋体" w:eastAsia="新宋体" w:hAnsi="新宋体"/>
          <w:color w:val="auto"/>
          <w:sz w:val="21"/>
          <w:szCs w:val="21"/>
        </w:rPr>
      </w:pPr>
      <w:r>
        <w:rPr>
          <w:rFonts w:ascii="新宋体" w:eastAsia="新宋体" w:hAnsi="新宋体"/>
          <w:color w:val="auto"/>
          <w:sz w:val="21"/>
          <w:szCs w:val="21"/>
        </w:rPr>
        <w:t>1.本产品投资于单只证券或单只公募证券投资基金的市值不超过本产品净资产的10%。</w:t>
      </w:r>
    </w:p>
    <w:p w:rsidR="009C2918" w:rsidRDefault="004B5A89">
      <w:pPr>
        <w:snapToGrid w:val="0"/>
        <w:spacing w:line="360" w:lineRule="auto"/>
        <w:ind w:firstLineChars="196" w:firstLine="412"/>
        <w:jc w:val="left"/>
        <w:rPr>
          <w:rFonts w:ascii="新宋体" w:eastAsia="新宋体" w:hAnsi="新宋体"/>
          <w:color w:val="auto"/>
          <w:sz w:val="21"/>
          <w:szCs w:val="21"/>
        </w:rPr>
      </w:pPr>
      <w:r>
        <w:rPr>
          <w:rFonts w:ascii="新宋体" w:eastAsia="新宋体" w:hAnsi="新宋体"/>
          <w:color w:val="auto"/>
          <w:sz w:val="21"/>
          <w:szCs w:val="21"/>
        </w:rPr>
        <w:t>2.本产品投资总资产不超过净资产的140%。</w:t>
      </w:r>
    </w:p>
    <w:p w:rsidR="009C2918" w:rsidRDefault="004B5A89">
      <w:pPr>
        <w:snapToGrid w:val="0"/>
        <w:spacing w:line="360" w:lineRule="auto"/>
        <w:ind w:firstLineChars="196" w:firstLine="412"/>
        <w:jc w:val="left"/>
        <w:rPr>
          <w:rFonts w:ascii="新宋体" w:eastAsia="新宋体" w:hAnsi="新宋体"/>
          <w:color w:val="auto"/>
          <w:sz w:val="21"/>
          <w:szCs w:val="21"/>
        </w:rPr>
      </w:pPr>
      <w:r>
        <w:rPr>
          <w:rFonts w:ascii="新宋体" w:eastAsia="新宋体" w:hAnsi="新宋体"/>
          <w:color w:val="auto"/>
          <w:sz w:val="21"/>
          <w:szCs w:val="21"/>
        </w:rPr>
        <w:t>3.非因管理人主观因素致使不符合前述比例限制的，管理人将在流动性受限资产可出售、可转让或者恢复交易10个交易日内调整至符合相关要求。</w:t>
      </w:r>
    </w:p>
    <w:p w:rsidR="009C2918" w:rsidRDefault="004B5A89">
      <w:pPr>
        <w:snapToGrid w:val="0"/>
        <w:spacing w:line="360" w:lineRule="auto"/>
        <w:ind w:firstLineChars="196" w:firstLine="412"/>
        <w:jc w:val="left"/>
        <w:rPr>
          <w:rFonts w:ascii="新宋体" w:eastAsia="新宋体" w:hAnsi="新宋体"/>
          <w:color w:val="auto"/>
          <w:sz w:val="21"/>
          <w:szCs w:val="21"/>
        </w:rPr>
      </w:pPr>
      <w:r>
        <w:rPr>
          <w:rFonts w:ascii="新宋体" w:eastAsia="新宋体" w:hAnsi="新宋体"/>
          <w:color w:val="auto"/>
          <w:sz w:val="21"/>
          <w:szCs w:val="21"/>
        </w:rPr>
        <w:t>4.以上限制，如监管有最新规定的，可参照监管规定调整。</w:t>
      </w:r>
    </w:p>
    <w:p w:rsidR="009C2918" w:rsidRDefault="004B5A89">
      <w:pPr>
        <w:snapToGrid w:val="0"/>
        <w:spacing w:line="360" w:lineRule="auto"/>
        <w:ind w:firstLineChars="196" w:firstLine="413"/>
        <w:jc w:val="left"/>
        <w:rPr>
          <w:rFonts w:ascii="新宋体" w:eastAsia="新宋体" w:hAnsi="新宋体"/>
          <w:b/>
          <w:sz w:val="21"/>
          <w:szCs w:val="21"/>
        </w:rPr>
      </w:pPr>
      <w:r>
        <w:rPr>
          <w:rFonts w:ascii="新宋体" w:eastAsia="新宋体" w:hAnsi="新宋体" w:hint="eastAsia"/>
          <w:b/>
          <w:sz w:val="21"/>
          <w:szCs w:val="21"/>
        </w:rPr>
        <w:t>五、</w:t>
      </w:r>
      <w:r>
        <w:rPr>
          <w:rFonts w:ascii="新宋体" w:eastAsia="新宋体" w:hAnsi="新宋体"/>
          <w:b/>
          <w:sz w:val="21"/>
          <w:szCs w:val="21"/>
        </w:rPr>
        <w:tab/>
        <w:t>理财管理人</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本理财计划的投资管理人为青银理财。青银理财负责本理财计划的投资运作和产品管理，投资者在此授权并同意青银理财享有以下权利：</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sz w:val="21"/>
          <w:szCs w:val="21"/>
        </w:rPr>
        <w:t>1.按照本理财计划文件的约定，管理、运用和处分理财计划资金；</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sz w:val="21"/>
          <w:szCs w:val="21"/>
        </w:rPr>
        <w:t>2.按照本理财计划文件的约定，及时、足额获得管理费和本《产品说明书》 约定的其他费用（如有）；</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sz w:val="21"/>
          <w:szCs w:val="21"/>
        </w:rPr>
        <w:t>3.管理人以其固有财产先行垫付因处理本理财计划相关事务所支出的理财计划费用及税费的 ，对理财计划资金享有优先受偿的权利；</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sz w:val="21"/>
          <w:szCs w:val="21"/>
        </w:rPr>
        <w:t>4.管理人有权根据本理财计划文件的约定提前终止或延长本理财计划；</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sz w:val="21"/>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sz w:val="21"/>
          <w:szCs w:val="21"/>
        </w:rPr>
        <w:t>6.管理人有权按照法律规定和监管机构的要求将投资者的信息向有权部门或相关机构披露；</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sz w:val="21"/>
          <w:szCs w:val="21"/>
        </w:rPr>
        <w:t>7.以理财计划投资管理人的名义，依照法律法规相关规定以及为理财计划的利益，对被投资的信托计划、资管计划、各类基金（含公募基金）、公司/企业等行使出资人/投资者权利（包括但不限于表决投票的权利）以及行使因理财计划财产投资于证券类基础资产（含债券、股票等）或其他基础资产（包括但不限于债权类资产）所产生的相关权利。</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sz w:val="21"/>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sz w:val="21"/>
          <w:szCs w:val="21"/>
        </w:rPr>
        <w:t>9.在法律法规、监管政策允许的前提下调整估值日。</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sz w:val="21"/>
          <w:szCs w:val="21"/>
        </w:rPr>
        <w:t>10.法律法规、监管政策和本理财计划文件约定的其他权利。</w:t>
      </w:r>
    </w:p>
    <w:p w:rsidR="009C2918" w:rsidRDefault="004B5A89">
      <w:pPr>
        <w:snapToGrid w:val="0"/>
        <w:spacing w:line="360" w:lineRule="auto"/>
        <w:ind w:firstLineChars="196" w:firstLine="413"/>
        <w:jc w:val="left"/>
        <w:rPr>
          <w:rFonts w:ascii="新宋体" w:eastAsia="新宋体" w:hAnsi="新宋体"/>
          <w:b/>
          <w:sz w:val="21"/>
          <w:szCs w:val="21"/>
        </w:rPr>
      </w:pPr>
      <w:r>
        <w:rPr>
          <w:rFonts w:ascii="新宋体" w:eastAsia="新宋体" w:hAnsi="新宋体" w:hint="eastAsia"/>
          <w:b/>
          <w:sz w:val="21"/>
          <w:szCs w:val="21"/>
        </w:rPr>
        <w:t>六、</w:t>
      </w:r>
      <w:r>
        <w:rPr>
          <w:rFonts w:ascii="新宋体" w:eastAsia="新宋体" w:hAnsi="新宋体"/>
          <w:b/>
          <w:sz w:val="21"/>
          <w:szCs w:val="21"/>
        </w:rPr>
        <w:tab/>
        <w:t>托管人</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sz w:val="21"/>
          <w:szCs w:val="21"/>
        </w:rPr>
        <w:t>1.托管人基本信息</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本理财产品的托管人为【青岛银行股份有限公司】。</w:t>
      </w:r>
      <w:r>
        <w:rPr>
          <w:rFonts w:ascii="新宋体" w:eastAsia="新宋体" w:hAnsi="新宋体"/>
          <w:sz w:val="21"/>
          <w:szCs w:val="21"/>
        </w:rPr>
        <w:t xml:space="preserve"> </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sz w:val="21"/>
          <w:szCs w:val="21"/>
        </w:rPr>
        <w:t>2.托管人职责</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本理财产品托管人应当履行下列职责，确保实现实质性独立托管：</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w:t>
      </w:r>
      <w:r>
        <w:rPr>
          <w:rFonts w:ascii="新宋体" w:eastAsia="新宋体" w:hAnsi="新宋体"/>
          <w:sz w:val="21"/>
          <w:szCs w:val="21"/>
        </w:rPr>
        <w:t>1）安全保管理财产品财产；</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w:t>
      </w:r>
      <w:r>
        <w:rPr>
          <w:rFonts w:ascii="新宋体" w:eastAsia="新宋体" w:hAnsi="新宋体"/>
          <w:sz w:val="21"/>
          <w:szCs w:val="21"/>
        </w:rPr>
        <w:t>2）为每只理财产品开设独立的托管账户，不同托管账户中的资产应当相互独立；</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w:t>
      </w:r>
      <w:r>
        <w:rPr>
          <w:rFonts w:ascii="新宋体" w:eastAsia="新宋体" w:hAnsi="新宋体"/>
          <w:sz w:val="21"/>
          <w:szCs w:val="21"/>
        </w:rPr>
        <w:t>3）按照托管协议约定和理财产品管理人的投资指令，及时办理清算、交割 事宜；</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w:t>
      </w:r>
      <w:r>
        <w:rPr>
          <w:rFonts w:ascii="新宋体" w:eastAsia="新宋体" w:hAnsi="新宋体"/>
          <w:sz w:val="21"/>
          <w:szCs w:val="21"/>
        </w:rPr>
        <w:t>4）建立与理财产品管理人的对账机制，复核、审查理财产品资金头寸、资产账目、资产净值、认购和赎回价格等数据，及时核查认购、赎回以及投资资金的支付和到账情况；</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w:t>
      </w:r>
      <w:r>
        <w:rPr>
          <w:rFonts w:ascii="新宋体" w:eastAsia="新宋体" w:hAnsi="新宋体"/>
          <w:sz w:val="21"/>
          <w:szCs w:val="21"/>
        </w:rPr>
        <w:t>5）监督理财产品投资运作，发现理财产品违反法律、行政法规、规章规定或合同约定进行投资的，应当拒绝执行，及时通知理财产品管理人并报告银行业监督管理机构；</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w:t>
      </w:r>
      <w:r>
        <w:rPr>
          <w:rFonts w:ascii="新宋体" w:eastAsia="新宋体" w:hAnsi="新宋体"/>
          <w:sz w:val="21"/>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w:t>
      </w:r>
      <w:r>
        <w:rPr>
          <w:rFonts w:ascii="新宋体" w:eastAsia="新宋体" w:hAnsi="新宋体"/>
          <w:sz w:val="21"/>
          <w:szCs w:val="21"/>
        </w:rPr>
        <w:t>7）</w:t>
      </w:r>
      <w:r>
        <w:rPr>
          <w:rFonts w:ascii="新宋体" w:eastAsia="新宋体" w:hAnsi="新宋体" w:hint="eastAsia"/>
          <w:sz w:val="21"/>
          <w:szCs w:val="21"/>
        </w:rPr>
        <w:t>对</w:t>
      </w:r>
      <w:r>
        <w:rPr>
          <w:rFonts w:ascii="新宋体" w:eastAsia="新宋体" w:hAnsi="新宋体"/>
          <w:sz w:val="21"/>
          <w:szCs w:val="21"/>
        </w:rPr>
        <w:t>理财托管业务活动的记录、账册、报表和其他相关资料保存15年以上；</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w:t>
      </w:r>
      <w:r>
        <w:rPr>
          <w:rFonts w:ascii="新宋体" w:eastAsia="新宋体" w:hAnsi="新宋体"/>
          <w:sz w:val="21"/>
          <w:szCs w:val="21"/>
        </w:rPr>
        <w:t>8）对理财产品投资信息和相关资料承担保密责任，除法律、行政法规、规章规定、审计要求或者合同约定外，不得向任何机构或者个人提供相关信息和资料；</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w:t>
      </w:r>
      <w:r>
        <w:rPr>
          <w:rFonts w:ascii="新宋体" w:eastAsia="新宋体" w:hAnsi="新宋体"/>
          <w:sz w:val="21"/>
          <w:szCs w:val="21"/>
        </w:rPr>
        <w:t>9）国务院银行业监督管理机构规定的其他职责。</w:t>
      </w:r>
    </w:p>
    <w:p w:rsidR="009C2918" w:rsidRDefault="004B5A89">
      <w:pPr>
        <w:snapToGrid w:val="0"/>
        <w:spacing w:line="360" w:lineRule="auto"/>
        <w:ind w:firstLineChars="196" w:firstLine="413"/>
        <w:jc w:val="left"/>
        <w:rPr>
          <w:rFonts w:ascii="新宋体" w:eastAsia="新宋体" w:hAnsi="新宋体"/>
          <w:b/>
          <w:sz w:val="21"/>
          <w:szCs w:val="21"/>
        </w:rPr>
      </w:pPr>
      <w:r>
        <w:rPr>
          <w:rFonts w:ascii="新宋体" w:eastAsia="新宋体" w:hAnsi="新宋体" w:hint="eastAsia"/>
          <w:b/>
          <w:sz w:val="21"/>
          <w:szCs w:val="21"/>
        </w:rPr>
        <w:t>七、</w:t>
      </w:r>
      <w:r>
        <w:rPr>
          <w:rFonts w:ascii="新宋体" w:eastAsia="新宋体" w:hAnsi="新宋体"/>
          <w:b/>
          <w:sz w:val="21"/>
          <w:szCs w:val="21"/>
        </w:rPr>
        <w:tab/>
        <w:t>销售服务机构</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本理财产品的销售服务机构为青银理财直销及各代销机构。后续如有变更以管理人信息披露为准。其中，代销机构主要职责包含：</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（1）宣传推介理财产品；</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（2）为投资者办理理财产品认购、申购和赎回；</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（3）在销售过程中对投资者进行身份识别和尽职调查；</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（4）承担理财产品的投资者适当性和销售适当性管理职责；</w:t>
      </w:r>
    </w:p>
    <w:p w:rsidR="009C2918" w:rsidRDefault="004B5A89">
      <w:pPr>
        <w:snapToGrid w:val="0"/>
        <w:spacing w:line="360" w:lineRule="auto"/>
        <w:ind w:firstLineChars="196" w:firstLine="412"/>
        <w:jc w:val="left"/>
        <w:rPr>
          <w:rFonts w:ascii="新宋体" w:eastAsia="新宋体" w:hAnsi="新宋体"/>
          <w:sz w:val="21"/>
          <w:szCs w:val="21"/>
        </w:rPr>
      </w:pPr>
      <w:r>
        <w:rPr>
          <w:rFonts w:ascii="新宋体" w:eastAsia="新宋体" w:hAnsi="新宋体" w:hint="eastAsia"/>
          <w:sz w:val="21"/>
          <w:szCs w:val="21"/>
        </w:rPr>
        <w:t>（5）适用法律规定及理财产品销售文件约定的其他职责。</w:t>
      </w:r>
    </w:p>
    <w:p w:rsidR="009C2918" w:rsidRDefault="004B5A89">
      <w:pPr>
        <w:numPr>
          <w:ilvl w:val="0"/>
          <w:numId w:val="1"/>
        </w:numPr>
        <w:spacing w:line="360" w:lineRule="auto"/>
        <w:rPr>
          <w:rFonts w:ascii="新宋体" w:eastAsia="新宋体" w:hAnsi="新宋体"/>
          <w:b/>
          <w:sz w:val="21"/>
          <w:szCs w:val="21"/>
        </w:rPr>
      </w:pPr>
      <w:r>
        <w:rPr>
          <w:rFonts w:ascii="新宋体" w:eastAsia="新宋体" w:hAnsi="新宋体" w:hint="eastAsia"/>
          <w:b/>
          <w:sz w:val="21"/>
          <w:szCs w:val="21"/>
        </w:rPr>
        <w:t>风控措施</w:t>
      </w:r>
    </w:p>
    <w:p w:rsidR="009C2918" w:rsidRDefault="004B5A89">
      <w:pPr>
        <w:spacing w:line="360" w:lineRule="auto"/>
        <w:ind w:left="422"/>
        <w:rPr>
          <w:rFonts w:ascii="新宋体" w:eastAsia="新宋体" w:hAnsi="新宋体"/>
          <w:b/>
          <w:sz w:val="21"/>
          <w:szCs w:val="21"/>
        </w:rPr>
      </w:pPr>
      <w:r>
        <w:rPr>
          <w:rFonts w:ascii="新宋体" w:eastAsia="新宋体" w:hAnsi="新宋体" w:hint="eastAsia"/>
          <w:color w:val="auto"/>
          <w:sz w:val="21"/>
          <w:szCs w:val="21"/>
        </w:rPr>
        <w:t>1.风险管理组织架构</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管理人制定了一系列严密有效的风险控制制度，建立和完善对风险的事前防范、事中控制、事后稽查和监察的管理机制。</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2.市场风险管理</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管理人主要通过对国内外宏观经济走势及各项宏观经济政策等要素的分析来把握市场走势和选取投资品种，注重研究的运用，注重风险控制，采取有效措施防范和控制风险。</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3.流动性风险管理</w:t>
      </w:r>
    </w:p>
    <w:p w:rsidR="009C2918" w:rsidRDefault="004B5A89">
      <w:pPr>
        <w:pStyle w:val="Default"/>
        <w:spacing w:line="360" w:lineRule="auto"/>
        <w:ind w:firstLineChars="200" w:firstLine="420"/>
        <w:rPr>
          <w:rFonts w:ascii="新宋体" w:eastAsia="新宋体" w:hAnsi="新宋体" w:cs="Times New Roman"/>
          <w:color w:val="auto"/>
          <w:kern w:val="2"/>
          <w:sz w:val="21"/>
          <w:szCs w:val="21"/>
        </w:rPr>
      </w:pPr>
      <w:r>
        <w:rPr>
          <w:rFonts w:ascii="新宋体" w:eastAsia="新宋体" w:hAnsi="新宋体" w:cs="Times New Roman" w:hint="eastAsia"/>
          <w:color w:val="auto"/>
          <w:kern w:val="2"/>
          <w:sz w:val="21"/>
          <w:szCs w:val="21"/>
        </w:rPr>
        <w:t>（1）流动性风险评估</w:t>
      </w:r>
    </w:p>
    <w:p w:rsidR="009C2918" w:rsidRDefault="004B5A89">
      <w:pPr>
        <w:pStyle w:val="Default"/>
        <w:spacing w:line="360" w:lineRule="auto"/>
        <w:ind w:firstLineChars="200" w:firstLine="420"/>
        <w:rPr>
          <w:rFonts w:ascii="新宋体" w:eastAsia="新宋体" w:hAnsi="新宋体" w:cs="Times New Roman"/>
          <w:color w:val="auto"/>
          <w:kern w:val="2"/>
          <w:sz w:val="21"/>
          <w:szCs w:val="21"/>
        </w:rPr>
      </w:pPr>
      <w:r>
        <w:rPr>
          <w:rFonts w:ascii="新宋体" w:eastAsia="新宋体" w:hAnsi="新宋体" w:cs="Times New Roman" w:hint="eastAsia"/>
          <w:color w:val="auto"/>
          <w:kern w:val="2"/>
          <w:sz w:val="21"/>
          <w:szCs w:val="21"/>
        </w:rPr>
        <w:t>1）主要拟投资市场、资产的流动性风险：根据本理财产品的投资范围，本理财产品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本产品投资标的资产成交少，流动性低，即使在市场流动性较好情况下，因个别资产的流动性可能较差，可能造成无法以合理价格买入或卖出的情形，并因此影响投资者收益，甚至使本理财产品遭受损失；三是为应对投资者的赎回或履行其他支付义务，管理人被迫以不适当价格卖出债券或其他资产；四是本理财产品计划投资不存在活跃交易市场并且需要采取估值技术确定公允价值的资产的比例较高，存在产品可变现资产变现后不能满足投资者的赎回或履行其他支付义务情况，或者低流动资产无法变现或处置，或以不适当的价格处置的情况。以上均可能影响本产品投资收益、影响投资者赎回安排，甚至使得本产品遭受损失。</w:t>
      </w:r>
    </w:p>
    <w:p w:rsidR="009C2918" w:rsidRDefault="004B5A89">
      <w:pPr>
        <w:pStyle w:val="Default"/>
        <w:spacing w:line="360" w:lineRule="auto"/>
        <w:ind w:firstLineChars="200" w:firstLine="420"/>
        <w:rPr>
          <w:rFonts w:ascii="新宋体" w:eastAsia="新宋体" w:hAnsi="新宋体" w:cs="Times New Roman"/>
          <w:color w:val="auto"/>
          <w:kern w:val="2"/>
          <w:sz w:val="21"/>
          <w:szCs w:val="21"/>
        </w:rPr>
      </w:pPr>
      <w:r>
        <w:rPr>
          <w:rFonts w:ascii="新宋体" w:eastAsia="新宋体" w:hAnsi="新宋体" w:cs="Times New Roman" w:hint="eastAsia"/>
          <w:color w:val="auto"/>
          <w:kern w:val="2"/>
          <w:sz w:val="21"/>
          <w:szCs w:val="21"/>
        </w:rPr>
        <w:t>2）投资者资金流动性风险：每日为一个投资周期，在本产品存续期内，投资者只能在本产品说明书规定的申购、赎回期限内办理申购、赎回业务，并在产品说明书描述的规则下确认扣款、资金到账。</w:t>
      </w:r>
    </w:p>
    <w:p w:rsidR="009C2918" w:rsidRDefault="004B5A89">
      <w:pPr>
        <w:pStyle w:val="Default"/>
        <w:spacing w:line="360" w:lineRule="auto"/>
        <w:ind w:firstLineChars="200" w:firstLine="420"/>
        <w:rPr>
          <w:rFonts w:ascii="新宋体" w:eastAsia="新宋体" w:hAnsi="新宋体" w:cs="Times New Roman"/>
          <w:color w:val="auto"/>
          <w:kern w:val="2"/>
          <w:sz w:val="21"/>
          <w:szCs w:val="21"/>
        </w:rPr>
      </w:pPr>
      <w:r>
        <w:rPr>
          <w:rFonts w:ascii="新宋体" w:eastAsia="新宋体" w:hAnsi="新宋体" w:cs="Times New Roman" w:hint="eastAsia"/>
          <w:color w:val="auto"/>
          <w:kern w:val="2"/>
          <w:sz w:val="21"/>
          <w:szCs w:val="21"/>
        </w:rPr>
        <w:t>3）巨额赎回情况下的流动性风险：在本理财计划存续期内，若单个开放日净赎回申请份额超过本产品计划上一开放日日终份额的10%时，即为发生巨额赎回。当理财产品发生巨额赎回时，管理人有权依照产品当时的资产组合状况选择全额赎回或部分赎回；如出现连续2个赎回确认日以上（含）发生巨额赎回，除有权选择全额赎回或部分赎回等措施外，对于已经接受的赎回申请，管理人还可延缓支付赎回款项。发生上述情形时，投资者将面临无法全部赎回或无法及时获得赎回资金的风险，由此可能影响投资者的资金安排，带来流动性风险。在本产品暂停接受或延期办理投资者赎回申请的情况下，投资者未能赎回的产品份额还将面临净值波动的风险。若出现巨额赎回或连续巨额赎回，管理人选择运用暂停接受投资者的赎回申请、延期办理巨额赎回申请、延缓支付赎回款项等措施后，在运用相关措施后的3个工作日内按《产品说明书》信息披露相关约定进行信息披露。</w:t>
      </w:r>
    </w:p>
    <w:p w:rsidR="009C2918" w:rsidRDefault="004B5A89">
      <w:pPr>
        <w:pStyle w:val="Default"/>
        <w:spacing w:line="360" w:lineRule="auto"/>
        <w:ind w:firstLineChars="200" w:firstLine="420"/>
        <w:rPr>
          <w:rFonts w:ascii="新宋体" w:eastAsia="新宋体" w:hAnsi="新宋体" w:cs="Times New Roman"/>
          <w:color w:val="auto"/>
          <w:kern w:val="2"/>
          <w:sz w:val="21"/>
          <w:szCs w:val="21"/>
        </w:rPr>
      </w:pPr>
      <w:r>
        <w:rPr>
          <w:rFonts w:ascii="新宋体" w:eastAsia="新宋体" w:hAnsi="新宋体" w:cs="Times New Roman" w:hint="eastAsia"/>
          <w:color w:val="auto"/>
          <w:kern w:val="2"/>
          <w:sz w:val="21"/>
          <w:szCs w:val="21"/>
        </w:rPr>
        <w:t>4）运用流动性风险应对措施下的潜在影响：除巨额赎回情况外，根据国家相关法律法规及《产品说明书》约定，在确保投资者得到公平对待的前提下，产品还可以运用相关流动性风险应对措施应对除巨额赎回情况外的其他流动性风险，包括但不限于暂停接受赎回申请、延缓支付赎回款项、暂停理财产品估值、摆动定价以及国家金融监督管理总局规定的其他措施。摆动定价机制是指产品遭遇大额认购或赎回时，通过调整理财产品份额净值的方式，将理财产品调整投资组合的市场冲击成本分配给实际认购、赎回的投资者，从而减少对存量理财产品份额持有人利益的不利影响。</w:t>
      </w:r>
    </w:p>
    <w:p w:rsidR="009C2918" w:rsidRDefault="004B5A89">
      <w:pPr>
        <w:pStyle w:val="Default"/>
        <w:spacing w:line="360" w:lineRule="auto"/>
        <w:ind w:firstLineChars="200" w:firstLine="420"/>
        <w:rPr>
          <w:rFonts w:ascii="新宋体" w:eastAsia="新宋体" w:hAnsi="新宋体" w:cs="Times New Roman"/>
          <w:color w:val="auto"/>
          <w:kern w:val="2"/>
          <w:sz w:val="21"/>
          <w:szCs w:val="21"/>
        </w:rPr>
      </w:pPr>
      <w:r>
        <w:rPr>
          <w:rFonts w:ascii="新宋体" w:eastAsia="新宋体" w:hAnsi="新宋体" w:cs="Times New Roman" w:hint="eastAsia"/>
          <w:color w:val="auto"/>
          <w:kern w:val="2"/>
          <w:sz w:val="21"/>
          <w:szCs w:val="21"/>
        </w:rPr>
        <w:t>（2）应对措施</w:t>
      </w:r>
    </w:p>
    <w:p w:rsidR="009C2918" w:rsidRDefault="004B5A89">
      <w:pPr>
        <w:pStyle w:val="Default"/>
        <w:spacing w:line="360" w:lineRule="auto"/>
        <w:ind w:firstLineChars="200" w:firstLine="420"/>
        <w:rPr>
          <w:rFonts w:ascii="新宋体" w:eastAsia="新宋体" w:hAnsi="新宋体" w:cs="Times New Roman"/>
          <w:color w:val="auto"/>
          <w:kern w:val="2"/>
          <w:sz w:val="21"/>
          <w:szCs w:val="21"/>
        </w:rPr>
      </w:pPr>
      <w:r>
        <w:rPr>
          <w:rFonts w:ascii="新宋体" w:eastAsia="新宋体" w:hAnsi="新宋体" w:cs="Times New Roman" w:hint="eastAsia"/>
          <w:color w:val="auto"/>
          <w:kern w:val="2"/>
          <w:sz w:val="21"/>
          <w:szCs w:val="21"/>
        </w:rPr>
        <w:t>青银理财流动性风险管理遵循合规性、审慎性、前瞻性、全面性等原则，借鉴监管相关政策办法，使用优质流动性风险相关指标逻辑，通过资负久期管理、杠杆比例管理、流动性指标监测与流动性压力测试等措施，加强流动性管理。</w:t>
      </w:r>
    </w:p>
    <w:p w:rsidR="009C2918" w:rsidRDefault="004B5A89">
      <w:pPr>
        <w:pStyle w:val="Default"/>
        <w:spacing w:line="360" w:lineRule="auto"/>
        <w:ind w:firstLineChars="200" w:firstLine="420"/>
        <w:rPr>
          <w:rFonts w:ascii="新宋体" w:eastAsia="新宋体" w:hAnsi="新宋体" w:cs="Times New Roman"/>
          <w:color w:val="auto"/>
          <w:kern w:val="2"/>
          <w:sz w:val="21"/>
          <w:szCs w:val="21"/>
        </w:rPr>
      </w:pPr>
      <w:r>
        <w:rPr>
          <w:rFonts w:ascii="新宋体" w:eastAsia="新宋体" w:hAnsi="新宋体" w:cs="Times New Roman" w:hint="eastAsia"/>
          <w:color w:val="auto"/>
          <w:kern w:val="2"/>
          <w:sz w:val="21"/>
          <w:szCs w:val="21"/>
        </w:rPr>
        <w:t>在该产品投资运作过程中，青银理财将严格控制流动性受限金融资产的配置比例，并对持仓债券组合的流动性进行监控，还将观察客户申购、赎回行为，对资产的流动性进行研究和监控，使未来现金流尽可能地均匀分布：</w:t>
      </w:r>
    </w:p>
    <w:p w:rsidR="009C2918" w:rsidRDefault="004B5A89">
      <w:pPr>
        <w:pStyle w:val="Default"/>
        <w:spacing w:line="360" w:lineRule="auto"/>
        <w:ind w:firstLineChars="200" w:firstLine="420"/>
        <w:rPr>
          <w:rFonts w:ascii="新宋体" w:eastAsia="新宋体" w:hAnsi="新宋体" w:cs="Times New Roman"/>
          <w:color w:val="auto"/>
          <w:kern w:val="2"/>
          <w:sz w:val="21"/>
          <w:szCs w:val="21"/>
        </w:rPr>
      </w:pPr>
      <w:r>
        <w:rPr>
          <w:rFonts w:ascii="新宋体" w:eastAsia="新宋体" w:hAnsi="新宋体" w:cs="Times New Roman" w:hint="eastAsia"/>
          <w:color w:val="auto"/>
          <w:kern w:val="2"/>
          <w:sz w:val="21"/>
          <w:szCs w:val="21"/>
        </w:rPr>
        <w:t>1）合理安排投资结构，配置不同比例的货币工具、债券资产等，形成阶梯型期限结构的资产摆布，提高理财产品投资资产的整体流动性管理。</w:t>
      </w:r>
    </w:p>
    <w:p w:rsidR="009C2918" w:rsidRDefault="004B5A89">
      <w:pPr>
        <w:pStyle w:val="Default"/>
        <w:spacing w:line="360" w:lineRule="auto"/>
        <w:ind w:firstLineChars="200" w:firstLine="420"/>
        <w:rPr>
          <w:rFonts w:ascii="新宋体" w:eastAsia="新宋体" w:hAnsi="新宋体" w:cs="Times New Roman"/>
          <w:color w:val="auto"/>
          <w:kern w:val="2"/>
          <w:sz w:val="21"/>
          <w:szCs w:val="21"/>
        </w:rPr>
      </w:pPr>
      <w:r>
        <w:rPr>
          <w:rFonts w:ascii="新宋体" w:eastAsia="新宋体" w:hAnsi="新宋体" w:cs="Times New Roman" w:hint="eastAsia"/>
          <w:color w:val="auto"/>
          <w:kern w:val="2"/>
          <w:sz w:val="21"/>
          <w:szCs w:val="21"/>
        </w:rPr>
        <w:t>2）合理匡定理财资金净申购/赎回头寸，保持一定的类现金资产比例，满足短期的流动性需求。</w:t>
      </w:r>
    </w:p>
    <w:p w:rsidR="009C2918" w:rsidRDefault="004B5A89">
      <w:pPr>
        <w:adjustRightInd w:val="0"/>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3）强化理财产品的市场融资功能，通过回购等工具，向产品提供临时性的流动性支持。</w:t>
      </w:r>
    </w:p>
    <w:p w:rsidR="009C2918" w:rsidRDefault="004B5A89">
      <w:pPr>
        <w:adjustRightInd w:val="0"/>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4.操作风险管理</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在本理财计划的管理运作过程中，将通过严密的风险管理体系严格控制管理风险，最大可能地保护投资者利益。通过对资产管理投资业务实行分级授权管理，并明确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w:t>
      </w:r>
    </w:p>
    <w:p w:rsidR="009C2918" w:rsidRDefault="004B5A89">
      <w:pPr>
        <w:widowControl/>
        <w:snapToGrid w:val="0"/>
        <w:spacing w:line="360" w:lineRule="auto"/>
        <w:ind w:firstLineChars="200" w:firstLine="422"/>
        <w:jc w:val="left"/>
        <w:rPr>
          <w:rFonts w:ascii="新宋体" w:eastAsia="新宋体" w:hAnsi="新宋体"/>
          <w:b/>
          <w:color w:val="auto"/>
          <w:sz w:val="21"/>
          <w:szCs w:val="21"/>
        </w:rPr>
      </w:pPr>
      <w:r>
        <w:rPr>
          <w:rFonts w:ascii="新宋体" w:eastAsia="新宋体" w:hAnsi="新宋体" w:hint="eastAsia"/>
          <w:b/>
          <w:color w:val="auto"/>
          <w:sz w:val="21"/>
          <w:szCs w:val="21"/>
        </w:rPr>
        <w:t>九、产品估值</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color w:val="auto"/>
          <w:sz w:val="21"/>
          <w:szCs w:val="21"/>
        </w:rPr>
        <w:t>1.估值目的</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本产品估值的目的是客观、准确的反映理财资产价值，以及理财产品资产净值。</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color w:val="auto"/>
          <w:sz w:val="21"/>
          <w:szCs w:val="21"/>
        </w:rPr>
        <w:t>2.估值日</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本产品工作日期间按日估值，管理人于估值日后两个工作日内进行披露。产品建仓期暂不估值。</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color w:val="auto"/>
          <w:sz w:val="21"/>
          <w:szCs w:val="21"/>
        </w:rPr>
        <w:t>3.估值对象</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本产品持有的各类证券、银行存款、应收款项及其他投资等资产。</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color w:val="auto"/>
          <w:sz w:val="21"/>
          <w:szCs w:val="21"/>
        </w:rPr>
        <w:t>4.估值方法</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本产品以公允价值计量。在满足《企业会计准则》及其他适用的法律法规、监管规定的条件下，可以摊余成本进行计量。</w:t>
      </w:r>
    </w:p>
    <w:p w:rsidR="009C2918" w:rsidRDefault="004B5A89">
      <w:pPr>
        <w:widowControl/>
        <w:snapToGrid w:val="0"/>
        <w:spacing w:line="360" w:lineRule="auto"/>
        <w:ind w:firstLineChars="200" w:firstLine="420"/>
        <w:jc w:val="left"/>
        <w:rPr>
          <w:rFonts w:ascii="新宋体" w:eastAsia="新宋体" w:hAnsi="新宋体"/>
          <w:bCs/>
          <w:sz w:val="21"/>
          <w:szCs w:val="21"/>
        </w:rPr>
      </w:pPr>
      <w:r>
        <w:rPr>
          <w:rFonts w:ascii="新宋体" w:eastAsia="新宋体" w:hAnsi="新宋体" w:hint="eastAsia"/>
          <w:bCs/>
          <w:sz w:val="21"/>
          <w:szCs w:val="21"/>
        </w:rPr>
        <w:t>5.</w:t>
      </w:r>
      <w:r>
        <w:rPr>
          <w:rFonts w:ascii="新宋体" w:eastAsia="新宋体" w:hAnsi="新宋体"/>
          <w:bCs/>
          <w:sz w:val="21"/>
          <w:szCs w:val="21"/>
        </w:rPr>
        <w:t>估值错误的处理</w:t>
      </w:r>
    </w:p>
    <w:p w:rsidR="009C2918" w:rsidRDefault="004B5A89">
      <w:pPr>
        <w:spacing w:line="360" w:lineRule="auto"/>
        <w:ind w:firstLineChars="200" w:firstLine="420"/>
        <w:jc w:val="left"/>
        <w:rPr>
          <w:rFonts w:ascii="新宋体" w:eastAsia="新宋体" w:hAnsi="新宋体"/>
          <w:bCs/>
          <w:sz w:val="21"/>
          <w:szCs w:val="21"/>
        </w:rPr>
      </w:pPr>
      <w:r>
        <w:rPr>
          <w:rFonts w:ascii="新宋体" w:eastAsia="新宋体" w:hAnsi="新宋体" w:hint="eastAsia"/>
          <w:bCs/>
          <w:sz w:val="21"/>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rsidR="009C2918" w:rsidRDefault="004B5A89">
      <w:pPr>
        <w:spacing w:line="360" w:lineRule="auto"/>
        <w:ind w:firstLineChars="200" w:firstLine="420"/>
        <w:jc w:val="left"/>
        <w:rPr>
          <w:rFonts w:ascii="新宋体" w:eastAsia="新宋体" w:hAnsi="新宋体"/>
          <w:bCs/>
          <w:sz w:val="21"/>
          <w:szCs w:val="21"/>
        </w:rPr>
      </w:pPr>
      <w:r>
        <w:rPr>
          <w:rFonts w:ascii="新宋体" w:eastAsia="新宋体" w:hAnsi="新宋体" w:hint="eastAsia"/>
          <w:bCs/>
          <w:sz w:val="21"/>
          <w:szCs w:val="21"/>
        </w:rPr>
        <w:t>6</w:t>
      </w:r>
      <w:r>
        <w:rPr>
          <w:rFonts w:ascii="新宋体" w:eastAsia="新宋体" w:hAnsi="新宋体"/>
          <w:bCs/>
          <w:sz w:val="21"/>
          <w:szCs w:val="21"/>
        </w:rPr>
        <w:t>.</w:t>
      </w:r>
      <w:r>
        <w:rPr>
          <w:rFonts w:ascii="新宋体" w:eastAsia="新宋体" w:hAnsi="新宋体" w:hint="eastAsia"/>
          <w:bCs/>
          <w:sz w:val="21"/>
          <w:szCs w:val="21"/>
        </w:rPr>
        <w:t>暂停估值</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如遇法定节假日调整或其他原因暂停营业时，或因任何不可抗力导致无法准确估值时，管理人可暂停估值，并于</w:t>
      </w:r>
      <w:r>
        <w:rPr>
          <w:rFonts w:ascii="新宋体" w:eastAsia="新宋体" w:hAnsi="新宋体"/>
          <w:color w:val="auto"/>
          <w:sz w:val="21"/>
          <w:szCs w:val="21"/>
        </w:rPr>
        <w:t>2个工作日内披露相关信息及处理措施。</w:t>
      </w:r>
    </w:p>
    <w:p w:rsidR="009C2918" w:rsidRDefault="004B5A89">
      <w:pPr>
        <w:snapToGrid w:val="0"/>
        <w:spacing w:line="360" w:lineRule="auto"/>
        <w:ind w:firstLineChars="200" w:firstLine="422"/>
        <w:jc w:val="left"/>
        <w:rPr>
          <w:rFonts w:ascii="新宋体" w:eastAsia="新宋体" w:hAnsi="新宋体"/>
          <w:b/>
          <w:color w:val="auto"/>
          <w:sz w:val="21"/>
          <w:szCs w:val="21"/>
        </w:rPr>
      </w:pPr>
      <w:r>
        <w:rPr>
          <w:rFonts w:ascii="新宋体" w:eastAsia="新宋体" w:hAnsi="新宋体" w:hint="eastAsia"/>
          <w:b/>
          <w:color w:val="auto"/>
          <w:sz w:val="21"/>
          <w:szCs w:val="21"/>
        </w:rPr>
        <w:t>十、理财购买</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投资者可通过青银理财直销A</w:t>
      </w:r>
      <w:r>
        <w:rPr>
          <w:rFonts w:ascii="新宋体" w:eastAsia="新宋体" w:hAnsi="新宋体"/>
          <w:color w:val="auto"/>
          <w:sz w:val="21"/>
          <w:szCs w:val="21"/>
        </w:rPr>
        <w:t>PP</w:t>
      </w:r>
      <w:r>
        <w:rPr>
          <w:rFonts w:ascii="新宋体" w:eastAsia="新宋体" w:hAnsi="新宋体" w:hint="eastAsia"/>
          <w:color w:val="auto"/>
          <w:sz w:val="21"/>
          <w:szCs w:val="21"/>
        </w:rPr>
        <w:t>等销售渠道自助办理。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0"/>
        <w:gridCol w:w="2086"/>
        <w:gridCol w:w="2031"/>
      </w:tblGrid>
      <w:tr w:rsidR="009C2918">
        <w:trPr>
          <w:jc w:val="center"/>
        </w:trPr>
        <w:tc>
          <w:tcPr>
            <w:tcW w:w="3750" w:type="dxa"/>
            <w:vAlign w:val="center"/>
          </w:tcPr>
          <w:p w:rsidR="009C2918" w:rsidRDefault="004B5A89">
            <w:pPr>
              <w:widowControl/>
              <w:snapToGrid w:val="0"/>
              <w:spacing w:line="360" w:lineRule="auto"/>
              <w:jc w:val="center"/>
              <w:rPr>
                <w:rFonts w:ascii="新宋体" w:eastAsia="新宋体" w:hAnsi="新宋体"/>
                <w:b/>
                <w:color w:val="auto"/>
                <w:sz w:val="21"/>
                <w:szCs w:val="21"/>
              </w:rPr>
            </w:pPr>
            <w:r>
              <w:rPr>
                <w:rFonts w:ascii="新宋体" w:eastAsia="新宋体" w:hAnsi="新宋体" w:hint="eastAsia"/>
                <w:b/>
                <w:color w:val="auto"/>
                <w:sz w:val="21"/>
                <w:szCs w:val="21"/>
              </w:rPr>
              <w:t>购买申请时间</w:t>
            </w:r>
          </w:p>
        </w:tc>
        <w:tc>
          <w:tcPr>
            <w:tcW w:w="2086" w:type="dxa"/>
            <w:vAlign w:val="center"/>
          </w:tcPr>
          <w:p w:rsidR="009C2918" w:rsidRDefault="004B5A89">
            <w:pPr>
              <w:widowControl/>
              <w:snapToGrid w:val="0"/>
              <w:spacing w:line="360" w:lineRule="auto"/>
              <w:jc w:val="center"/>
              <w:rPr>
                <w:rFonts w:ascii="新宋体" w:eastAsia="新宋体" w:hAnsi="新宋体"/>
                <w:b/>
                <w:color w:val="auto"/>
                <w:sz w:val="21"/>
                <w:szCs w:val="21"/>
              </w:rPr>
            </w:pPr>
            <w:r>
              <w:rPr>
                <w:rFonts w:ascii="新宋体" w:eastAsia="新宋体" w:hAnsi="新宋体" w:hint="eastAsia"/>
                <w:b/>
                <w:color w:val="auto"/>
                <w:sz w:val="21"/>
                <w:szCs w:val="21"/>
              </w:rPr>
              <w:t>扣款确认时间</w:t>
            </w:r>
          </w:p>
        </w:tc>
        <w:tc>
          <w:tcPr>
            <w:tcW w:w="2031" w:type="dxa"/>
          </w:tcPr>
          <w:p w:rsidR="009C2918" w:rsidRDefault="004B5A89">
            <w:pPr>
              <w:widowControl/>
              <w:snapToGrid w:val="0"/>
              <w:spacing w:line="360" w:lineRule="auto"/>
              <w:jc w:val="center"/>
              <w:rPr>
                <w:rFonts w:ascii="新宋体" w:eastAsia="新宋体" w:hAnsi="新宋体"/>
                <w:b/>
                <w:color w:val="auto"/>
                <w:sz w:val="21"/>
                <w:szCs w:val="21"/>
              </w:rPr>
            </w:pPr>
            <w:r>
              <w:rPr>
                <w:rFonts w:ascii="新宋体" w:eastAsia="新宋体" w:hAnsi="新宋体" w:hint="eastAsia"/>
                <w:b/>
                <w:color w:val="auto"/>
                <w:sz w:val="21"/>
                <w:szCs w:val="21"/>
              </w:rPr>
              <w:t>开始计算收益时间</w:t>
            </w:r>
          </w:p>
        </w:tc>
      </w:tr>
      <w:tr w:rsidR="009C2918">
        <w:trPr>
          <w:jc w:val="center"/>
        </w:trPr>
        <w:tc>
          <w:tcPr>
            <w:tcW w:w="3750" w:type="dxa"/>
            <w:vAlign w:val="center"/>
          </w:tcPr>
          <w:p w:rsidR="009C2918" w:rsidRDefault="004B5A89">
            <w:pPr>
              <w:widowControl/>
              <w:snapToGrid w:val="0"/>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工作日T日17:00（含）之前</w:t>
            </w:r>
          </w:p>
        </w:tc>
        <w:tc>
          <w:tcPr>
            <w:tcW w:w="2086" w:type="dxa"/>
            <w:vAlign w:val="center"/>
          </w:tcPr>
          <w:p w:rsidR="009C2918" w:rsidRDefault="004B5A89">
            <w:pPr>
              <w:widowControl/>
              <w:snapToGrid w:val="0"/>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T日</w:t>
            </w:r>
          </w:p>
        </w:tc>
        <w:tc>
          <w:tcPr>
            <w:tcW w:w="2031" w:type="dxa"/>
          </w:tcPr>
          <w:p w:rsidR="009C2918" w:rsidRDefault="004B5A89">
            <w:pPr>
              <w:widowControl/>
              <w:snapToGrid w:val="0"/>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T+1日</w:t>
            </w:r>
          </w:p>
        </w:tc>
      </w:tr>
      <w:tr w:rsidR="009C2918">
        <w:trPr>
          <w:jc w:val="center"/>
        </w:trPr>
        <w:tc>
          <w:tcPr>
            <w:tcW w:w="3750" w:type="dxa"/>
            <w:vAlign w:val="center"/>
          </w:tcPr>
          <w:p w:rsidR="009C2918" w:rsidRDefault="004B5A89">
            <w:pPr>
              <w:widowControl/>
              <w:snapToGrid w:val="0"/>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工作日T日17:00（不含）之后</w:t>
            </w:r>
          </w:p>
        </w:tc>
        <w:tc>
          <w:tcPr>
            <w:tcW w:w="2086" w:type="dxa"/>
            <w:vAlign w:val="center"/>
          </w:tcPr>
          <w:p w:rsidR="009C2918" w:rsidRDefault="004B5A89">
            <w:pPr>
              <w:widowControl/>
              <w:snapToGrid w:val="0"/>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T日</w:t>
            </w:r>
          </w:p>
        </w:tc>
        <w:tc>
          <w:tcPr>
            <w:tcW w:w="2031" w:type="dxa"/>
          </w:tcPr>
          <w:p w:rsidR="009C2918" w:rsidRDefault="004B5A89">
            <w:pPr>
              <w:widowControl/>
              <w:snapToGrid w:val="0"/>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T+2日</w:t>
            </w:r>
          </w:p>
        </w:tc>
      </w:tr>
    </w:tbl>
    <w:p w:rsidR="009C2918" w:rsidRDefault="004B5A89">
      <w:pPr>
        <w:widowControl/>
        <w:snapToGrid w:val="0"/>
        <w:spacing w:line="360" w:lineRule="auto"/>
        <w:ind w:firstLineChars="98" w:firstLine="207"/>
        <w:jc w:val="left"/>
        <w:rPr>
          <w:rFonts w:ascii="新宋体" w:eastAsia="新宋体" w:hAnsi="新宋体"/>
          <w:b/>
          <w:color w:val="auto"/>
          <w:sz w:val="21"/>
          <w:szCs w:val="21"/>
        </w:rPr>
      </w:pPr>
      <w:r>
        <w:rPr>
          <w:rFonts w:ascii="新宋体" w:eastAsia="新宋体" w:hAnsi="新宋体" w:hint="eastAsia"/>
          <w:b/>
          <w:color w:val="auto"/>
          <w:sz w:val="21"/>
          <w:szCs w:val="21"/>
        </w:rPr>
        <w:t>提示：以上T日、T+1日、T+2日均指工作日。如系统批量提前完成，开始时间可能早于9:00，实际扣款时间以各销售机构为准。</w:t>
      </w:r>
    </w:p>
    <w:p w:rsidR="009C2918" w:rsidRDefault="004B5A89">
      <w:pPr>
        <w:widowControl/>
        <w:snapToGrid w:val="0"/>
        <w:spacing w:line="360" w:lineRule="auto"/>
        <w:ind w:firstLineChars="200" w:firstLine="422"/>
        <w:jc w:val="left"/>
        <w:rPr>
          <w:rFonts w:ascii="新宋体" w:eastAsia="新宋体" w:hAnsi="新宋体"/>
          <w:color w:val="auto"/>
          <w:sz w:val="21"/>
          <w:szCs w:val="21"/>
        </w:rPr>
      </w:pPr>
      <w:r>
        <w:rPr>
          <w:rFonts w:ascii="新宋体" w:eastAsia="新宋体" w:hAnsi="新宋体" w:hint="eastAsia"/>
          <w:b/>
          <w:color w:val="auto"/>
          <w:sz w:val="21"/>
          <w:szCs w:val="21"/>
        </w:rPr>
        <w:t>举例：</w:t>
      </w:r>
      <w:r>
        <w:rPr>
          <w:rFonts w:ascii="新宋体" w:eastAsia="新宋体" w:hAnsi="新宋体" w:hint="eastAsia"/>
          <w:color w:val="auto"/>
          <w:sz w:val="21"/>
          <w:szCs w:val="21"/>
        </w:rPr>
        <w:t>假设开放期内，客户于202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18</w:t>
      </w:r>
      <w:r>
        <w:rPr>
          <w:rFonts w:ascii="新宋体" w:eastAsia="新宋体" w:hAnsi="新宋体" w:hint="eastAsia"/>
          <w:color w:val="auto"/>
          <w:sz w:val="21"/>
          <w:szCs w:val="21"/>
        </w:rPr>
        <w:t>日（周一）1</w:t>
      </w:r>
      <w:r>
        <w:rPr>
          <w:rFonts w:ascii="新宋体" w:eastAsia="新宋体" w:hAnsi="新宋体"/>
          <w:color w:val="auto"/>
          <w:sz w:val="21"/>
          <w:szCs w:val="21"/>
        </w:rPr>
        <w:t>4</w:t>
      </w:r>
      <w:r>
        <w:rPr>
          <w:rFonts w:ascii="新宋体" w:eastAsia="新宋体" w:hAnsi="新宋体" w:hint="eastAsia"/>
          <w:color w:val="auto"/>
          <w:sz w:val="21"/>
          <w:szCs w:val="21"/>
        </w:rPr>
        <w:t>:00购买本理财计划1</w:t>
      </w:r>
      <w:r>
        <w:rPr>
          <w:rFonts w:ascii="新宋体" w:eastAsia="新宋体" w:hAnsi="新宋体"/>
          <w:color w:val="auto"/>
          <w:sz w:val="21"/>
          <w:szCs w:val="21"/>
        </w:rPr>
        <w:t>0</w:t>
      </w:r>
      <w:r>
        <w:rPr>
          <w:rFonts w:ascii="新宋体" w:eastAsia="新宋体" w:hAnsi="新宋体" w:hint="eastAsia"/>
          <w:color w:val="auto"/>
          <w:sz w:val="21"/>
          <w:szCs w:val="21"/>
        </w:rPr>
        <w:t>万元，则系统将于202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19</w:t>
      </w:r>
      <w:r>
        <w:rPr>
          <w:rFonts w:ascii="新宋体" w:eastAsia="新宋体" w:hAnsi="新宋体" w:hint="eastAsia"/>
          <w:color w:val="auto"/>
          <w:sz w:val="21"/>
          <w:szCs w:val="21"/>
        </w:rPr>
        <w:t>日（周二）对该笔交易进行起息确认，</w:t>
      </w:r>
      <w:r>
        <w:rPr>
          <w:rFonts w:ascii="新宋体" w:eastAsia="新宋体" w:hAnsi="新宋体"/>
          <w:color w:val="auto"/>
          <w:sz w:val="21"/>
          <w:szCs w:val="21"/>
        </w:rPr>
        <w:t>且3月19日发布的产品单位净值</w:t>
      </w:r>
      <w:r>
        <w:rPr>
          <w:rFonts w:ascii="新宋体" w:eastAsia="新宋体" w:hAnsi="新宋体" w:hint="eastAsia"/>
          <w:color w:val="auto"/>
          <w:sz w:val="21"/>
          <w:szCs w:val="21"/>
        </w:rPr>
        <w:t>（实际为</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18</w:t>
      </w:r>
      <w:r>
        <w:rPr>
          <w:rFonts w:ascii="新宋体" w:eastAsia="新宋体" w:hAnsi="新宋体" w:hint="eastAsia"/>
          <w:color w:val="auto"/>
          <w:sz w:val="21"/>
          <w:szCs w:val="21"/>
        </w:rPr>
        <w:t>日单位净值）</w:t>
      </w:r>
      <w:r>
        <w:rPr>
          <w:rFonts w:ascii="新宋体" w:eastAsia="新宋体" w:hAnsi="新宋体"/>
          <w:color w:val="auto"/>
          <w:sz w:val="21"/>
          <w:szCs w:val="21"/>
        </w:rPr>
        <w:t>为1.012345元</w:t>
      </w:r>
      <w:r>
        <w:rPr>
          <w:rFonts w:ascii="新宋体" w:eastAsia="新宋体" w:hAnsi="新宋体" w:hint="eastAsia"/>
          <w:color w:val="auto"/>
          <w:sz w:val="21"/>
          <w:szCs w:val="21"/>
        </w:rPr>
        <w:t>，购买确认份额（份）=10</w:t>
      </w:r>
      <w:r>
        <w:rPr>
          <w:rFonts w:ascii="新宋体" w:eastAsia="新宋体" w:hAnsi="新宋体"/>
          <w:color w:val="auto"/>
          <w:sz w:val="21"/>
          <w:szCs w:val="21"/>
        </w:rPr>
        <w:t>0</w:t>
      </w:r>
      <w:r>
        <w:rPr>
          <w:rFonts w:ascii="新宋体" w:eastAsia="新宋体" w:hAnsi="新宋体" w:hint="eastAsia"/>
          <w:color w:val="auto"/>
          <w:sz w:val="21"/>
          <w:szCs w:val="21"/>
        </w:rPr>
        <w:t>000÷1</w:t>
      </w:r>
      <w:r>
        <w:rPr>
          <w:rFonts w:ascii="新宋体" w:eastAsia="新宋体" w:hAnsi="新宋体"/>
          <w:color w:val="auto"/>
          <w:sz w:val="21"/>
          <w:szCs w:val="21"/>
        </w:rPr>
        <w:t>.012345</w:t>
      </w:r>
      <w:r>
        <w:rPr>
          <w:rFonts w:ascii="新宋体" w:eastAsia="新宋体" w:hAnsi="新宋体" w:hint="eastAsia"/>
          <w:color w:val="auto"/>
          <w:sz w:val="21"/>
          <w:szCs w:val="21"/>
        </w:rPr>
        <w:t>=</w:t>
      </w:r>
      <w:r>
        <w:rPr>
          <w:rFonts w:ascii="新宋体" w:eastAsia="新宋体" w:hAnsi="新宋体"/>
          <w:color w:val="auto"/>
          <w:sz w:val="21"/>
          <w:szCs w:val="21"/>
        </w:rPr>
        <w:t>98780.55</w:t>
      </w:r>
      <w:r>
        <w:rPr>
          <w:rFonts w:ascii="新宋体" w:eastAsia="新宋体" w:hAnsi="新宋体" w:hint="eastAsia"/>
          <w:color w:val="auto"/>
          <w:sz w:val="21"/>
          <w:szCs w:val="21"/>
        </w:rPr>
        <w:t>份。</w:t>
      </w:r>
    </w:p>
    <w:p w:rsidR="009C2918" w:rsidRDefault="004B5A89">
      <w:pPr>
        <w:widowControl/>
        <w:snapToGrid w:val="0"/>
        <w:spacing w:line="360" w:lineRule="auto"/>
        <w:ind w:firstLineChars="200" w:firstLine="420"/>
        <w:jc w:val="left"/>
        <w:rPr>
          <w:rFonts w:ascii="新宋体" w:eastAsia="新宋体" w:hAnsi="新宋体"/>
          <w:b/>
          <w:color w:val="auto"/>
          <w:sz w:val="21"/>
          <w:szCs w:val="21"/>
        </w:rPr>
      </w:pPr>
      <w:r>
        <w:rPr>
          <w:rFonts w:ascii="新宋体" w:eastAsia="新宋体" w:hAnsi="新宋体" w:hint="eastAsia"/>
          <w:color w:val="auto"/>
          <w:sz w:val="21"/>
          <w:szCs w:val="21"/>
        </w:rPr>
        <w:t>假设开放期内，客户于202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18</w:t>
      </w:r>
      <w:r>
        <w:rPr>
          <w:rFonts w:ascii="新宋体" w:eastAsia="新宋体" w:hAnsi="新宋体" w:hint="eastAsia"/>
          <w:color w:val="auto"/>
          <w:sz w:val="21"/>
          <w:szCs w:val="21"/>
        </w:rPr>
        <w:t>日（周一）18:00购买本理财计划1</w:t>
      </w:r>
      <w:r>
        <w:rPr>
          <w:rFonts w:ascii="新宋体" w:eastAsia="新宋体" w:hAnsi="新宋体"/>
          <w:color w:val="auto"/>
          <w:sz w:val="21"/>
          <w:szCs w:val="21"/>
        </w:rPr>
        <w:t>0</w:t>
      </w:r>
      <w:r>
        <w:rPr>
          <w:rFonts w:ascii="新宋体" w:eastAsia="新宋体" w:hAnsi="新宋体" w:hint="eastAsia"/>
          <w:color w:val="auto"/>
          <w:sz w:val="21"/>
          <w:szCs w:val="21"/>
        </w:rPr>
        <w:t>万元，则系统将于202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20</w:t>
      </w:r>
      <w:r>
        <w:rPr>
          <w:rFonts w:ascii="新宋体" w:eastAsia="新宋体" w:hAnsi="新宋体" w:hint="eastAsia"/>
          <w:color w:val="auto"/>
          <w:sz w:val="21"/>
          <w:szCs w:val="21"/>
        </w:rPr>
        <w:t>日（周三）对该笔交易进行起息确认，</w:t>
      </w:r>
      <w:r>
        <w:rPr>
          <w:rFonts w:ascii="新宋体" w:eastAsia="新宋体" w:hAnsi="新宋体"/>
          <w:color w:val="auto"/>
          <w:sz w:val="21"/>
          <w:szCs w:val="21"/>
        </w:rPr>
        <w:t>且3月20日发布的产品单位净值</w:t>
      </w:r>
      <w:r>
        <w:rPr>
          <w:rFonts w:ascii="新宋体" w:eastAsia="新宋体" w:hAnsi="新宋体" w:hint="eastAsia"/>
          <w:color w:val="auto"/>
          <w:sz w:val="21"/>
          <w:szCs w:val="21"/>
        </w:rPr>
        <w:t>（实际为</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19</w:t>
      </w:r>
      <w:r>
        <w:rPr>
          <w:rFonts w:ascii="新宋体" w:eastAsia="新宋体" w:hAnsi="新宋体" w:hint="eastAsia"/>
          <w:color w:val="auto"/>
          <w:sz w:val="21"/>
          <w:szCs w:val="21"/>
        </w:rPr>
        <w:t>日单位净值）</w:t>
      </w:r>
      <w:r>
        <w:rPr>
          <w:rFonts w:ascii="新宋体" w:eastAsia="新宋体" w:hAnsi="新宋体"/>
          <w:color w:val="auto"/>
          <w:sz w:val="21"/>
          <w:szCs w:val="21"/>
        </w:rPr>
        <w:t>为1.012346元</w:t>
      </w:r>
      <w:r>
        <w:rPr>
          <w:rFonts w:ascii="新宋体" w:eastAsia="新宋体" w:hAnsi="新宋体" w:hint="eastAsia"/>
          <w:color w:val="auto"/>
          <w:sz w:val="21"/>
          <w:szCs w:val="21"/>
        </w:rPr>
        <w:t>，购买确认份额（份）=10</w:t>
      </w:r>
      <w:r>
        <w:rPr>
          <w:rFonts w:ascii="新宋体" w:eastAsia="新宋体" w:hAnsi="新宋体"/>
          <w:color w:val="auto"/>
          <w:sz w:val="21"/>
          <w:szCs w:val="21"/>
        </w:rPr>
        <w:t>0</w:t>
      </w:r>
      <w:r>
        <w:rPr>
          <w:rFonts w:ascii="新宋体" w:eastAsia="新宋体" w:hAnsi="新宋体" w:hint="eastAsia"/>
          <w:color w:val="auto"/>
          <w:sz w:val="21"/>
          <w:szCs w:val="21"/>
        </w:rPr>
        <w:t>000÷1</w:t>
      </w:r>
      <w:r>
        <w:rPr>
          <w:rFonts w:ascii="新宋体" w:eastAsia="新宋体" w:hAnsi="新宋体"/>
          <w:color w:val="auto"/>
          <w:sz w:val="21"/>
          <w:szCs w:val="21"/>
        </w:rPr>
        <w:t>.012346</w:t>
      </w:r>
      <w:r>
        <w:rPr>
          <w:rFonts w:ascii="新宋体" w:eastAsia="新宋体" w:hAnsi="新宋体" w:hint="eastAsia"/>
          <w:color w:val="auto"/>
          <w:sz w:val="21"/>
          <w:szCs w:val="21"/>
        </w:rPr>
        <w:t>=</w:t>
      </w:r>
      <w:r>
        <w:rPr>
          <w:rFonts w:ascii="新宋体" w:eastAsia="新宋体" w:hAnsi="新宋体"/>
          <w:color w:val="auto"/>
          <w:sz w:val="21"/>
          <w:szCs w:val="21"/>
        </w:rPr>
        <w:t>98780.46</w:t>
      </w:r>
      <w:r>
        <w:rPr>
          <w:rFonts w:ascii="新宋体" w:eastAsia="新宋体" w:hAnsi="新宋体" w:hint="eastAsia"/>
          <w:bCs/>
          <w:color w:val="auto"/>
          <w:sz w:val="21"/>
          <w:szCs w:val="21"/>
        </w:rPr>
        <w:t>份</w:t>
      </w:r>
      <w:r>
        <w:rPr>
          <w:rFonts w:ascii="新宋体" w:eastAsia="新宋体" w:hAnsi="新宋体" w:hint="eastAsia"/>
          <w:b/>
          <w:color w:val="auto"/>
          <w:sz w:val="21"/>
          <w:szCs w:val="21"/>
        </w:rPr>
        <w:t>。</w:t>
      </w:r>
    </w:p>
    <w:p w:rsidR="009C2918" w:rsidRDefault="004B5A89">
      <w:pPr>
        <w:widowControl/>
        <w:snapToGrid w:val="0"/>
        <w:spacing w:line="360" w:lineRule="auto"/>
        <w:ind w:firstLineChars="200" w:firstLine="422"/>
        <w:jc w:val="left"/>
        <w:rPr>
          <w:rFonts w:ascii="新宋体" w:eastAsia="新宋体" w:hAnsi="新宋体"/>
          <w:b/>
          <w:color w:val="auto"/>
          <w:sz w:val="21"/>
          <w:szCs w:val="21"/>
        </w:rPr>
      </w:pPr>
      <w:r>
        <w:rPr>
          <w:rFonts w:ascii="新宋体" w:eastAsia="新宋体" w:hAnsi="新宋体" w:hint="eastAsia"/>
          <w:b/>
          <w:color w:val="auto"/>
          <w:sz w:val="21"/>
          <w:szCs w:val="21"/>
        </w:rPr>
        <w:t>（上述示例采用假设数据计算，并不代表投资者实际可获得的份额和金额，投资须谨慎，下同）</w:t>
      </w:r>
    </w:p>
    <w:p w:rsidR="009C2918" w:rsidRDefault="004B5A89">
      <w:pPr>
        <w:snapToGrid w:val="0"/>
        <w:spacing w:line="360" w:lineRule="auto"/>
        <w:ind w:firstLineChars="200" w:firstLine="422"/>
        <w:jc w:val="left"/>
        <w:rPr>
          <w:rFonts w:ascii="新宋体" w:eastAsia="新宋体" w:hAnsi="新宋体"/>
          <w:b/>
          <w:color w:val="auto"/>
          <w:sz w:val="21"/>
          <w:szCs w:val="21"/>
        </w:rPr>
      </w:pPr>
      <w:r>
        <w:rPr>
          <w:rFonts w:ascii="新宋体" w:eastAsia="新宋体" w:hAnsi="新宋体" w:hint="eastAsia"/>
          <w:b/>
          <w:color w:val="auto"/>
          <w:sz w:val="21"/>
          <w:szCs w:val="21"/>
        </w:rPr>
        <w:t>十一、理财赎回</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开放期内，投资者可通过青银理财直销A</w:t>
      </w:r>
      <w:r>
        <w:rPr>
          <w:rFonts w:ascii="新宋体" w:eastAsia="新宋体" w:hAnsi="新宋体"/>
          <w:color w:val="auto"/>
          <w:sz w:val="21"/>
          <w:szCs w:val="21"/>
        </w:rPr>
        <w:t>PP</w:t>
      </w:r>
      <w:r>
        <w:rPr>
          <w:rFonts w:ascii="新宋体" w:eastAsia="新宋体" w:hAnsi="新宋体" w:hint="eastAsia"/>
          <w:color w:val="auto"/>
          <w:sz w:val="21"/>
          <w:szCs w:val="21"/>
        </w:rPr>
        <w:t>等销售渠道自助办理。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031"/>
      </w:tblGrid>
      <w:tr w:rsidR="009C2918">
        <w:trPr>
          <w:jc w:val="center"/>
        </w:trPr>
        <w:tc>
          <w:tcPr>
            <w:tcW w:w="3969" w:type="dxa"/>
            <w:vAlign w:val="center"/>
          </w:tcPr>
          <w:p w:rsidR="009C2918" w:rsidRDefault="004B5A89">
            <w:pPr>
              <w:widowControl/>
              <w:snapToGrid w:val="0"/>
              <w:spacing w:line="360" w:lineRule="auto"/>
              <w:jc w:val="center"/>
              <w:rPr>
                <w:rFonts w:ascii="新宋体" w:eastAsia="新宋体" w:hAnsi="新宋体"/>
                <w:b/>
                <w:color w:val="auto"/>
                <w:sz w:val="21"/>
                <w:szCs w:val="21"/>
              </w:rPr>
            </w:pPr>
            <w:r>
              <w:rPr>
                <w:rFonts w:ascii="新宋体" w:eastAsia="新宋体" w:hAnsi="新宋体" w:hint="eastAsia"/>
                <w:b/>
                <w:color w:val="auto"/>
                <w:sz w:val="21"/>
                <w:szCs w:val="21"/>
              </w:rPr>
              <w:t>赎回申请时间</w:t>
            </w:r>
          </w:p>
        </w:tc>
        <w:tc>
          <w:tcPr>
            <w:tcW w:w="2031" w:type="dxa"/>
          </w:tcPr>
          <w:p w:rsidR="009C2918" w:rsidRDefault="004B5A89">
            <w:pPr>
              <w:widowControl/>
              <w:snapToGrid w:val="0"/>
              <w:spacing w:line="360" w:lineRule="auto"/>
              <w:jc w:val="center"/>
              <w:rPr>
                <w:rFonts w:ascii="新宋体" w:eastAsia="新宋体" w:hAnsi="新宋体"/>
                <w:b/>
                <w:color w:val="auto"/>
                <w:sz w:val="21"/>
                <w:szCs w:val="21"/>
              </w:rPr>
            </w:pPr>
            <w:r>
              <w:rPr>
                <w:rFonts w:ascii="新宋体" w:eastAsia="新宋体" w:hAnsi="新宋体" w:hint="eastAsia"/>
                <w:b/>
                <w:color w:val="auto"/>
                <w:sz w:val="21"/>
                <w:szCs w:val="21"/>
              </w:rPr>
              <w:t>确认时间</w:t>
            </w:r>
          </w:p>
        </w:tc>
      </w:tr>
      <w:tr w:rsidR="009C2918">
        <w:trPr>
          <w:jc w:val="center"/>
        </w:trPr>
        <w:tc>
          <w:tcPr>
            <w:tcW w:w="3969" w:type="dxa"/>
            <w:vAlign w:val="center"/>
          </w:tcPr>
          <w:p w:rsidR="009C2918" w:rsidRDefault="004B5A89">
            <w:pPr>
              <w:widowControl/>
              <w:snapToGrid w:val="0"/>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工作日T日17:00（含）之前</w:t>
            </w:r>
          </w:p>
        </w:tc>
        <w:tc>
          <w:tcPr>
            <w:tcW w:w="2031" w:type="dxa"/>
          </w:tcPr>
          <w:p w:rsidR="009C2918" w:rsidRDefault="004B5A89">
            <w:pPr>
              <w:widowControl/>
              <w:snapToGrid w:val="0"/>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T</w:t>
            </w:r>
            <w:r>
              <w:rPr>
                <w:rFonts w:ascii="新宋体" w:eastAsia="新宋体" w:hAnsi="新宋体"/>
                <w:color w:val="auto"/>
                <w:sz w:val="21"/>
                <w:szCs w:val="21"/>
              </w:rPr>
              <w:t>+1</w:t>
            </w:r>
            <w:r>
              <w:rPr>
                <w:rFonts w:ascii="新宋体" w:eastAsia="新宋体" w:hAnsi="新宋体" w:hint="eastAsia"/>
                <w:color w:val="auto"/>
                <w:sz w:val="21"/>
                <w:szCs w:val="21"/>
              </w:rPr>
              <w:t>日</w:t>
            </w:r>
          </w:p>
        </w:tc>
      </w:tr>
      <w:tr w:rsidR="009C2918">
        <w:trPr>
          <w:jc w:val="center"/>
        </w:trPr>
        <w:tc>
          <w:tcPr>
            <w:tcW w:w="3969" w:type="dxa"/>
            <w:vAlign w:val="center"/>
          </w:tcPr>
          <w:p w:rsidR="009C2918" w:rsidRDefault="004B5A89">
            <w:pPr>
              <w:widowControl/>
              <w:snapToGrid w:val="0"/>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工作日T日17:00（不含）之后</w:t>
            </w:r>
          </w:p>
        </w:tc>
        <w:tc>
          <w:tcPr>
            <w:tcW w:w="2031" w:type="dxa"/>
          </w:tcPr>
          <w:p w:rsidR="009C2918" w:rsidRDefault="004B5A89">
            <w:pPr>
              <w:widowControl/>
              <w:snapToGrid w:val="0"/>
              <w:spacing w:line="360" w:lineRule="auto"/>
              <w:jc w:val="center"/>
              <w:rPr>
                <w:rFonts w:ascii="新宋体" w:eastAsia="新宋体" w:hAnsi="新宋体"/>
                <w:color w:val="auto"/>
                <w:sz w:val="21"/>
                <w:szCs w:val="21"/>
              </w:rPr>
            </w:pPr>
            <w:r>
              <w:rPr>
                <w:rFonts w:ascii="新宋体" w:eastAsia="新宋体" w:hAnsi="新宋体" w:hint="eastAsia"/>
                <w:color w:val="auto"/>
                <w:sz w:val="21"/>
                <w:szCs w:val="21"/>
              </w:rPr>
              <w:t>T+</w:t>
            </w:r>
            <w:r>
              <w:rPr>
                <w:rFonts w:ascii="新宋体" w:eastAsia="新宋体" w:hAnsi="新宋体"/>
                <w:color w:val="auto"/>
                <w:sz w:val="21"/>
                <w:szCs w:val="21"/>
              </w:rPr>
              <w:t>2</w:t>
            </w:r>
            <w:r>
              <w:rPr>
                <w:rFonts w:ascii="新宋体" w:eastAsia="新宋体" w:hAnsi="新宋体" w:hint="eastAsia"/>
                <w:color w:val="auto"/>
                <w:sz w:val="21"/>
                <w:szCs w:val="21"/>
              </w:rPr>
              <w:t>日</w:t>
            </w:r>
          </w:p>
        </w:tc>
      </w:tr>
    </w:tbl>
    <w:p w:rsidR="009C2918" w:rsidRDefault="009C2918">
      <w:pPr>
        <w:widowControl/>
        <w:snapToGrid w:val="0"/>
        <w:spacing w:line="360" w:lineRule="auto"/>
        <w:ind w:firstLineChars="200" w:firstLine="422"/>
        <w:jc w:val="left"/>
        <w:rPr>
          <w:rFonts w:ascii="新宋体" w:eastAsia="新宋体" w:hAnsi="新宋体"/>
          <w:b/>
          <w:color w:val="auto"/>
          <w:sz w:val="21"/>
          <w:szCs w:val="21"/>
        </w:rPr>
      </w:pPr>
    </w:p>
    <w:p w:rsidR="009C2918" w:rsidRDefault="004B5A89">
      <w:pPr>
        <w:widowControl/>
        <w:snapToGrid w:val="0"/>
        <w:spacing w:line="360" w:lineRule="auto"/>
        <w:ind w:firstLineChars="200" w:firstLine="422"/>
        <w:jc w:val="left"/>
        <w:rPr>
          <w:rFonts w:ascii="新宋体" w:eastAsia="新宋体" w:hAnsi="新宋体"/>
          <w:color w:val="auto"/>
          <w:sz w:val="21"/>
          <w:szCs w:val="21"/>
        </w:rPr>
      </w:pPr>
      <w:r>
        <w:rPr>
          <w:rFonts w:ascii="新宋体" w:eastAsia="新宋体" w:hAnsi="新宋体" w:hint="eastAsia"/>
          <w:b/>
          <w:color w:val="auto"/>
          <w:sz w:val="21"/>
          <w:szCs w:val="21"/>
        </w:rPr>
        <w:t>举例：</w:t>
      </w:r>
      <w:r>
        <w:rPr>
          <w:rFonts w:ascii="新宋体" w:eastAsia="新宋体" w:hAnsi="新宋体" w:hint="eastAsia"/>
          <w:color w:val="auto"/>
          <w:sz w:val="21"/>
          <w:szCs w:val="21"/>
        </w:rPr>
        <w:t>假设开放期内，客户于202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18</w:t>
      </w:r>
      <w:r>
        <w:rPr>
          <w:rFonts w:ascii="新宋体" w:eastAsia="新宋体" w:hAnsi="新宋体" w:hint="eastAsia"/>
          <w:color w:val="auto"/>
          <w:sz w:val="21"/>
          <w:szCs w:val="21"/>
        </w:rPr>
        <w:t>日（周一）1</w:t>
      </w:r>
      <w:r>
        <w:rPr>
          <w:rFonts w:ascii="新宋体" w:eastAsia="新宋体" w:hAnsi="新宋体"/>
          <w:color w:val="auto"/>
          <w:sz w:val="21"/>
          <w:szCs w:val="21"/>
        </w:rPr>
        <w:t>4</w:t>
      </w:r>
      <w:r>
        <w:rPr>
          <w:rFonts w:ascii="新宋体" w:eastAsia="新宋体" w:hAnsi="新宋体" w:hint="eastAsia"/>
          <w:color w:val="auto"/>
          <w:sz w:val="21"/>
          <w:szCs w:val="21"/>
        </w:rPr>
        <w:t>:00赎回本理财计划1</w:t>
      </w:r>
      <w:r>
        <w:rPr>
          <w:rFonts w:ascii="新宋体" w:eastAsia="新宋体" w:hAnsi="新宋体"/>
          <w:color w:val="auto"/>
          <w:sz w:val="21"/>
          <w:szCs w:val="21"/>
        </w:rPr>
        <w:t>0</w:t>
      </w:r>
      <w:r>
        <w:rPr>
          <w:rFonts w:ascii="新宋体" w:eastAsia="新宋体" w:hAnsi="新宋体" w:hint="eastAsia"/>
          <w:color w:val="auto"/>
          <w:sz w:val="21"/>
          <w:szCs w:val="21"/>
        </w:rPr>
        <w:t>万份，则系统将于202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19</w:t>
      </w:r>
      <w:r>
        <w:rPr>
          <w:rFonts w:ascii="新宋体" w:eastAsia="新宋体" w:hAnsi="新宋体" w:hint="eastAsia"/>
          <w:color w:val="auto"/>
          <w:sz w:val="21"/>
          <w:szCs w:val="21"/>
        </w:rPr>
        <w:t>日（周二）对该笔交易进行确认，</w:t>
      </w:r>
      <w:r>
        <w:rPr>
          <w:rFonts w:ascii="新宋体" w:eastAsia="新宋体" w:hAnsi="新宋体"/>
          <w:color w:val="auto"/>
          <w:sz w:val="21"/>
          <w:szCs w:val="21"/>
        </w:rPr>
        <w:t>且3月19日发布的产品单位净值</w:t>
      </w:r>
      <w:r>
        <w:rPr>
          <w:rFonts w:ascii="新宋体" w:eastAsia="新宋体" w:hAnsi="新宋体" w:hint="eastAsia"/>
          <w:color w:val="auto"/>
          <w:sz w:val="21"/>
          <w:szCs w:val="21"/>
        </w:rPr>
        <w:t>（实际为</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18</w:t>
      </w:r>
      <w:r>
        <w:rPr>
          <w:rFonts w:ascii="新宋体" w:eastAsia="新宋体" w:hAnsi="新宋体" w:hint="eastAsia"/>
          <w:color w:val="auto"/>
          <w:sz w:val="21"/>
          <w:szCs w:val="21"/>
        </w:rPr>
        <w:t>日单位净值）</w:t>
      </w:r>
      <w:r>
        <w:rPr>
          <w:rFonts w:ascii="新宋体" w:eastAsia="新宋体" w:hAnsi="新宋体"/>
          <w:color w:val="auto"/>
          <w:sz w:val="21"/>
          <w:szCs w:val="21"/>
        </w:rPr>
        <w:t>为1.012345元</w:t>
      </w:r>
      <w:r>
        <w:rPr>
          <w:rFonts w:ascii="新宋体" w:eastAsia="新宋体" w:hAnsi="新宋体" w:hint="eastAsia"/>
          <w:color w:val="auto"/>
          <w:sz w:val="21"/>
          <w:szCs w:val="21"/>
        </w:rPr>
        <w:t>，赎回入账金额（元）=100</w:t>
      </w:r>
      <w:r>
        <w:rPr>
          <w:rFonts w:ascii="新宋体" w:eastAsia="新宋体" w:hAnsi="新宋体"/>
          <w:color w:val="auto"/>
          <w:sz w:val="21"/>
          <w:szCs w:val="21"/>
        </w:rPr>
        <w:t>0</w:t>
      </w:r>
      <w:r>
        <w:rPr>
          <w:rFonts w:ascii="新宋体" w:eastAsia="新宋体" w:hAnsi="新宋体" w:hint="eastAsia"/>
          <w:color w:val="auto"/>
          <w:sz w:val="21"/>
          <w:szCs w:val="21"/>
        </w:rPr>
        <w:t>00×1</w:t>
      </w:r>
      <w:r>
        <w:rPr>
          <w:rFonts w:ascii="新宋体" w:eastAsia="新宋体" w:hAnsi="新宋体"/>
          <w:color w:val="auto"/>
          <w:sz w:val="21"/>
          <w:szCs w:val="21"/>
        </w:rPr>
        <w:t>.012345</w:t>
      </w:r>
      <w:r>
        <w:rPr>
          <w:rFonts w:ascii="新宋体" w:eastAsia="新宋体" w:hAnsi="新宋体" w:hint="eastAsia"/>
          <w:color w:val="auto"/>
          <w:sz w:val="21"/>
          <w:szCs w:val="21"/>
        </w:rPr>
        <w:t>=</w:t>
      </w:r>
      <w:r>
        <w:rPr>
          <w:rFonts w:ascii="新宋体" w:eastAsia="新宋体" w:hAnsi="新宋体"/>
          <w:color w:val="auto"/>
          <w:sz w:val="21"/>
          <w:szCs w:val="21"/>
        </w:rPr>
        <w:t>101234.50</w:t>
      </w:r>
      <w:r>
        <w:rPr>
          <w:rFonts w:ascii="新宋体" w:eastAsia="新宋体" w:hAnsi="新宋体" w:hint="eastAsia"/>
          <w:color w:val="auto"/>
          <w:sz w:val="21"/>
          <w:szCs w:val="21"/>
        </w:rPr>
        <w:t>元。</w:t>
      </w:r>
    </w:p>
    <w:p w:rsidR="009C2918" w:rsidRDefault="004B5A89">
      <w:pPr>
        <w:widowControl/>
        <w:snapToGrid w:val="0"/>
        <w:spacing w:line="360" w:lineRule="auto"/>
        <w:ind w:firstLineChars="200" w:firstLine="420"/>
        <w:jc w:val="left"/>
        <w:rPr>
          <w:rFonts w:ascii="新宋体" w:eastAsia="新宋体" w:hAnsi="新宋体"/>
          <w:color w:val="auto"/>
          <w:sz w:val="21"/>
          <w:szCs w:val="21"/>
        </w:rPr>
      </w:pPr>
      <w:r>
        <w:rPr>
          <w:rFonts w:ascii="新宋体" w:eastAsia="新宋体" w:hAnsi="新宋体" w:hint="eastAsia"/>
          <w:color w:val="auto"/>
          <w:sz w:val="21"/>
          <w:szCs w:val="21"/>
        </w:rPr>
        <w:t>假设开放期内，客户于202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18</w:t>
      </w:r>
      <w:r>
        <w:rPr>
          <w:rFonts w:ascii="新宋体" w:eastAsia="新宋体" w:hAnsi="新宋体" w:hint="eastAsia"/>
          <w:color w:val="auto"/>
          <w:sz w:val="21"/>
          <w:szCs w:val="21"/>
        </w:rPr>
        <w:t>日（周一）</w:t>
      </w:r>
      <w:r>
        <w:rPr>
          <w:rFonts w:ascii="新宋体" w:eastAsia="新宋体" w:hAnsi="新宋体"/>
          <w:color w:val="auto"/>
          <w:sz w:val="21"/>
          <w:szCs w:val="21"/>
        </w:rPr>
        <w:t>1</w:t>
      </w:r>
      <w:r>
        <w:rPr>
          <w:rFonts w:ascii="新宋体" w:eastAsia="新宋体" w:hAnsi="新宋体" w:hint="eastAsia"/>
          <w:color w:val="auto"/>
          <w:sz w:val="21"/>
          <w:szCs w:val="21"/>
        </w:rPr>
        <w:t>8:00赎回本理财计划1</w:t>
      </w:r>
      <w:r>
        <w:rPr>
          <w:rFonts w:ascii="新宋体" w:eastAsia="新宋体" w:hAnsi="新宋体"/>
          <w:color w:val="auto"/>
          <w:sz w:val="21"/>
          <w:szCs w:val="21"/>
        </w:rPr>
        <w:t>0</w:t>
      </w:r>
      <w:r>
        <w:rPr>
          <w:rFonts w:ascii="新宋体" w:eastAsia="新宋体" w:hAnsi="新宋体" w:hint="eastAsia"/>
          <w:color w:val="auto"/>
          <w:sz w:val="21"/>
          <w:szCs w:val="21"/>
        </w:rPr>
        <w:t>万份，则系统将于202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20</w:t>
      </w:r>
      <w:r>
        <w:rPr>
          <w:rFonts w:ascii="新宋体" w:eastAsia="新宋体" w:hAnsi="新宋体" w:hint="eastAsia"/>
          <w:color w:val="auto"/>
          <w:sz w:val="21"/>
          <w:szCs w:val="21"/>
        </w:rPr>
        <w:t>日（周三）对该笔交易进行确认，</w:t>
      </w:r>
      <w:r>
        <w:rPr>
          <w:rFonts w:ascii="新宋体" w:eastAsia="新宋体" w:hAnsi="新宋体"/>
          <w:color w:val="auto"/>
          <w:sz w:val="21"/>
          <w:szCs w:val="21"/>
        </w:rPr>
        <w:t>且3月20日发布的产品单位净值</w:t>
      </w:r>
      <w:r>
        <w:rPr>
          <w:rFonts w:ascii="新宋体" w:eastAsia="新宋体" w:hAnsi="新宋体" w:hint="eastAsia"/>
          <w:color w:val="auto"/>
          <w:sz w:val="21"/>
          <w:szCs w:val="21"/>
        </w:rPr>
        <w:t>（实际为</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19</w:t>
      </w:r>
      <w:r>
        <w:rPr>
          <w:rFonts w:ascii="新宋体" w:eastAsia="新宋体" w:hAnsi="新宋体" w:hint="eastAsia"/>
          <w:color w:val="auto"/>
          <w:sz w:val="21"/>
          <w:szCs w:val="21"/>
        </w:rPr>
        <w:t>日单位净值）</w:t>
      </w:r>
      <w:r>
        <w:rPr>
          <w:rFonts w:ascii="新宋体" w:eastAsia="新宋体" w:hAnsi="新宋体"/>
          <w:color w:val="auto"/>
          <w:sz w:val="21"/>
          <w:szCs w:val="21"/>
        </w:rPr>
        <w:t>为1.012346元</w:t>
      </w:r>
      <w:r>
        <w:rPr>
          <w:rFonts w:ascii="新宋体" w:eastAsia="新宋体" w:hAnsi="新宋体" w:hint="eastAsia"/>
          <w:color w:val="auto"/>
          <w:sz w:val="21"/>
          <w:szCs w:val="21"/>
        </w:rPr>
        <w:t>，赎回入账金额（元）=100</w:t>
      </w:r>
      <w:r>
        <w:rPr>
          <w:rFonts w:ascii="新宋体" w:eastAsia="新宋体" w:hAnsi="新宋体"/>
          <w:color w:val="auto"/>
          <w:sz w:val="21"/>
          <w:szCs w:val="21"/>
        </w:rPr>
        <w:t>0</w:t>
      </w:r>
      <w:r>
        <w:rPr>
          <w:rFonts w:ascii="新宋体" w:eastAsia="新宋体" w:hAnsi="新宋体" w:hint="eastAsia"/>
          <w:color w:val="auto"/>
          <w:sz w:val="21"/>
          <w:szCs w:val="21"/>
        </w:rPr>
        <w:t>00×1</w:t>
      </w:r>
      <w:r>
        <w:rPr>
          <w:rFonts w:ascii="新宋体" w:eastAsia="新宋体" w:hAnsi="新宋体"/>
          <w:color w:val="auto"/>
          <w:sz w:val="21"/>
          <w:szCs w:val="21"/>
        </w:rPr>
        <w:t>.012346</w:t>
      </w:r>
      <w:r>
        <w:rPr>
          <w:rFonts w:ascii="新宋体" w:eastAsia="新宋体" w:hAnsi="新宋体" w:hint="eastAsia"/>
          <w:color w:val="auto"/>
          <w:sz w:val="21"/>
          <w:szCs w:val="21"/>
        </w:rPr>
        <w:t>=</w:t>
      </w:r>
      <w:r>
        <w:rPr>
          <w:rFonts w:ascii="新宋体" w:eastAsia="新宋体" w:hAnsi="新宋体"/>
          <w:color w:val="auto"/>
          <w:sz w:val="21"/>
          <w:szCs w:val="21"/>
        </w:rPr>
        <w:t>101234.60</w:t>
      </w:r>
      <w:r>
        <w:rPr>
          <w:rFonts w:ascii="新宋体" w:eastAsia="新宋体" w:hAnsi="新宋体" w:hint="eastAsia"/>
          <w:color w:val="auto"/>
          <w:sz w:val="21"/>
          <w:szCs w:val="21"/>
        </w:rPr>
        <w:t>元。</w:t>
      </w:r>
    </w:p>
    <w:p w:rsidR="009C2918" w:rsidRDefault="004B5A89">
      <w:pPr>
        <w:snapToGrid w:val="0"/>
        <w:spacing w:line="360" w:lineRule="auto"/>
        <w:ind w:firstLineChars="200" w:firstLine="422"/>
        <w:jc w:val="left"/>
        <w:rPr>
          <w:rFonts w:ascii="新宋体" w:eastAsia="新宋体" w:hAnsi="新宋体"/>
          <w:b/>
          <w:color w:val="auto"/>
          <w:sz w:val="21"/>
          <w:szCs w:val="21"/>
        </w:rPr>
      </w:pPr>
      <w:r>
        <w:rPr>
          <w:rFonts w:ascii="新宋体" w:eastAsia="新宋体" w:hAnsi="新宋体" w:hint="eastAsia"/>
          <w:b/>
          <w:color w:val="auto"/>
          <w:sz w:val="21"/>
          <w:szCs w:val="21"/>
        </w:rPr>
        <w:t xml:space="preserve">十二、巨额赎回 </w:t>
      </w:r>
    </w:p>
    <w:p w:rsidR="009C2918" w:rsidRDefault="004B5A89">
      <w:pPr>
        <w:widowControl/>
        <w:snapToGrid w:val="0"/>
        <w:spacing w:line="360" w:lineRule="auto"/>
        <w:ind w:firstLineChars="200" w:firstLine="422"/>
        <w:jc w:val="left"/>
        <w:rPr>
          <w:rFonts w:ascii="新宋体" w:eastAsia="新宋体" w:cs="新宋体"/>
          <w:b/>
          <w:color w:val="auto"/>
          <w:kern w:val="0"/>
          <w:sz w:val="21"/>
          <w:szCs w:val="21"/>
        </w:rPr>
      </w:pPr>
      <w:r>
        <w:rPr>
          <w:rFonts w:ascii="新宋体" w:eastAsia="新宋体" w:cs="新宋体" w:hint="eastAsia"/>
          <w:b/>
          <w:color w:val="auto"/>
          <w:kern w:val="0"/>
          <w:sz w:val="21"/>
          <w:szCs w:val="21"/>
        </w:rPr>
        <w:t>在本理财计划规模余额达到</w:t>
      </w:r>
      <w:r>
        <w:rPr>
          <w:rFonts w:ascii="新宋体" w:eastAsia="新宋体" w:cs="新宋体"/>
          <w:b/>
          <w:color w:val="auto"/>
          <w:kern w:val="0"/>
          <w:sz w:val="21"/>
          <w:szCs w:val="21"/>
        </w:rPr>
        <w:t>5</w:t>
      </w:r>
      <w:r>
        <w:rPr>
          <w:rFonts w:ascii="新宋体" w:eastAsia="新宋体" w:cs="新宋体" w:hint="eastAsia"/>
          <w:b/>
          <w:color w:val="auto"/>
          <w:kern w:val="0"/>
          <w:sz w:val="21"/>
          <w:szCs w:val="21"/>
        </w:rPr>
        <w:t>0</w:t>
      </w:r>
      <w:r>
        <w:rPr>
          <w:rFonts w:ascii="新宋体" w:eastAsia="新宋体" w:cs="新宋体"/>
          <w:b/>
          <w:color w:val="auto"/>
          <w:kern w:val="0"/>
          <w:sz w:val="21"/>
          <w:szCs w:val="21"/>
        </w:rPr>
        <w:t>亿元（含）后</w:t>
      </w:r>
      <w:r>
        <w:rPr>
          <w:rFonts w:ascii="新宋体" w:eastAsia="新宋体" w:cs="新宋体" w:hint="eastAsia"/>
          <w:b/>
          <w:color w:val="auto"/>
          <w:kern w:val="0"/>
          <w:sz w:val="21"/>
          <w:szCs w:val="21"/>
        </w:rPr>
        <w:t>，单个开放日中，本理财计划的净赎回份额（当日赎回申请总份额扣除当日购买总份额后的余额）超过上一日本理财计划总份额的1</w:t>
      </w:r>
      <w:r>
        <w:rPr>
          <w:rFonts w:ascii="新宋体" w:eastAsia="新宋体" w:cs="新宋体"/>
          <w:b/>
          <w:color w:val="auto"/>
          <w:kern w:val="0"/>
          <w:sz w:val="21"/>
          <w:szCs w:val="21"/>
        </w:rPr>
        <w:t>0%</w:t>
      </w:r>
      <w:r>
        <w:rPr>
          <w:rFonts w:ascii="新宋体" w:eastAsia="新宋体" w:cs="新宋体" w:hint="eastAsia"/>
          <w:b/>
          <w:color w:val="auto"/>
          <w:kern w:val="0"/>
          <w:sz w:val="21"/>
          <w:szCs w:val="21"/>
        </w:rPr>
        <w:t>，为巨额赎回。发生巨额赎回时，为维持理财资产正常运作，保护已有投资者利益，青银理财有权拒绝投资者的赎回申请，投资者可于下一开放日重新提交赎回申请，但该情形可能影响投资者的资金安排。</w:t>
      </w:r>
      <w:r>
        <w:rPr>
          <w:rFonts w:ascii="新宋体" w:eastAsia="新宋体" w:cs="新宋体"/>
          <w:b/>
          <w:color w:val="auto"/>
          <w:kern w:val="0"/>
          <w:sz w:val="21"/>
          <w:szCs w:val="21"/>
        </w:rPr>
        <w:t xml:space="preserve"> </w:t>
      </w:r>
    </w:p>
    <w:p w:rsidR="009C2918" w:rsidRDefault="004B5A89">
      <w:pPr>
        <w:widowControl/>
        <w:snapToGrid w:val="0"/>
        <w:spacing w:line="360" w:lineRule="auto"/>
        <w:ind w:firstLineChars="200" w:firstLine="422"/>
        <w:jc w:val="left"/>
        <w:rPr>
          <w:rFonts w:ascii="新宋体" w:eastAsia="新宋体" w:cs="新宋体"/>
          <w:b/>
          <w:color w:val="auto"/>
          <w:kern w:val="0"/>
          <w:sz w:val="21"/>
          <w:szCs w:val="21"/>
        </w:rPr>
      </w:pPr>
      <w:r>
        <w:rPr>
          <w:rFonts w:ascii="新宋体" w:eastAsia="新宋体" w:cs="新宋体" w:hint="eastAsia"/>
          <w:b/>
          <w:color w:val="auto"/>
          <w:kern w:val="0"/>
          <w:sz w:val="21"/>
          <w:szCs w:val="21"/>
        </w:rPr>
        <w:t>本理财计划连续两个开放日发生巨额赎回，从保护投资者利益出发，为避免资产变现可能引发的产品资产净值较大波动，青银理财有权暂停接受投资者赎回申请，并于两个工作日内通过青银理财官网进行公告。</w:t>
      </w:r>
    </w:p>
    <w:p w:rsidR="009C2918" w:rsidRDefault="004B5A89">
      <w:pPr>
        <w:widowControl/>
        <w:snapToGrid w:val="0"/>
        <w:spacing w:line="360" w:lineRule="auto"/>
        <w:ind w:firstLineChars="200" w:firstLine="422"/>
        <w:jc w:val="left"/>
        <w:rPr>
          <w:rFonts w:ascii="新宋体" w:eastAsia="新宋体" w:cs="新宋体"/>
          <w:b/>
          <w:color w:val="auto"/>
          <w:kern w:val="0"/>
          <w:sz w:val="21"/>
          <w:szCs w:val="21"/>
        </w:rPr>
      </w:pPr>
      <w:r>
        <w:rPr>
          <w:rFonts w:ascii="新宋体" w:eastAsia="新宋体" w:cs="新宋体" w:hint="eastAsia"/>
          <w:b/>
          <w:color w:val="auto"/>
          <w:kern w:val="0"/>
          <w:sz w:val="21"/>
          <w:szCs w:val="21"/>
        </w:rPr>
        <w:t>十三、理财收益及分配</w:t>
      </w:r>
    </w:p>
    <w:p w:rsidR="009C2918" w:rsidRDefault="004B5A89">
      <w:pPr>
        <w:pStyle w:val="a3"/>
        <w:spacing w:before="0" w:beforeAutospacing="0" w:after="0" w:afterAutospacing="0" w:line="360" w:lineRule="auto"/>
        <w:ind w:firstLineChars="200" w:firstLine="422"/>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rsidR="009C2918" w:rsidRDefault="004B5A89">
      <w:pPr>
        <w:pStyle w:val="a3"/>
        <w:spacing w:before="0" w:beforeAutospacing="0" w:after="0" w:afterAutospacing="0" w:line="360" w:lineRule="auto"/>
        <w:ind w:firstLineChars="200" w:firstLine="420"/>
        <w:rPr>
          <w:rFonts w:ascii="新宋体" w:eastAsia="新宋体" w:hAnsi="新宋体"/>
          <w:sz w:val="21"/>
          <w:szCs w:val="21"/>
        </w:rPr>
      </w:pPr>
      <w:r>
        <w:rPr>
          <w:rFonts w:ascii="新宋体" w:eastAsia="新宋体" w:hAnsi="新宋体" w:hint="eastAsia"/>
          <w:sz w:val="21"/>
          <w:szCs w:val="21"/>
        </w:rPr>
        <w:t>本理财计划以单位净值报价，单位净值=本理财计划总净值÷本理财计划总份额。其中，总净值为扣除本产品说明书约定由本理财产品承担的包括但不限于托管费、管理费、业绩报酬（如有）等相关费用后的本理财计划资产市值。</w:t>
      </w:r>
    </w:p>
    <w:p w:rsidR="009C2918" w:rsidRDefault="004B5A89">
      <w:pPr>
        <w:pStyle w:val="a3"/>
        <w:spacing w:before="0" w:beforeAutospacing="0" w:after="0" w:afterAutospacing="0" w:line="360" w:lineRule="auto"/>
        <w:ind w:firstLineChars="200" w:firstLine="420"/>
        <w:rPr>
          <w:rFonts w:ascii="新宋体" w:eastAsia="新宋体" w:hAnsi="新宋体"/>
          <w:sz w:val="21"/>
          <w:szCs w:val="21"/>
        </w:rPr>
      </w:pPr>
      <w:r>
        <w:rPr>
          <w:rFonts w:ascii="新宋体" w:eastAsia="新宋体" w:hAnsi="新宋体" w:hint="eastAsia"/>
          <w:sz w:val="21"/>
          <w:szCs w:val="21"/>
        </w:rPr>
        <w:t>本理财计划单位净值根据青银理财实际投资运作的情况变化。</w:t>
      </w:r>
    </w:p>
    <w:p w:rsidR="009C2918" w:rsidRDefault="004B5A89">
      <w:pPr>
        <w:pStyle w:val="a3"/>
        <w:spacing w:before="0" w:beforeAutospacing="0" w:after="0" w:afterAutospacing="0" w:line="360" w:lineRule="auto"/>
        <w:ind w:firstLineChars="200" w:firstLine="422"/>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rsidR="009C2918" w:rsidRDefault="004B5A89">
      <w:pPr>
        <w:pStyle w:val="Default"/>
        <w:spacing w:line="360" w:lineRule="auto"/>
        <w:ind w:firstLineChars="200" w:firstLine="420"/>
        <w:rPr>
          <w:rFonts w:ascii="新宋体" w:eastAsia="新宋体" w:hAnsi="新宋体"/>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单位净值，持有理财产品总份额以青银理财理财系统清算登记份额数据为准。</w:t>
      </w:r>
    </w:p>
    <w:p w:rsidR="009C2918" w:rsidRDefault="004B5A89">
      <w:pPr>
        <w:pStyle w:val="Default"/>
        <w:spacing w:line="360" w:lineRule="auto"/>
        <w:ind w:firstLineChars="200" w:firstLine="422"/>
        <w:rPr>
          <w:rFonts w:ascii="新宋体" w:eastAsia="新宋体" w:hAnsi="新宋体"/>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rsidR="009C2918" w:rsidRDefault="004B5A89">
      <w:pPr>
        <w:pStyle w:val="Default"/>
        <w:spacing w:line="360" w:lineRule="auto"/>
        <w:ind w:firstLineChars="200" w:firstLine="422"/>
        <w:rPr>
          <w:rFonts w:ascii="新宋体" w:eastAsia="新宋体" w:hAnsi="新宋体"/>
          <w:b/>
          <w:color w:val="auto"/>
          <w:sz w:val="21"/>
          <w:szCs w:val="21"/>
        </w:rPr>
      </w:pPr>
      <w:r>
        <w:rPr>
          <w:rFonts w:ascii="新宋体" w:eastAsia="新宋体" w:hAnsi="新宋体" w:hint="eastAsia"/>
          <w:b/>
          <w:color w:val="auto"/>
          <w:sz w:val="21"/>
          <w:szCs w:val="21"/>
        </w:rPr>
        <w:t>投资者理财市值及收益测算示例：</w:t>
      </w:r>
    </w:p>
    <w:p w:rsidR="009C2918" w:rsidRDefault="004B5A89">
      <w:pPr>
        <w:pStyle w:val="Default"/>
        <w:spacing w:line="360" w:lineRule="auto"/>
        <w:ind w:firstLineChars="200" w:firstLine="420"/>
        <w:rPr>
          <w:rFonts w:ascii="新宋体" w:eastAsia="新宋体" w:hAnsi="新宋体"/>
          <w:color w:val="auto"/>
          <w:sz w:val="21"/>
          <w:szCs w:val="21"/>
        </w:rPr>
      </w:pPr>
      <w:r>
        <w:rPr>
          <w:rFonts w:ascii="新宋体" w:eastAsia="新宋体" w:hAnsi="新宋体" w:hint="eastAsia"/>
          <w:color w:val="auto"/>
          <w:sz w:val="21"/>
          <w:szCs w:val="21"/>
        </w:rPr>
        <w:t>假设：202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18</w:t>
      </w:r>
      <w:r>
        <w:rPr>
          <w:rFonts w:ascii="新宋体" w:eastAsia="新宋体" w:hAnsi="新宋体" w:hint="eastAsia"/>
          <w:color w:val="auto"/>
          <w:sz w:val="21"/>
          <w:szCs w:val="21"/>
        </w:rPr>
        <w:t>日、</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19</w:t>
      </w:r>
      <w:r>
        <w:rPr>
          <w:rFonts w:ascii="新宋体" w:eastAsia="新宋体" w:hAnsi="新宋体" w:hint="eastAsia"/>
          <w:color w:val="auto"/>
          <w:sz w:val="21"/>
          <w:szCs w:val="21"/>
        </w:rPr>
        <w:t>日（均为工作日）为该产品的两个相邻开放日，投资者在202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18</w:t>
      </w:r>
      <w:r>
        <w:rPr>
          <w:rFonts w:ascii="新宋体" w:eastAsia="新宋体" w:hAnsi="新宋体" w:hint="eastAsia"/>
          <w:color w:val="auto"/>
          <w:sz w:val="21"/>
          <w:szCs w:val="21"/>
        </w:rPr>
        <w:t>日系统登记的已持有产品份额5万份，202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18</w:t>
      </w:r>
      <w:r>
        <w:rPr>
          <w:rFonts w:ascii="新宋体" w:eastAsia="新宋体" w:hAnsi="新宋体" w:hint="eastAsia"/>
          <w:color w:val="auto"/>
          <w:sz w:val="21"/>
          <w:szCs w:val="21"/>
        </w:rPr>
        <w:t>日青银理财发布产品单位净值为1.000000元/份。则截止202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18</w:t>
      </w:r>
      <w:r>
        <w:rPr>
          <w:rFonts w:ascii="新宋体" w:eastAsia="新宋体" w:hAnsi="新宋体" w:hint="eastAsia"/>
          <w:color w:val="auto"/>
          <w:sz w:val="21"/>
          <w:szCs w:val="21"/>
        </w:rPr>
        <w:t>日，该投资者持有理财的产品市值为50000×1.000000=50000.00元。</w:t>
      </w:r>
    </w:p>
    <w:p w:rsidR="009C2918" w:rsidRDefault="004B5A89">
      <w:pPr>
        <w:pStyle w:val="Default"/>
        <w:spacing w:line="360" w:lineRule="auto"/>
        <w:ind w:firstLineChars="200" w:firstLine="420"/>
        <w:rPr>
          <w:rFonts w:ascii="新宋体" w:eastAsia="新宋体" w:hAnsi="新宋体"/>
          <w:color w:val="auto"/>
          <w:sz w:val="21"/>
          <w:szCs w:val="21"/>
        </w:rPr>
      </w:pPr>
      <w:r>
        <w:rPr>
          <w:rFonts w:ascii="新宋体" w:eastAsia="新宋体" w:hAnsi="新宋体" w:hint="eastAsia"/>
          <w:color w:val="auto"/>
          <w:sz w:val="21"/>
          <w:szCs w:val="21"/>
        </w:rPr>
        <w:t>场景一：如该投资者后续没有交易，持有份额不变，在202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19</w:t>
      </w:r>
      <w:r>
        <w:rPr>
          <w:rFonts w:ascii="新宋体" w:eastAsia="新宋体" w:hAnsi="新宋体" w:hint="eastAsia"/>
          <w:color w:val="auto"/>
          <w:sz w:val="21"/>
          <w:szCs w:val="21"/>
        </w:rPr>
        <w:t>日青银理财发布产品单位净值为1.00</w:t>
      </w:r>
      <w:r>
        <w:rPr>
          <w:rFonts w:ascii="新宋体" w:eastAsia="新宋体" w:hAnsi="新宋体"/>
          <w:color w:val="auto"/>
          <w:sz w:val="21"/>
          <w:szCs w:val="21"/>
        </w:rPr>
        <w:t>0010</w:t>
      </w:r>
      <w:r>
        <w:rPr>
          <w:rFonts w:ascii="新宋体" w:eastAsia="新宋体" w:hAnsi="新宋体" w:hint="eastAsia"/>
          <w:color w:val="auto"/>
          <w:sz w:val="21"/>
          <w:szCs w:val="21"/>
        </w:rPr>
        <w:t>元/份，则截止202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19</w:t>
      </w:r>
      <w:r>
        <w:rPr>
          <w:rFonts w:ascii="新宋体" w:eastAsia="新宋体" w:hAnsi="新宋体" w:hint="eastAsia"/>
          <w:color w:val="auto"/>
          <w:sz w:val="21"/>
          <w:szCs w:val="21"/>
        </w:rPr>
        <w:t>日，该投资者持有理财的产品市值为50000×1.00</w:t>
      </w:r>
      <w:r>
        <w:rPr>
          <w:rFonts w:ascii="新宋体" w:eastAsia="新宋体" w:hAnsi="新宋体"/>
          <w:color w:val="auto"/>
          <w:sz w:val="21"/>
          <w:szCs w:val="21"/>
        </w:rPr>
        <w:t>0010</w:t>
      </w:r>
      <w:r>
        <w:rPr>
          <w:rFonts w:ascii="新宋体" w:eastAsia="新宋体" w:hAnsi="新宋体" w:hint="eastAsia"/>
          <w:color w:val="auto"/>
          <w:sz w:val="21"/>
          <w:szCs w:val="21"/>
        </w:rPr>
        <w:t>=50</w:t>
      </w:r>
      <w:r>
        <w:rPr>
          <w:rFonts w:ascii="新宋体" w:eastAsia="新宋体" w:hAnsi="新宋体"/>
          <w:color w:val="auto"/>
          <w:sz w:val="21"/>
          <w:szCs w:val="21"/>
        </w:rPr>
        <w:t>000.50</w:t>
      </w:r>
      <w:r>
        <w:rPr>
          <w:rFonts w:ascii="新宋体" w:eastAsia="新宋体" w:hAnsi="新宋体" w:hint="eastAsia"/>
          <w:color w:val="auto"/>
          <w:sz w:val="21"/>
          <w:szCs w:val="21"/>
        </w:rPr>
        <w:t>元。该投资者在202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19</w:t>
      </w:r>
      <w:r>
        <w:rPr>
          <w:rFonts w:ascii="新宋体" w:eastAsia="新宋体" w:hAnsi="新宋体" w:hint="eastAsia"/>
          <w:color w:val="auto"/>
          <w:sz w:val="21"/>
          <w:szCs w:val="21"/>
        </w:rPr>
        <w:t>日账面理财收益是50</w:t>
      </w:r>
      <w:r>
        <w:rPr>
          <w:rFonts w:ascii="新宋体" w:eastAsia="新宋体" w:hAnsi="新宋体"/>
          <w:color w:val="auto"/>
          <w:sz w:val="21"/>
          <w:szCs w:val="21"/>
        </w:rPr>
        <w:t>000.50</w:t>
      </w:r>
      <w:r>
        <w:rPr>
          <w:rFonts w:ascii="新宋体" w:eastAsia="新宋体" w:hAnsi="新宋体" w:hint="eastAsia"/>
          <w:color w:val="auto"/>
          <w:sz w:val="21"/>
          <w:szCs w:val="21"/>
        </w:rPr>
        <w:t>-50000.00=</w:t>
      </w:r>
      <w:r>
        <w:rPr>
          <w:rFonts w:ascii="新宋体" w:eastAsia="新宋体" w:hAnsi="新宋体"/>
          <w:color w:val="auto"/>
          <w:sz w:val="21"/>
          <w:szCs w:val="21"/>
        </w:rPr>
        <w:t>0.50</w:t>
      </w:r>
      <w:r>
        <w:rPr>
          <w:rFonts w:ascii="新宋体" w:eastAsia="新宋体" w:hAnsi="新宋体" w:hint="eastAsia"/>
          <w:color w:val="auto"/>
          <w:sz w:val="21"/>
          <w:szCs w:val="21"/>
        </w:rPr>
        <w:t>（盈利）。</w:t>
      </w:r>
    </w:p>
    <w:p w:rsidR="009C2918" w:rsidRDefault="004B5A89">
      <w:pPr>
        <w:pStyle w:val="Default"/>
        <w:spacing w:line="360" w:lineRule="auto"/>
        <w:ind w:firstLineChars="200" w:firstLine="420"/>
        <w:rPr>
          <w:rFonts w:ascii="新宋体" w:eastAsia="新宋体" w:hAnsi="新宋体"/>
          <w:color w:val="auto"/>
          <w:sz w:val="21"/>
          <w:szCs w:val="21"/>
        </w:rPr>
      </w:pPr>
      <w:r>
        <w:rPr>
          <w:rFonts w:ascii="新宋体" w:eastAsia="新宋体" w:hAnsi="新宋体" w:hint="eastAsia"/>
          <w:color w:val="auto"/>
          <w:sz w:val="21"/>
          <w:szCs w:val="21"/>
        </w:rPr>
        <w:t>场景二：如该投资者后续没有交易，持有份额不变，在202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19</w:t>
      </w:r>
      <w:r>
        <w:rPr>
          <w:rFonts w:ascii="新宋体" w:eastAsia="新宋体" w:hAnsi="新宋体" w:hint="eastAsia"/>
          <w:color w:val="auto"/>
          <w:sz w:val="21"/>
          <w:szCs w:val="21"/>
        </w:rPr>
        <w:t>日青银理财发布产品单位净值为</w:t>
      </w:r>
      <w:r>
        <w:rPr>
          <w:rFonts w:ascii="新宋体" w:eastAsia="新宋体" w:hAnsi="新宋体"/>
          <w:color w:val="auto"/>
          <w:sz w:val="21"/>
          <w:szCs w:val="21"/>
        </w:rPr>
        <w:t>0.999990</w:t>
      </w:r>
      <w:r>
        <w:rPr>
          <w:rFonts w:ascii="新宋体" w:eastAsia="新宋体" w:hAnsi="新宋体" w:hint="eastAsia"/>
          <w:color w:val="auto"/>
          <w:sz w:val="21"/>
          <w:szCs w:val="21"/>
        </w:rPr>
        <w:t>元/份，则截止202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19</w:t>
      </w:r>
      <w:r>
        <w:rPr>
          <w:rFonts w:ascii="新宋体" w:eastAsia="新宋体" w:hAnsi="新宋体" w:hint="eastAsia"/>
          <w:color w:val="auto"/>
          <w:sz w:val="21"/>
          <w:szCs w:val="21"/>
        </w:rPr>
        <w:t>日，该投资者持有理财的产品市值为50000×</w:t>
      </w:r>
      <w:r>
        <w:rPr>
          <w:rFonts w:ascii="新宋体" w:eastAsia="新宋体" w:hAnsi="新宋体"/>
          <w:color w:val="auto"/>
          <w:sz w:val="21"/>
          <w:szCs w:val="21"/>
        </w:rPr>
        <w:t>0.999990</w:t>
      </w:r>
      <w:r>
        <w:rPr>
          <w:rFonts w:ascii="新宋体" w:eastAsia="新宋体" w:hAnsi="新宋体" w:hint="eastAsia"/>
          <w:color w:val="auto"/>
          <w:sz w:val="21"/>
          <w:szCs w:val="21"/>
        </w:rPr>
        <w:t>=</w:t>
      </w:r>
      <w:r>
        <w:rPr>
          <w:rFonts w:ascii="新宋体" w:eastAsia="新宋体" w:hAnsi="新宋体"/>
          <w:color w:val="auto"/>
          <w:sz w:val="21"/>
          <w:szCs w:val="21"/>
        </w:rPr>
        <w:t>49999.50</w:t>
      </w:r>
      <w:r>
        <w:rPr>
          <w:rFonts w:ascii="新宋体" w:eastAsia="新宋体" w:hAnsi="新宋体" w:hint="eastAsia"/>
          <w:color w:val="auto"/>
          <w:sz w:val="21"/>
          <w:szCs w:val="21"/>
        </w:rPr>
        <w:t>元。该投资者在202</w:t>
      </w:r>
      <w:r>
        <w:rPr>
          <w:rFonts w:ascii="新宋体" w:eastAsia="新宋体" w:hAnsi="新宋体"/>
          <w:color w:val="auto"/>
          <w:sz w:val="21"/>
          <w:szCs w:val="21"/>
        </w:rPr>
        <w:t>4</w:t>
      </w:r>
      <w:r>
        <w:rPr>
          <w:rFonts w:ascii="新宋体" w:eastAsia="新宋体" w:hAnsi="新宋体" w:hint="eastAsia"/>
          <w:color w:val="auto"/>
          <w:sz w:val="21"/>
          <w:szCs w:val="21"/>
        </w:rPr>
        <w:t>年</w:t>
      </w:r>
      <w:r>
        <w:rPr>
          <w:rFonts w:ascii="新宋体" w:eastAsia="新宋体" w:hAnsi="新宋体"/>
          <w:color w:val="auto"/>
          <w:sz w:val="21"/>
          <w:szCs w:val="21"/>
        </w:rPr>
        <w:t>3</w:t>
      </w:r>
      <w:r>
        <w:rPr>
          <w:rFonts w:ascii="新宋体" w:eastAsia="新宋体" w:hAnsi="新宋体" w:hint="eastAsia"/>
          <w:color w:val="auto"/>
          <w:sz w:val="21"/>
          <w:szCs w:val="21"/>
        </w:rPr>
        <w:t>月</w:t>
      </w:r>
      <w:r>
        <w:rPr>
          <w:rFonts w:ascii="新宋体" w:eastAsia="新宋体" w:hAnsi="新宋体"/>
          <w:color w:val="auto"/>
          <w:sz w:val="21"/>
          <w:szCs w:val="21"/>
        </w:rPr>
        <w:t>19</w:t>
      </w:r>
      <w:r>
        <w:rPr>
          <w:rFonts w:ascii="新宋体" w:eastAsia="新宋体" w:hAnsi="新宋体" w:hint="eastAsia"/>
          <w:color w:val="auto"/>
          <w:sz w:val="21"/>
          <w:szCs w:val="21"/>
        </w:rPr>
        <w:t>日账面理财收益是</w:t>
      </w:r>
      <w:r>
        <w:rPr>
          <w:rFonts w:ascii="新宋体" w:eastAsia="新宋体" w:hAnsi="新宋体"/>
          <w:color w:val="auto"/>
          <w:sz w:val="21"/>
          <w:szCs w:val="21"/>
        </w:rPr>
        <w:t>49999.50</w:t>
      </w:r>
      <w:r>
        <w:rPr>
          <w:rFonts w:ascii="新宋体" w:eastAsia="新宋体" w:hAnsi="新宋体" w:hint="eastAsia"/>
          <w:color w:val="auto"/>
          <w:sz w:val="21"/>
          <w:szCs w:val="21"/>
        </w:rPr>
        <w:t>-50000.00=</w:t>
      </w:r>
      <w:r>
        <w:rPr>
          <w:rFonts w:ascii="新宋体" w:eastAsia="新宋体" w:hAnsi="新宋体"/>
          <w:color w:val="auto"/>
          <w:sz w:val="21"/>
          <w:szCs w:val="21"/>
        </w:rPr>
        <w:t>-0.50</w:t>
      </w:r>
      <w:r>
        <w:rPr>
          <w:rFonts w:ascii="新宋体" w:eastAsia="新宋体" w:hAnsi="新宋体" w:hint="eastAsia"/>
          <w:color w:val="auto"/>
          <w:sz w:val="21"/>
          <w:szCs w:val="21"/>
        </w:rPr>
        <w:t>（亏损）。</w:t>
      </w:r>
    </w:p>
    <w:p w:rsidR="009C2918" w:rsidRDefault="004B5A89">
      <w:pPr>
        <w:snapToGrid w:val="0"/>
        <w:spacing w:line="360" w:lineRule="auto"/>
        <w:ind w:firstLineChars="200" w:firstLine="422"/>
        <w:jc w:val="left"/>
        <w:rPr>
          <w:rFonts w:ascii="新宋体" w:eastAsia="新宋体" w:hAnsi="新宋体"/>
          <w:b/>
          <w:color w:val="auto"/>
          <w:sz w:val="21"/>
          <w:szCs w:val="21"/>
        </w:rPr>
      </w:pPr>
      <w:r>
        <w:rPr>
          <w:rFonts w:ascii="新宋体" w:eastAsia="新宋体" w:hAnsi="新宋体" w:hint="eastAsia"/>
          <w:b/>
          <w:color w:val="auto"/>
          <w:sz w:val="21"/>
          <w:szCs w:val="21"/>
        </w:rPr>
        <w:t>十四、产品费用及业绩报酬</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w:t>
      </w:r>
      <w:r w:rsidR="009D61F2">
        <w:rPr>
          <w:rFonts w:ascii="新宋体" w:eastAsia="新宋体" w:hAnsi="新宋体" w:cs="新宋体"/>
          <w:b/>
          <w:bCs/>
          <w:sz w:val="21"/>
          <w:szCs w:val="21"/>
        </w:rPr>
        <w:t>5</w:t>
      </w:r>
      <w:r>
        <w:rPr>
          <w:rFonts w:ascii="新宋体" w:eastAsia="新宋体" w:hAnsi="新宋体" w:cs="新宋体"/>
          <w:b/>
          <w:bCs/>
          <w:sz w:val="21"/>
          <w:szCs w:val="21"/>
        </w:rPr>
        <w:t>0</w:t>
      </w:r>
      <w:r>
        <w:rPr>
          <w:rFonts w:ascii="新宋体" w:eastAsia="新宋体" w:hAnsi="新宋体" w:cs="新宋体" w:hint="eastAsia"/>
          <w:b/>
          <w:bCs/>
          <w:sz w:val="21"/>
          <w:szCs w:val="21"/>
        </w:rPr>
        <w:t>%</w:t>
      </w:r>
      <w:r>
        <w:rPr>
          <w:rFonts w:ascii="新宋体" w:eastAsia="新宋体" w:hAnsi="新宋体" w:cs="新宋体" w:hint="eastAsia"/>
          <w:sz w:val="21"/>
          <w:szCs w:val="21"/>
        </w:rPr>
        <w:t>），托管费</w:t>
      </w:r>
      <w:r>
        <w:rPr>
          <w:rFonts w:ascii="新宋体" w:eastAsia="新宋体" w:hAnsi="新宋体" w:cs="新宋体" w:hint="eastAsia"/>
          <w:b/>
          <w:sz w:val="21"/>
          <w:szCs w:val="21"/>
        </w:rPr>
        <w:t>（年化费率为</w:t>
      </w:r>
      <w:r>
        <w:rPr>
          <w:rFonts w:ascii="新宋体" w:eastAsia="新宋体" w:hAnsi="新宋体" w:cs="新宋体"/>
          <w:b/>
          <w:sz w:val="21"/>
          <w:szCs w:val="21"/>
        </w:rPr>
        <w:t>0.01%</w:t>
      </w:r>
      <w:r>
        <w:rPr>
          <w:rFonts w:ascii="新宋体" w:eastAsia="新宋体" w:hAnsi="新宋体" w:cs="新宋体" w:hint="eastAsia"/>
          <w:b/>
          <w:sz w:val="21"/>
          <w:szCs w:val="21"/>
        </w:rPr>
        <w:t>）</w:t>
      </w:r>
      <w:r>
        <w:rPr>
          <w:rFonts w:ascii="新宋体" w:eastAsia="新宋体" w:hAnsi="新宋体" w:cs="新宋体" w:hint="eastAsia"/>
          <w:sz w:val="21"/>
          <w:szCs w:val="21"/>
        </w:rPr>
        <w:t>、业绩报酬、</w:t>
      </w:r>
      <w:r>
        <w:rPr>
          <w:rFonts w:ascii="新宋体" w:eastAsia="新宋体" w:hAnsi="新宋体" w:hint="eastAsia"/>
          <w:color w:val="auto"/>
          <w:sz w:val="21"/>
          <w:szCs w:val="21"/>
        </w:rPr>
        <w:t>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1.管理人的管理费</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w:t>
      </w:r>
      <w:r w:rsidR="009D61F2">
        <w:rPr>
          <w:rFonts w:ascii="新宋体" w:eastAsia="新宋体" w:hAnsi="新宋体" w:cs="新宋体"/>
          <w:b/>
          <w:bCs/>
          <w:sz w:val="21"/>
          <w:szCs w:val="21"/>
        </w:rPr>
        <w:t>5</w:t>
      </w:r>
      <w:r>
        <w:rPr>
          <w:rFonts w:ascii="新宋体" w:eastAsia="新宋体" w:hAnsi="新宋体" w:cs="新宋体"/>
          <w:b/>
          <w:bCs/>
          <w:sz w:val="21"/>
          <w:szCs w:val="21"/>
        </w:rPr>
        <w:t>0】%</w:t>
      </w:r>
      <w:r>
        <w:rPr>
          <w:rFonts w:ascii="新宋体" w:eastAsia="新宋体" w:hAnsi="新宋体" w:cs="新宋体" w:hint="eastAsia"/>
          <w:sz w:val="21"/>
          <w:szCs w:val="21"/>
        </w:rPr>
        <w:t>年费率计提，由理财管理人收取。以A份额为例，计算方法如下：</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H＝E×0.</w:t>
      </w:r>
      <w:r w:rsidR="009D61F2">
        <w:rPr>
          <w:rFonts w:ascii="新宋体" w:eastAsia="新宋体" w:hAnsi="新宋体" w:cs="宋体"/>
          <w:color w:val="auto"/>
          <w:kern w:val="0"/>
          <w:sz w:val="21"/>
          <w:szCs w:val="21"/>
        </w:rPr>
        <w:t>5</w:t>
      </w:r>
      <w:r>
        <w:rPr>
          <w:rFonts w:ascii="新宋体" w:eastAsia="新宋体" w:hAnsi="新宋体" w:cs="宋体"/>
          <w:color w:val="auto"/>
          <w:kern w:val="0"/>
          <w:sz w:val="21"/>
          <w:szCs w:val="21"/>
        </w:rPr>
        <w:t>0</w:t>
      </w:r>
      <w:r>
        <w:rPr>
          <w:rFonts w:ascii="新宋体" w:eastAsia="新宋体" w:hAnsi="新宋体" w:cs="宋体" w:hint="eastAsia"/>
          <w:color w:val="auto"/>
          <w:kern w:val="0"/>
          <w:sz w:val="21"/>
          <w:szCs w:val="21"/>
        </w:rPr>
        <w:t>%÷365</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H为每日应计提的产品管理费</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新宋体"/>
          <w:sz w:val="21"/>
          <w:szCs w:val="21"/>
        </w:rPr>
      </w:pPr>
      <w:r>
        <w:rPr>
          <w:rFonts w:ascii="新宋体" w:eastAsia="新宋体" w:hAnsi="新宋体" w:cs="新宋体" w:hint="eastAsia"/>
          <w:sz w:val="21"/>
          <w:szCs w:val="21"/>
        </w:rPr>
        <w:t>E为当日本理财计划存续份额</w:t>
      </w:r>
    </w:p>
    <w:p w:rsidR="009C2918" w:rsidRDefault="004B5A89">
      <w:pPr>
        <w:pStyle w:val="a3"/>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当本理财到期资产投资运作收益小于“业绩比较基准”下限时，管理人将</w:t>
      </w:r>
      <w:r>
        <w:rPr>
          <w:rFonts w:ascii="新宋体" w:eastAsia="新宋体" w:hAnsi="新宋体" w:hint="eastAsia"/>
          <w:sz w:val="21"/>
          <w:szCs w:val="21"/>
        </w:rPr>
        <w:t>有权放弃</w:t>
      </w:r>
      <w:r>
        <w:rPr>
          <w:rFonts w:ascii="新宋体" w:eastAsia="新宋体" w:hAnsi="新宋体" w:cs="新宋体" w:hint="eastAsia"/>
          <w:sz w:val="21"/>
          <w:szCs w:val="21"/>
        </w:rPr>
        <w:t>计提的固定管理费，最高为已计提的全部固定管理费。</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2.托管人的托管费</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托管费按</w:t>
      </w:r>
      <w:r>
        <w:rPr>
          <w:rFonts w:ascii="新宋体" w:eastAsia="新宋体" w:hAnsi="新宋体" w:cs="新宋体" w:hint="eastAsia"/>
          <w:sz w:val="21"/>
          <w:szCs w:val="21"/>
        </w:rPr>
        <w:t>当日本理财计划存续份额</w:t>
      </w:r>
      <w:r>
        <w:rPr>
          <w:rFonts w:ascii="新宋体" w:eastAsia="新宋体" w:hAnsi="新宋体" w:cs="宋体" w:hint="eastAsia"/>
          <w:color w:val="auto"/>
          <w:kern w:val="0"/>
          <w:sz w:val="21"/>
          <w:szCs w:val="21"/>
        </w:rPr>
        <w:t>的0.0</w:t>
      </w:r>
      <w:r>
        <w:rPr>
          <w:rFonts w:ascii="新宋体" w:eastAsia="新宋体" w:hAnsi="新宋体" w:cs="宋体"/>
          <w:color w:val="auto"/>
          <w:kern w:val="0"/>
          <w:sz w:val="21"/>
          <w:szCs w:val="21"/>
        </w:rPr>
        <w:t>10</w:t>
      </w:r>
      <w:r>
        <w:rPr>
          <w:rFonts w:ascii="新宋体" w:eastAsia="新宋体" w:hAnsi="新宋体" w:cs="宋体" w:hint="eastAsia"/>
          <w:color w:val="auto"/>
          <w:kern w:val="0"/>
          <w:sz w:val="21"/>
          <w:szCs w:val="21"/>
        </w:rPr>
        <w:t>%年费率计提，由理财托管人收取。计算方法：</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H＝E×0.0</w:t>
      </w:r>
      <w:r>
        <w:rPr>
          <w:rFonts w:ascii="新宋体" w:eastAsia="新宋体" w:hAnsi="新宋体" w:cs="宋体"/>
          <w:color w:val="auto"/>
          <w:kern w:val="0"/>
          <w:sz w:val="21"/>
          <w:szCs w:val="21"/>
        </w:rPr>
        <w:t>10</w:t>
      </w:r>
      <w:r>
        <w:rPr>
          <w:rFonts w:ascii="新宋体" w:eastAsia="新宋体" w:hAnsi="新宋体" w:cs="宋体" w:hint="eastAsia"/>
          <w:color w:val="auto"/>
          <w:kern w:val="0"/>
          <w:sz w:val="21"/>
          <w:szCs w:val="21"/>
        </w:rPr>
        <w:t>%÷365</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H为每日应计提的产品托管费</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新宋体"/>
          <w:sz w:val="21"/>
          <w:szCs w:val="21"/>
        </w:rPr>
      </w:pPr>
      <w:r>
        <w:rPr>
          <w:rFonts w:ascii="新宋体" w:eastAsia="新宋体" w:hAnsi="新宋体" w:cs="新宋体" w:hint="eastAsia"/>
          <w:sz w:val="21"/>
          <w:szCs w:val="21"/>
        </w:rPr>
        <w:t>E为当日本理财计划存续份额</w:t>
      </w:r>
    </w:p>
    <w:p w:rsidR="009C2918" w:rsidRDefault="004B5A89">
      <w:pPr>
        <w:autoSpaceDE w:val="0"/>
        <w:autoSpaceDN w:val="0"/>
        <w:adjustRightInd w:val="0"/>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color w:val="auto"/>
          <w:kern w:val="0"/>
          <w:sz w:val="21"/>
          <w:szCs w:val="21"/>
        </w:rPr>
        <w:t>3</w:t>
      </w:r>
      <w:r>
        <w:rPr>
          <w:rFonts w:ascii="新宋体" w:eastAsia="新宋体" w:hAnsi="新宋体" w:cs="宋体" w:hint="eastAsia"/>
          <w:color w:val="auto"/>
          <w:kern w:val="0"/>
          <w:sz w:val="21"/>
          <w:szCs w:val="21"/>
        </w:rPr>
        <w:t>.业绩报酬</w:t>
      </w:r>
    </w:p>
    <w:p w:rsidR="009C2918" w:rsidRDefault="004B5A89">
      <w:pPr>
        <w:snapToGrid w:val="0"/>
        <w:spacing w:line="360" w:lineRule="auto"/>
        <w:ind w:firstLineChars="196" w:firstLine="413"/>
        <w:jc w:val="left"/>
        <w:rPr>
          <w:rFonts w:ascii="新宋体" w:eastAsia="新宋体" w:hAnsi="新宋体" w:cs="宋体"/>
          <w:b/>
          <w:color w:val="auto"/>
          <w:kern w:val="0"/>
          <w:sz w:val="21"/>
          <w:szCs w:val="21"/>
        </w:rPr>
      </w:pPr>
      <w:r>
        <w:rPr>
          <w:rFonts w:ascii="新宋体" w:eastAsia="新宋体" w:hAnsi="新宋体" w:cs="宋体" w:hint="eastAsia"/>
          <w:b/>
          <w:color w:val="auto"/>
          <w:kern w:val="0"/>
          <w:sz w:val="21"/>
          <w:szCs w:val="21"/>
        </w:rPr>
        <w:t>在扣除本产品说明书约定的应由本理财产品承担的费用包括但不限于管理费、托管费、销售服务费等费用后，本理财计划项下资产组合收益超出本理财计划业绩比较基准</w:t>
      </w:r>
      <w:r>
        <w:rPr>
          <w:rFonts w:ascii="新宋体" w:eastAsia="新宋体" w:hAnsi="新宋体" w:hint="eastAsia"/>
          <w:b/>
          <w:color w:val="auto"/>
          <w:sz w:val="21"/>
          <w:szCs w:val="21"/>
        </w:rPr>
        <w:t>（</w:t>
      </w:r>
      <w:r>
        <w:rPr>
          <w:rFonts w:ascii="新宋体" w:eastAsia="新宋体" w:hAnsi="新宋体"/>
          <w:b/>
          <w:color w:val="auto"/>
          <w:sz w:val="21"/>
          <w:szCs w:val="21"/>
        </w:rPr>
        <w:t>A份额</w:t>
      </w:r>
      <w:r w:rsidR="00B328C7">
        <w:rPr>
          <w:rFonts w:ascii="新宋体" w:eastAsia="新宋体" w:hAnsi="新宋体"/>
          <w:b/>
          <w:color w:val="auto"/>
          <w:sz w:val="21"/>
          <w:szCs w:val="21"/>
        </w:rPr>
        <w:t>2.10%-2.40%</w:t>
      </w:r>
      <w:r>
        <w:rPr>
          <w:rFonts w:ascii="新宋体" w:eastAsia="新宋体" w:hAnsi="新宋体"/>
          <w:b/>
          <w:color w:val="auto"/>
          <w:sz w:val="21"/>
          <w:szCs w:val="21"/>
        </w:rPr>
        <w:t>，实际以最新调整公告为准）</w:t>
      </w:r>
      <w:r w:rsidR="00F70984">
        <w:rPr>
          <w:rFonts w:ascii="新宋体" w:eastAsia="新宋体" w:hAnsi="新宋体" w:hint="eastAsia"/>
          <w:b/>
          <w:color w:val="auto"/>
          <w:sz w:val="21"/>
          <w:szCs w:val="21"/>
        </w:rPr>
        <w:t>上限</w:t>
      </w:r>
      <w:r>
        <w:rPr>
          <w:rFonts w:ascii="新宋体" w:eastAsia="新宋体" w:hAnsi="新宋体" w:cs="宋体" w:hint="eastAsia"/>
          <w:b/>
          <w:color w:val="auto"/>
          <w:kern w:val="0"/>
          <w:sz w:val="21"/>
          <w:szCs w:val="21"/>
        </w:rPr>
        <w:t>部分的</w:t>
      </w:r>
      <w:r>
        <w:rPr>
          <w:rFonts w:ascii="新宋体" w:eastAsia="新宋体" w:hAnsi="新宋体" w:cs="宋体"/>
          <w:b/>
          <w:color w:val="auto"/>
          <w:kern w:val="0"/>
          <w:sz w:val="21"/>
          <w:szCs w:val="21"/>
        </w:rPr>
        <w:t>10</w:t>
      </w:r>
      <w:r>
        <w:rPr>
          <w:rFonts w:ascii="新宋体" w:eastAsia="新宋体" w:hAnsi="新宋体" w:cs="宋体" w:hint="eastAsia"/>
          <w:b/>
          <w:color w:val="auto"/>
          <w:kern w:val="0"/>
          <w:sz w:val="21"/>
          <w:szCs w:val="21"/>
        </w:rPr>
        <w:t>0%</w:t>
      </w:r>
      <w:r>
        <w:rPr>
          <w:rFonts w:ascii="新宋体" w:eastAsia="新宋体" w:hAnsi="新宋体" w:cs="宋体"/>
          <w:b/>
          <w:color w:val="auto"/>
          <w:kern w:val="0"/>
          <w:sz w:val="21"/>
          <w:szCs w:val="21"/>
        </w:rPr>
        <w:t>归于</w:t>
      </w:r>
      <w:r>
        <w:rPr>
          <w:rFonts w:ascii="新宋体" w:eastAsia="新宋体" w:hAnsi="新宋体" w:cs="宋体" w:hint="eastAsia"/>
          <w:b/>
          <w:color w:val="auto"/>
          <w:kern w:val="0"/>
          <w:sz w:val="21"/>
          <w:szCs w:val="21"/>
        </w:rPr>
        <w:t>管理人</w:t>
      </w:r>
      <w:r>
        <w:rPr>
          <w:rFonts w:ascii="新宋体" w:eastAsia="新宋体" w:hAnsi="新宋体" w:cs="宋体"/>
          <w:b/>
          <w:color w:val="auto"/>
          <w:kern w:val="0"/>
          <w:sz w:val="21"/>
          <w:szCs w:val="21"/>
        </w:rPr>
        <w:t>。</w:t>
      </w:r>
      <w:r>
        <w:rPr>
          <w:rFonts w:ascii="新宋体" w:eastAsia="新宋体" w:hAnsi="新宋体" w:hint="eastAsia"/>
          <w:b/>
          <w:sz w:val="21"/>
          <w:szCs w:val="21"/>
        </w:rPr>
        <w:t>每日计提的业绩报酬仅作为暂估数据，用于理财产品会计核算和估值日估值。仅以理财产品确认日（或产品实际到期日）当天确认计提的业绩报酬作为业绩报酬的结算依据。</w:t>
      </w:r>
      <w:r>
        <w:rPr>
          <w:rFonts w:ascii="新宋体" w:eastAsia="新宋体" w:hAnsi="新宋体" w:hint="eastAsia"/>
          <w:b/>
          <w:color w:val="auto"/>
          <w:sz w:val="21"/>
          <w:szCs w:val="21"/>
        </w:rPr>
        <w:t>业绩基准并不代表产品实际投资收益。</w:t>
      </w:r>
    </w:p>
    <w:p w:rsidR="009C2918" w:rsidRDefault="004B5A89">
      <w:pPr>
        <w:snapToGrid w:val="0"/>
        <w:spacing w:line="360" w:lineRule="auto"/>
        <w:ind w:firstLineChars="196" w:firstLine="413"/>
        <w:jc w:val="left"/>
        <w:rPr>
          <w:rFonts w:ascii="新宋体" w:eastAsia="新宋体" w:hAnsi="新宋体"/>
          <w:b/>
          <w:color w:val="auto"/>
          <w:sz w:val="21"/>
          <w:szCs w:val="21"/>
        </w:rPr>
      </w:pPr>
      <w:r>
        <w:rPr>
          <w:rFonts w:ascii="新宋体" w:eastAsia="新宋体" w:hAnsi="新宋体" w:hint="eastAsia"/>
          <w:b/>
          <w:color w:val="auto"/>
          <w:sz w:val="21"/>
          <w:szCs w:val="21"/>
        </w:rPr>
        <w:t>青银理财有权根据相关法律和国家政策的规定，对本理财计划的收费项目、条件、标准和方式进行调整。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C2918" w:rsidRDefault="004B5A89">
      <w:pPr>
        <w:snapToGrid w:val="0"/>
        <w:spacing w:line="360" w:lineRule="auto"/>
        <w:ind w:firstLineChars="200" w:firstLine="422"/>
        <w:jc w:val="left"/>
        <w:rPr>
          <w:rFonts w:ascii="新宋体" w:eastAsia="新宋体" w:hAnsi="新宋体"/>
          <w:b/>
          <w:color w:val="auto"/>
          <w:sz w:val="21"/>
          <w:szCs w:val="21"/>
        </w:rPr>
      </w:pPr>
      <w:r>
        <w:rPr>
          <w:rFonts w:ascii="新宋体" w:eastAsia="新宋体" w:hAnsi="新宋体" w:hint="eastAsia"/>
          <w:b/>
          <w:color w:val="auto"/>
          <w:sz w:val="21"/>
          <w:szCs w:val="21"/>
        </w:rPr>
        <w:t>十五、产品终止</w:t>
      </w:r>
    </w:p>
    <w:p w:rsidR="009C2918" w:rsidRDefault="004B5A89">
      <w:pPr>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如本理财计划到期</w:t>
      </w:r>
      <w:r>
        <w:rPr>
          <w:rFonts w:ascii="新宋体" w:eastAsia="新宋体" w:hAnsi="新宋体" w:cs="宋体"/>
          <w:color w:val="auto"/>
          <w:kern w:val="0"/>
          <w:sz w:val="21"/>
          <w:szCs w:val="21"/>
        </w:rPr>
        <w:t>(包括提前终止到期和延期终止到期)，青银理财将在产品到期日起5个工作日内在青银理财网站或青银理财认为适当的其他方式公告本理财产品的到期情况。青银理财将投资者的到期兑付资金（如有，下同）于到期日（遇非工作日顺延到下一工作日）后2个工作日内划转至投资者指定账户中，该兑付资金在产品到期日至兑付资金到账日期间不计付利息。产品到期日当天暂停交易。</w:t>
      </w:r>
    </w:p>
    <w:p w:rsidR="009C2918" w:rsidRDefault="004B5A89">
      <w:pPr>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在理财产品投资运作期间内，投资者无权要求提前终止该理财产品；管理人有权按照监管要求或实际投资情况终止本理财产品。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t>
      </w:r>
      <w:r>
        <w:rPr>
          <w:rFonts w:ascii="新宋体" w:eastAsia="新宋体" w:hAnsi="新宋体" w:cs="宋体"/>
          <w:color w:val="auto"/>
          <w:kern w:val="0"/>
          <w:sz w:val="21"/>
          <w:szCs w:val="21"/>
        </w:rPr>
        <w:t>www.bqd-wm.com）或青银理财认为适当的其他方式进行公告。提前终止日后将投资者理财资金及理财收益（如有）划入投资者理财账户。提前终止日（含当日）至资金实际到账日之间，</w:t>
      </w:r>
      <w:r>
        <w:rPr>
          <w:rFonts w:ascii="新宋体" w:eastAsia="新宋体" w:hAnsi="新宋体" w:cs="宋体" w:hint="eastAsia"/>
          <w:color w:val="auto"/>
          <w:kern w:val="0"/>
          <w:sz w:val="21"/>
          <w:szCs w:val="21"/>
        </w:rPr>
        <w:t>投资者资金不计息。</w:t>
      </w:r>
    </w:p>
    <w:p w:rsidR="009C2918" w:rsidRDefault="004B5A89">
      <w:pPr>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hint="eastAsia"/>
          <w:color w:val="auto"/>
          <w:kern w:val="0"/>
          <w:sz w:val="21"/>
          <w:szCs w:val="21"/>
        </w:rPr>
        <w:t>如出现如下情况，理财管理人有权延期终止本理财产品：</w:t>
      </w:r>
    </w:p>
    <w:p w:rsidR="009C2918" w:rsidRDefault="004B5A89">
      <w:pPr>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color w:val="auto"/>
          <w:kern w:val="0"/>
          <w:sz w:val="21"/>
          <w:szCs w:val="21"/>
        </w:rPr>
        <w:t>1.产品到期日遇非工作日顺延，投资期限将相应调整；</w:t>
      </w:r>
    </w:p>
    <w:p w:rsidR="009C2918" w:rsidRDefault="004B5A89">
      <w:pPr>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color w:val="auto"/>
          <w:kern w:val="0"/>
          <w:sz w:val="21"/>
          <w:szCs w:val="21"/>
        </w:rPr>
        <w:t>2.预计在本产品到期日，本理财计划所投资的资产因市场风险、信用风险以及其他原因（包括但不限于资产限制赎回、暂停交易、缺乏交易对手）无法全部变现；</w:t>
      </w:r>
    </w:p>
    <w:p w:rsidR="009C2918" w:rsidRDefault="004B5A89">
      <w:pPr>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color w:val="auto"/>
          <w:kern w:val="0"/>
          <w:sz w:val="21"/>
          <w:szCs w:val="21"/>
        </w:rPr>
        <w:t>3.本产品涉及诉讼或仲裁，且预计诉讼或仲裁及执行程序在本产品到期日尚未终结；</w:t>
      </w:r>
    </w:p>
    <w:p w:rsidR="009C2918" w:rsidRDefault="004B5A89">
      <w:pPr>
        <w:snapToGrid w:val="0"/>
        <w:spacing w:line="360" w:lineRule="auto"/>
        <w:ind w:firstLineChars="200" w:firstLine="420"/>
        <w:jc w:val="left"/>
        <w:rPr>
          <w:rFonts w:ascii="新宋体" w:eastAsia="新宋体" w:hAnsi="新宋体" w:cs="宋体"/>
          <w:color w:val="auto"/>
          <w:kern w:val="0"/>
          <w:sz w:val="21"/>
          <w:szCs w:val="21"/>
        </w:rPr>
      </w:pPr>
      <w:r>
        <w:rPr>
          <w:rFonts w:ascii="新宋体" w:eastAsia="新宋体" w:hAnsi="新宋体" w:cs="宋体"/>
          <w:color w:val="auto"/>
          <w:kern w:val="0"/>
          <w:sz w:val="21"/>
          <w:szCs w:val="21"/>
        </w:rPr>
        <w:t>4.法律法规规定的或管理人根据实际情况合理判断有必要延期的其他情形。</w:t>
      </w:r>
    </w:p>
    <w:p w:rsidR="009C2918" w:rsidRDefault="004B5A89">
      <w:pPr>
        <w:spacing w:line="360" w:lineRule="auto"/>
        <w:ind w:firstLineChars="200" w:firstLine="420"/>
        <w:rPr>
          <w:rFonts w:ascii="新宋体" w:eastAsia="新宋体" w:hAnsi="新宋体"/>
          <w:b/>
          <w:sz w:val="21"/>
          <w:szCs w:val="21"/>
        </w:rPr>
      </w:pPr>
      <w:r>
        <w:rPr>
          <w:rFonts w:ascii="新宋体" w:eastAsia="新宋体" w:hAnsi="新宋体" w:cs="宋体" w:hint="eastAsia"/>
          <w:color w:val="auto"/>
          <w:kern w:val="0"/>
          <w:sz w:val="21"/>
          <w:szCs w:val="21"/>
        </w:rPr>
        <w:t>当青银理财决定延期终止本产品时，将在延期终止日前两个工作日通过青银理财官方网站（</w:t>
      </w:r>
      <w:r>
        <w:rPr>
          <w:rFonts w:ascii="新宋体" w:eastAsia="新宋体" w:hAnsi="新宋体" w:cs="宋体"/>
          <w:color w:val="auto"/>
          <w:kern w:val="0"/>
          <w:sz w:val="21"/>
          <w:szCs w:val="21"/>
        </w:rPr>
        <w:t>www.bqd-wm.com）或青银理财认为适当的其他方式进行公告。延期终止日后将投资者理财资金及理财收益（如有）划入投资者理财账户。延期终止日（含当日）至资金实际到账日之间，投资者资金不计息。</w:t>
      </w:r>
    </w:p>
    <w:p w:rsidR="009C2918" w:rsidRDefault="004B5A89">
      <w:pPr>
        <w:spacing w:line="360" w:lineRule="auto"/>
        <w:ind w:left="397"/>
        <w:rPr>
          <w:rFonts w:ascii="新宋体" w:eastAsia="新宋体" w:hAnsi="新宋体"/>
          <w:b/>
          <w:sz w:val="21"/>
          <w:szCs w:val="21"/>
        </w:rPr>
      </w:pPr>
      <w:r>
        <w:rPr>
          <w:rFonts w:ascii="新宋体" w:eastAsia="新宋体" w:hAnsi="新宋体" w:hint="eastAsia"/>
          <w:b/>
          <w:sz w:val="21"/>
          <w:szCs w:val="21"/>
        </w:rPr>
        <w:t>十六、信息披露</w:t>
      </w:r>
    </w:p>
    <w:p w:rsidR="009C2918" w:rsidRDefault="004B5A89">
      <w:pPr>
        <w:spacing w:line="360" w:lineRule="auto"/>
        <w:ind w:firstLineChars="200" w:firstLine="422"/>
        <w:rPr>
          <w:rFonts w:ascii="新宋体" w:eastAsia="新宋体" w:hAnsi="新宋体"/>
          <w:b/>
          <w:sz w:val="21"/>
          <w:szCs w:val="21"/>
        </w:rPr>
      </w:pPr>
      <w:r>
        <w:rPr>
          <w:rFonts w:ascii="新宋体" w:eastAsia="新宋体" w:hAnsi="新宋体"/>
          <w:b/>
          <w:sz w:val="21"/>
          <w:szCs w:val="21"/>
        </w:rPr>
        <w:t>1.信息披露渠道</w:t>
      </w:r>
    </w:p>
    <w:p w:rsidR="009C2918" w:rsidRDefault="004B5A89">
      <w:pPr>
        <w:spacing w:line="360" w:lineRule="auto"/>
        <w:ind w:firstLineChars="200" w:firstLine="422"/>
        <w:rPr>
          <w:rFonts w:ascii="新宋体" w:eastAsia="新宋体" w:hAnsi="新宋体"/>
          <w:b/>
          <w:sz w:val="21"/>
          <w:szCs w:val="21"/>
        </w:rPr>
      </w:pPr>
      <w:r>
        <w:rPr>
          <w:rFonts w:ascii="新宋体" w:eastAsia="新宋体" w:hAnsi="新宋体" w:hint="eastAsia"/>
          <w:b/>
          <w:sz w:val="21"/>
          <w:szCs w:val="21"/>
        </w:rPr>
        <w:t>本理财计划信息将通过产品管理人官方网站（</w:t>
      </w:r>
      <w:r>
        <w:rPr>
          <w:rFonts w:ascii="新宋体" w:eastAsia="新宋体" w:hAnsi="新宋体"/>
          <w:b/>
          <w:sz w:val="21"/>
          <w:szCs w:val="21"/>
        </w:rPr>
        <w:t>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如果投资者未及时查询，或由于通讯故障、非青银理财的系统故障以及其他不可抗力等因素的影响使得投资者无法及时了解产品信息，因此而产生的（包括但不限于因未及时获知信息而错过资金使用和再投资的机会等</w:t>
      </w:r>
      <w:r>
        <w:rPr>
          <w:rFonts w:ascii="新宋体" w:eastAsia="新宋体" w:hAnsi="新宋体" w:hint="eastAsia"/>
          <w:b/>
          <w:sz w:val="21"/>
          <w:szCs w:val="21"/>
        </w:rPr>
        <w:t>）责任和风险，不由青银理财方承担。</w:t>
      </w:r>
    </w:p>
    <w:p w:rsidR="009C2918" w:rsidRDefault="004B5A89">
      <w:pPr>
        <w:spacing w:line="360" w:lineRule="auto"/>
        <w:ind w:firstLineChars="200" w:firstLine="422"/>
        <w:rPr>
          <w:rFonts w:ascii="新宋体" w:eastAsia="新宋体" w:hAnsi="新宋体"/>
          <w:b/>
          <w:sz w:val="21"/>
          <w:szCs w:val="21"/>
        </w:rPr>
      </w:pPr>
      <w:r>
        <w:rPr>
          <w:rFonts w:ascii="新宋体" w:eastAsia="新宋体" w:hAnsi="新宋体"/>
          <w:b/>
          <w:sz w:val="21"/>
          <w:szCs w:val="21"/>
        </w:rPr>
        <w:t>2</w:t>
      </w:r>
      <w:r>
        <w:rPr>
          <w:rFonts w:ascii="新宋体" w:eastAsia="新宋体" w:hAnsi="新宋体" w:hint="eastAsia"/>
          <w:b/>
          <w:sz w:val="21"/>
          <w:szCs w:val="21"/>
        </w:rPr>
        <w:t>.理财产品运作信息披露</w:t>
      </w:r>
    </w:p>
    <w:p w:rsidR="009C2918" w:rsidRDefault="004B5A89">
      <w:pPr>
        <w:snapToGrid w:val="0"/>
        <w:spacing w:line="360" w:lineRule="auto"/>
        <w:ind w:firstLineChars="200" w:firstLine="422"/>
        <w:jc w:val="left"/>
        <w:rPr>
          <w:rFonts w:ascii="新宋体" w:eastAsia="新宋体" w:hAnsi="新宋体"/>
          <w:b/>
          <w:sz w:val="21"/>
          <w:szCs w:val="21"/>
        </w:rPr>
      </w:pPr>
      <w:r>
        <w:rPr>
          <w:rFonts w:ascii="新宋体" w:eastAsia="新宋体" w:hAnsi="新宋体" w:hint="eastAsia"/>
          <w:b/>
          <w:sz w:val="21"/>
          <w:szCs w:val="21"/>
        </w:rPr>
        <w:t>发行公告：本产品成立后5个工作日内，披露本产品成立公告，包括理财产品成立日期和募集规模等信息。</w:t>
      </w:r>
    </w:p>
    <w:p w:rsidR="009C2918" w:rsidRDefault="004B5A89">
      <w:pPr>
        <w:snapToGrid w:val="0"/>
        <w:spacing w:line="360" w:lineRule="auto"/>
        <w:ind w:firstLineChars="200" w:firstLine="422"/>
        <w:jc w:val="left"/>
        <w:rPr>
          <w:rFonts w:ascii="新宋体" w:eastAsia="新宋体" w:hAnsi="新宋体"/>
          <w:b/>
          <w:sz w:val="21"/>
          <w:szCs w:val="21"/>
        </w:rPr>
      </w:pPr>
      <w:r>
        <w:rPr>
          <w:rFonts w:ascii="新宋体" w:eastAsia="新宋体" w:hAnsi="新宋体" w:hint="eastAsia"/>
          <w:b/>
          <w:sz w:val="21"/>
          <w:szCs w:val="21"/>
        </w:rPr>
        <w:t>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rsidR="009C2918" w:rsidRDefault="004B5A89">
      <w:pPr>
        <w:snapToGrid w:val="0"/>
        <w:spacing w:line="360" w:lineRule="auto"/>
        <w:ind w:firstLineChars="200" w:firstLine="422"/>
        <w:jc w:val="left"/>
        <w:rPr>
          <w:rFonts w:ascii="新宋体" w:eastAsia="新宋体" w:hAnsi="新宋体"/>
          <w:b/>
          <w:sz w:val="21"/>
          <w:szCs w:val="21"/>
        </w:rPr>
      </w:pPr>
      <w:r>
        <w:rPr>
          <w:rFonts w:ascii="新宋体" w:eastAsia="新宋体" w:hAnsi="新宋体" w:hint="eastAsia"/>
          <w:b/>
          <w:sz w:val="21"/>
          <w:szCs w:val="21"/>
        </w:rPr>
        <w:t>到期公告：本产品在终止后5个工作日内，披露本产品到期公告，包括理财产品的存续期限、终止日期、收费情况和收益分配情况等信息。</w:t>
      </w:r>
    </w:p>
    <w:p w:rsidR="009C2918" w:rsidRDefault="004B5A89">
      <w:pPr>
        <w:snapToGrid w:val="0"/>
        <w:spacing w:line="360" w:lineRule="auto"/>
        <w:ind w:left="397"/>
        <w:jc w:val="left"/>
        <w:rPr>
          <w:rFonts w:ascii="新宋体" w:eastAsia="新宋体" w:hAnsi="新宋体"/>
          <w:b/>
          <w:sz w:val="21"/>
          <w:szCs w:val="21"/>
        </w:rPr>
      </w:pPr>
      <w:r>
        <w:rPr>
          <w:rFonts w:ascii="新宋体" w:eastAsia="新宋体" w:hAnsi="新宋体" w:hint="eastAsia"/>
          <w:b/>
          <w:sz w:val="21"/>
          <w:szCs w:val="21"/>
        </w:rPr>
        <w:t>净值公告：本产品每日公布一次产品净值，建仓期除外，遇节假日顺延。</w:t>
      </w:r>
    </w:p>
    <w:p w:rsidR="009C2918" w:rsidRDefault="004B5A89">
      <w:pPr>
        <w:snapToGrid w:val="0"/>
        <w:spacing w:line="360" w:lineRule="auto"/>
        <w:ind w:firstLineChars="200" w:firstLine="422"/>
        <w:jc w:val="left"/>
        <w:rPr>
          <w:rFonts w:ascii="新宋体" w:eastAsia="新宋体" w:hAnsi="新宋体"/>
          <w:b/>
          <w:sz w:val="21"/>
          <w:szCs w:val="21"/>
        </w:rPr>
      </w:pPr>
      <w:r>
        <w:rPr>
          <w:rFonts w:ascii="新宋体" w:eastAsia="新宋体" w:hAnsi="新宋体" w:hint="eastAsia"/>
          <w:b/>
          <w:sz w:val="21"/>
          <w:szCs w:val="21"/>
        </w:rPr>
        <w:t>临时公告：理财产品在运作管理过程中，发生可能对理财产品投资者权益产生影响的事项时，管理人将根据法律法规规定及时进行临时信息披露。</w:t>
      </w:r>
    </w:p>
    <w:p w:rsidR="009C2918" w:rsidRDefault="004B5A89">
      <w:pPr>
        <w:snapToGrid w:val="0"/>
        <w:spacing w:line="360" w:lineRule="auto"/>
        <w:ind w:firstLineChars="200" w:firstLine="422"/>
        <w:jc w:val="left"/>
        <w:rPr>
          <w:rFonts w:ascii="新宋体" w:eastAsia="新宋体" w:hAnsi="新宋体"/>
          <w:b/>
          <w:sz w:val="21"/>
          <w:szCs w:val="21"/>
        </w:rPr>
      </w:pPr>
      <w:r>
        <w:rPr>
          <w:rFonts w:ascii="新宋体" w:eastAsia="新宋体" w:hAnsi="新宋体"/>
          <w:b/>
          <w:sz w:val="21"/>
          <w:szCs w:val="21"/>
        </w:rPr>
        <w:t>3</w:t>
      </w:r>
      <w:r>
        <w:rPr>
          <w:rFonts w:ascii="新宋体" w:eastAsia="新宋体" w:hAnsi="新宋体" w:hint="eastAsia"/>
          <w:b/>
          <w:sz w:val="21"/>
          <w:szCs w:val="21"/>
        </w:rPr>
        <w:t>.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C2918" w:rsidRDefault="004B5A89">
      <w:pPr>
        <w:spacing w:line="360" w:lineRule="auto"/>
        <w:ind w:firstLineChars="200" w:firstLine="422"/>
        <w:rPr>
          <w:rFonts w:ascii="新宋体" w:eastAsia="新宋体" w:hAnsi="新宋体"/>
          <w:b/>
          <w:sz w:val="21"/>
          <w:szCs w:val="21"/>
        </w:rPr>
      </w:pPr>
      <w:r>
        <w:rPr>
          <w:rFonts w:ascii="新宋体" w:eastAsia="新宋体" w:hAnsi="新宋体"/>
          <w:b/>
          <w:sz w:val="21"/>
          <w:szCs w:val="21"/>
        </w:rPr>
        <w:t>4.青银理财认为对理财运作或者客户权益有重大影响而需要公布的重要信息，将以公告形式予以通知发布，同时可视情况辅以其它一种或多种方式发布信息，如短信、电话、网点公告等。如投资者不接受重要信息中所述的调整（如有），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C2918" w:rsidRDefault="004B5A89">
      <w:pPr>
        <w:spacing w:line="360" w:lineRule="auto"/>
        <w:ind w:left="397"/>
        <w:rPr>
          <w:rFonts w:ascii="新宋体" w:eastAsia="新宋体" w:hAnsi="新宋体"/>
          <w:b/>
          <w:sz w:val="21"/>
          <w:szCs w:val="21"/>
        </w:rPr>
      </w:pPr>
      <w:r>
        <w:rPr>
          <w:rFonts w:ascii="新宋体" w:eastAsia="新宋体" w:hAnsi="新宋体" w:hint="eastAsia"/>
          <w:b/>
          <w:sz w:val="21"/>
          <w:szCs w:val="21"/>
        </w:rPr>
        <w:t>十七、重要提示</w:t>
      </w:r>
    </w:p>
    <w:p w:rsidR="009C2918" w:rsidRDefault="004B5A89">
      <w:pPr>
        <w:spacing w:line="360" w:lineRule="auto"/>
        <w:ind w:firstLineChars="200" w:firstLine="422"/>
        <w:rPr>
          <w:rFonts w:ascii="新宋体" w:eastAsia="新宋体" w:hAnsi="新宋体"/>
          <w:b/>
          <w:sz w:val="21"/>
          <w:szCs w:val="21"/>
        </w:rPr>
      </w:pPr>
      <w:r>
        <w:rPr>
          <w:rFonts w:ascii="新宋体" w:eastAsia="新宋体" w:hAnsi="新宋体"/>
          <w:b/>
          <w:sz w:val="21"/>
          <w:szCs w:val="21"/>
        </w:rPr>
        <w:t>1.请投资者购买本理财计划前一定仔细阅读本理财计划销售文件，包括但不限于：本理财计划对应的理财计划协议书、投资协议书、理财计划说明书、风险揭示书、投资者权益须知等，了解理财计划具体情况，关注投资风险，自主决定是否投资。</w:t>
      </w:r>
    </w:p>
    <w:p w:rsidR="009C2918" w:rsidRDefault="004B5A89">
      <w:pPr>
        <w:spacing w:line="360" w:lineRule="auto"/>
        <w:ind w:firstLineChars="200" w:firstLine="422"/>
        <w:rPr>
          <w:rFonts w:ascii="新宋体" w:eastAsia="新宋体" w:hAnsi="新宋体"/>
          <w:b/>
          <w:sz w:val="21"/>
          <w:szCs w:val="21"/>
        </w:rPr>
      </w:pPr>
      <w:r>
        <w:rPr>
          <w:rFonts w:ascii="新宋体" w:eastAsia="新宋体" w:hAnsi="新宋体" w:hint="eastAsia"/>
          <w:b/>
          <w:sz w:val="21"/>
          <w:szCs w:val="21"/>
        </w:rPr>
        <w:t>2.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rsidR="009C2918" w:rsidRDefault="004B5A89">
      <w:pPr>
        <w:spacing w:line="360" w:lineRule="auto"/>
        <w:ind w:firstLineChars="200" w:firstLine="422"/>
        <w:rPr>
          <w:rFonts w:ascii="新宋体" w:eastAsia="新宋体" w:hAnsi="新宋体"/>
          <w:sz w:val="21"/>
          <w:szCs w:val="21"/>
        </w:rPr>
      </w:pPr>
      <w:r>
        <w:rPr>
          <w:rFonts w:ascii="新宋体" w:eastAsia="新宋体" w:hAnsi="新宋体" w:hint="eastAsia"/>
          <w:b/>
          <w:sz w:val="21"/>
          <w:szCs w:val="21"/>
        </w:rPr>
        <w:t>3.本理财计划说明书在法律许可的范围内由管理人负责解释。如投资者对本理财产品说明书内容有任何异议或意见，请向青银理财机构及各销售渠道进行咨询。青银理财客服热线</w:t>
      </w:r>
      <w:r>
        <w:rPr>
          <w:rFonts w:ascii="新宋体" w:eastAsia="新宋体" w:hAnsi="新宋体"/>
          <w:b/>
          <w:sz w:val="21"/>
          <w:szCs w:val="21"/>
        </w:rPr>
        <w:t>4000879666。</w:t>
      </w:r>
    </w:p>
    <w:p w:rsidR="009C2918" w:rsidRDefault="009C2918">
      <w:pPr>
        <w:snapToGrid w:val="0"/>
        <w:spacing w:line="360" w:lineRule="auto"/>
        <w:ind w:firstLineChars="200" w:firstLine="422"/>
        <w:jc w:val="left"/>
        <w:rPr>
          <w:rFonts w:ascii="新宋体" w:eastAsia="新宋体" w:hAnsi="新宋体"/>
          <w:b/>
          <w:color w:val="auto"/>
          <w:sz w:val="21"/>
          <w:szCs w:val="21"/>
        </w:rPr>
      </w:pPr>
    </w:p>
    <w:p w:rsidR="009C2918" w:rsidRDefault="009C2918"/>
    <w:p w:rsidR="009C2918" w:rsidRDefault="009C2918"/>
    <w:sectPr w:rsidR="009C29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95C" w:rsidRDefault="0082195C" w:rsidP="00385F38">
      <w:r>
        <w:separator/>
      </w:r>
    </w:p>
  </w:endnote>
  <w:endnote w:type="continuationSeparator" w:id="0">
    <w:p w:rsidR="0082195C" w:rsidRDefault="0082195C" w:rsidP="0038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95C" w:rsidRDefault="0082195C" w:rsidP="00385F38">
      <w:r>
        <w:separator/>
      </w:r>
    </w:p>
  </w:footnote>
  <w:footnote w:type="continuationSeparator" w:id="0">
    <w:p w:rsidR="0082195C" w:rsidRDefault="0082195C" w:rsidP="00385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B38EB"/>
    <w:multiLevelType w:val="multilevel"/>
    <w:tmpl w:val="6ACB38EB"/>
    <w:lvl w:ilvl="0">
      <w:start w:val="8"/>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30B55"/>
    <w:rsid w:val="002012C8"/>
    <w:rsid w:val="00385F38"/>
    <w:rsid w:val="004B5A89"/>
    <w:rsid w:val="005E4B2E"/>
    <w:rsid w:val="006B6EB5"/>
    <w:rsid w:val="006E2C8D"/>
    <w:rsid w:val="0082195C"/>
    <w:rsid w:val="00922C45"/>
    <w:rsid w:val="009C2918"/>
    <w:rsid w:val="009D61F2"/>
    <w:rsid w:val="00B328C7"/>
    <w:rsid w:val="00B55DB5"/>
    <w:rsid w:val="00C64268"/>
    <w:rsid w:val="00D10CFA"/>
    <w:rsid w:val="00E57CA9"/>
    <w:rsid w:val="00F42149"/>
    <w:rsid w:val="00F70984"/>
    <w:rsid w:val="00FD0C09"/>
    <w:rsid w:val="12A30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F3EC0F-F729-48E6-AA95-58A63F40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微软雅黑" w:eastAsia="微软雅黑" w:hAnsi="微软雅黑" w:cs="Times New Roman"/>
      <w:color w:val="000000"/>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color w:val="auto"/>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4">
    <w:name w:val="header"/>
    <w:basedOn w:val="a"/>
    <w:link w:val="a5"/>
    <w:rsid w:val="00385F3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85F38"/>
    <w:rPr>
      <w:rFonts w:ascii="微软雅黑" w:eastAsia="微软雅黑" w:hAnsi="微软雅黑" w:cs="Times New Roman"/>
      <w:color w:val="000000"/>
      <w:kern w:val="2"/>
      <w:sz w:val="18"/>
      <w:szCs w:val="18"/>
    </w:rPr>
  </w:style>
  <w:style w:type="paragraph" w:styleId="a6">
    <w:name w:val="footer"/>
    <w:basedOn w:val="a"/>
    <w:link w:val="a7"/>
    <w:rsid w:val="00385F38"/>
    <w:pPr>
      <w:tabs>
        <w:tab w:val="center" w:pos="4153"/>
        <w:tab w:val="right" w:pos="8306"/>
      </w:tabs>
      <w:snapToGrid w:val="0"/>
      <w:jc w:val="left"/>
    </w:pPr>
    <w:rPr>
      <w:sz w:val="18"/>
      <w:szCs w:val="18"/>
    </w:rPr>
  </w:style>
  <w:style w:type="character" w:customStyle="1" w:styleId="a7">
    <w:name w:val="页脚 字符"/>
    <w:basedOn w:val="a0"/>
    <w:link w:val="a6"/>
    <w:rsid w:val="00385F38"/>
    <w:rPr>
      <w:rFonts w:ascii="微软雅黑" w:eastAsia="微软雅黑" w:hAnsi="微软雅黑" w:cs="Times New Roman"/>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2643</Words>
  <Characters>15067</Characters>
  <Application>Microsoft Office Word</Application>
  <DocSecurity>0</DocSecurity>
  <Lines>125</Lines>
  <Paragraphs>35</Paragraphs>
  <ScaleCrop>false</ScaleCrop>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whr</cp:lastModifiedBy>
  <cp:revision>16</cp:revision>
  <dcterms:created xsi:type="dcterms:W3CDTF">2026-04-22T06:11:00Z</dcterms:created>
  <dcterms:modified xsi:type="dcterms:W3CDTF">2026-05-19T09:47:00Z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9A27070BFC4D46C6BEC395D0C6893101</vt:lpwstr>
  </property>
</Properties>
</file>