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14A4A">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rsidR="00914A4A">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rsidR="00914A4A">
      <w:pPr>
        <w:spacing w:line="360" w:lineRule="auto"/>
        <w:rPr>
          <w:rFonts w:ascii="新宋体" w:eastAsia="新宋体" w:hAnsi="新宋体" w:cs="宋体" w:hint="eastAsia"/>
          <w:b/>
          <w:kern w:val="0"/>
          <w:szCs w:val="21"/>
        </w:rPr>
      </w:pPr>
    </w:p>
    <w:p w:rsidR="00914A4A">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rsidR="00914A4A">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rsidR="00914A4A">
      <w:pPr>
        <w:snapToGrid w:val="0"/>
        <w:spacing w:line="360" w:lineRule="auto"/>
        <w:jc w:val="left"/>
        <w:rPr>
          <w:rFonts w:ascii="新宋体" w:eastAsia="新宋体" w:hAnsi="新宋体" w:hint="eastAsia"/>
        </w:rPr>
      </w:pPr>
      <w:r>
        <w:rPr>
          <w:rFonts w:ascii="新宋体" w:eastAsia="新宋体" w:hAnsi="新宋体" w:hint="eastAsia"/>
        </w:rPr>
        <w:t>尊敬的客户：</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rsidR="00914A4A">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rsidR="00914A4A">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rsidR="00914A4A">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925"/>
        <w:gridCol w:w="7523"/>
      </w:tblGrid>
      <w:tr w:rsidTr="008F58A3">
        <w:tblPrEx>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8"/>
        </w:trPr>
        <w:tc>
          <w:tcPr>
            <w:tcW w:w="9448" w:type="dxa"/>
            <w:gridSpan w:val="2"/>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rsidR="00914A4A">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青银理财璀璨人生成就系列人民币理财计划2026年300期</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青银理财成就系列（固收共享）2026年300期</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CCCJGX26300</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rsidR="00914A4A">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rsidR="00914A4A">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rsidR="00914A4A">
            <w:pPr>
              <w:spacing w:line="360" w:lineRule="auto"/>
              <w:rPr>
                <w:rFonts w:ascii="新宋体" w:eastAsia="新宋体" w:hAnsi="新宋体"/>
              </w:rPr>
            </w:pPr>
            <w:r>
              <w:rPr>
                <w:rFonts w:ascii="新宋体" w:eastAsia="新宋体" w:hAnsi="新宋体" w:hint="eastAsia"/>
              </w:rPr>
              <w:t>A份额，销售代码【CCCJGX26300A】，销售名称：青银理财成就系列（固收共享）2026年300期A份额,销售对象【青岛银行及各销售服务渠道个人及机构客户，具体客户类型以销售机构规定为准】</w:t>
              <w:br/>
              <w:t>B份额，销售代码【CCCJGX26300B】，销售名称：青银理财成就系列（固收共享）2026年300期B份额,销售对象【临商银行及各销售服务渠道个人及机构客户，具体客户类型以销售机构规定为准】</w:t>
              <w:br/>
              <w:t>C份额，销售代码【CCCJGX26300C】，销售名称：青银理财成就系列（固收共享）2026年300期C份额,销售对象【桐乡农商银行及各销售服务渠道个人及机构客户，具体客户类型以销售机构规定为准】</w:t>
              <w:br/>
              <w:t>D份额，销售代码【CCCJGX26300D】，销售名称：青银理财成就系列（固收共享）2026年300期D份额,销售对象【青岛银行及各销售服务渠道个人及机构客户，具体客户类型以销售机构规定为准】</w:t>
              <w:br/>
              <w:t>E份额，销售代码【CCCJGX26300E】，销售名称：青银理财成就系列（固收共享）2026年300期E份额（府城财富专属）,销售对象【临海农商银行及各销售服务渠道个人及机构客户，具体客户类型以销售机构规定为准】</w:t>
              <w:br/>
              <w:t>F份额，销售代码【CCCJGX26300F】，销售名称：青银理财成就系列（固收共享）2026年300期F份额,销售对象【萧山农商银行及各销售服务渠道个人及机构客户，具体客户类型以销售机构规定为准】</w:t>
              <w:br/>
              <w:t>G份额，销售代码【CCCJGX26300G】，销售名称：青银理财成就系列（固收共享）2026年300期G份额（私行专属）,销售对象【青岛银行及各销售服务渠道个人及机构客户，具体客户类型以销售机构规定为准】</w:t>
              <w:br/>
              <w:t>H份额，销售代码【CCCJGX26300H】，销售名称：青银理财成就系列（固收共享）2026年300期H份额,销售对象【浙江海宁农商行及各销售服务渠道个人及机构客户，具体客户类型以销售机构规定为准】</w:t>
              <w:br/>
              <w:t>I份额，销售代码【CCCJGX26300I】，销售名称：青银理财成就系列（固收共享）2026年300期I份额,销售对象【大连银行及各销售服务渠道个人及机构客户，具体客户类型以销售机构规定为准】</w:t>
              <w:br/>
              <w:t>J份额，销售代码【CCCJGX26300J】，销售名称：青银理财成就系列（固收共享）2026年300期J份额,销售对象【盛京银行及各销售服务渠道个人及机构客户，具体客户类型以销售机构规定为准】</w:t>
              <w:br/>
              <w:t>Z份额，销售代码【CCCJGX26300Z】，销售名称：青银理财成就系列（固收共享）2026年300期Z份额（代发专属）,销售对象【湖南银行及各销售服务渠道个人及机构客户，具体客户类型以销售机构规定为准】</w:t>
              <w:br/>
              <w:t>K份额，销售代码【CCCJGX26300K】，销售名称：青银理财成就系列（固收共享）2026年300期K份额（中山农商行庆专属）,销售对象【中山农商银行及各销售服务渠道个人及机构客户，具体客户类型以销售机构规定为准】</w:t>
            </w:r>
          </w:p>
          <w:p w:rsidR="00914A4A">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Z7003526000289，可通过中国理财网（http://www.chinawealth.com.cn）查询</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人民币</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封闭式</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公募发行</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rsidR="00914A4A">
            <w:pPr>
              <w:spacing w:line="360" w:lineRule="auto"/>
              <w:rPr>
                <w:rFonts w:ascii="新宋体" w:eastAsia="新宋体" w:hAnsi="新宋体"/>
              </w:rPr>
            </w:pPr>
            <w:r>
              <w:rPr>
                <w:rFonts w:ascii="新宋体" w:eastAsia="新宋体" w:hAnsi="新宋体"/>
              </w:rPr>
              <w:t>2026年06月03日</w:t>
            </w:r>
            <w:r>
              <w:rPr>
                <w:rFonts w:ascii="新宋体" w:eastAsia="新宋体" w:hAnsi="新宋体" w:hint="eastAsia"/>
              </w:rPr>
              <w:t xml:space="preserve"> 9:00至</w:t>
            </w:r>
            <w:r>
              <w:rPr>
                <w:rFonts w:ascii="新宋体" w:eastAsia="新宋体" w:hAnsi="新宋体"/>
              </w:rPr>
              <w:t>2026年06月09日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rsidR="00914A4A">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rsidR="00914A4A">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2026年06月10日</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2027年07月02日</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387</w:t>
            </w:r>
            <w:r>
              <w:rPr>
                <w:rFonts w:ascii="新宋体" w:eastAsia="新宋体" w:hAnsi="新宋体" w:hint="eastAsia"/>
              </w:rPr>
              <w:t>天</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A份额规模上限100000万，规模下限1万</w:t>
              <w:br/>
              <w:t>B份额规模上限100000万，规模下限1万</w:t>
              <w:br/>
              <w:t>C份额规模上限200000万，规模下限1万</w:t>
              <w:br/>
              <w:t>D份额规模上限100000万，规模下限1万</w:t>
              <w:br/>
              <w:t>E份额规模上限100000万，规模下限1万</w:t>
              <w:br/>
              <w:t>F份额规模上限100000万，规模下限1万</w:t>
              <w:br/>
              <w:t>G份额规模上限100000万，规模下限1万</w:t>
              <w:br/>
              <w:t>H份额规模上限100000万，规模下限1万</w:t>
              <w:br/>
              <w:t>I份额规模上限100000万，规模下限1万</w:t>
              <w:br/>
              <w:t>J份额规模上限100000万，规模下限1万</w:t>
              <w:br/>
              <w:t>Z份额规模上限100000万，规模下限1万</w:t>
              <w:br/>
              <w:t>K份额规模上限100000万，规模下限1万</w:t>
            </w:r>
          </w:p>
          <w:p w:rsidR="00914A4A">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rsidR="00914A4A">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rsidR="00914A4A">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rsidR="00914A4A">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szCs w:val="21"/>
              </w:rPr>
              <w:t>A份额销售渠道为青岛银行及各销售服务渠道，B份额销售渠道为临商银行及各销售服务渠道，C份额销售渠道为桐乡农商银行及各销售服务渠道，D份额销售渠道为青岛银行及各销售服务渠道，E份额销售渠道为临海农商银行及各销售服务渠道，F份额销售渠道为萧山农商银行及各销售服务渠道，G份额销售渠道为青岛银行及各销售服务渠道，H份额销售渠道为浙江海宁农商行及各销售服务渠道，I份额销售渠道为大连银行及各销售服务渠道，J份额销售渠道为盛京银行及各销售服务渠道，Z份额销售渠道为湖南银行及各销售服务渠道，K份额销售渠道为中山农商银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rsidR="00914A4A">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单一投资者</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rsidR="00914A4A">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szCs w:val="21"/>
              </w:rPr>
            </w:pPr>
            <w:r w:rsidR="008F58A3">
              <w:rPr>
                <w:rFonts w:ascii="新宋体" w:eastAsia="新宋体" w:hAnsi="新宋体" w:hint="eastAsia"/>
                <w:szCs w:val="21"/>
              </w:rPr>
              <w:t>单户</w:t>
            </w:r>
            <w:r>
              <w:rPr>
                <w:rFonts w:ascii="新宋体" w:eastAsia="新宋体" w:hAnsi="新宋体" w:hint="eastAsia"/>
                <w:szCs w:val="21"/>
              </w:rPr>
              <w:t>最大投资金额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各子份额均无上限</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rsidR="00914A4A" w:rsidRPr="00357000">
            <w:pPr>
              <w:spacing w:line="360" w:lineRule="auto"/>
              <w:rPr>
                <w:rFonts w:ascii="新宋体" w:eastAsia="新宋体" w:hAnsi="新宋体" w:hint="eastAsia"/>
                <w:b/>
              </w:rPr>
            </w:pPr>
            <w:r w:rsidRPr="00357000">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rsidR="00914A4A" w:rsidRPr="00357000">
            <w:pPr>
              <w:spacing w:line="360" w:lineRule="auto"/>
              <w:rPr>
                <w:rFonts w:ascii="新宋体" w:eastAsia="新宋体" w:hAnsi="新宋体" w:hint="eastAsia"/>
                <w:b/>
              </w:rPr>
            </w:pPr>
            <w:r w:rsidRPr="00357000">
              <w:rPr>
                <w:rFonts w:ascii="新宋体" w:eastAsia="新宋体" w:hAnsi="新宋体" w:hint="eastAsia"/>
                <w:b/>
              </w:rPr>
              <w:t>A份额业绩比较基准为2.40%-2.80%（年化）</w:t>
              <w:br/>
              <w:t>B份额业绩比较基准为2.45%-2.85%（年化）</w:t>
              <w:br/>
              <w:t>C份额业绩比较基准为2.40%-2.80%（年化）</w:t>
              <w:br/>
              <w:t>D份额业绩比较基准为2.45%-2.85%（年化）</w:t>
              <w:br/>
              <w:t>E份额业绩比较基准为2.55%-2.95%（年化）</w:t>
              <w:br/>
              <w:t>F份额业绩比较基准为2.50%-2.90%（年化）</w:t>
              <w:br/>
              <w:t>G份额业绩比较基准为2.45%-2.85%（年化）</w:t>
              <w:br/>
              <w:t>H份额业绩比较基准为2.60%-3.00%（年化）</w:t>
              <w:br/>
              <w:t>I份额业绩比较基准为2.40%-2.80%（年化）</w:t>
              <w:br/>
              <w:t>J份额业绩比较基准为2.50%-2.90%（年化）</w:t>
              <w:br/>
              <w:t>Z份额业绩比较基准为2.30%-2.70%（年化）</w:t>
              <w:br/>
              <w:t>K份额业绩比较基准为2.50%-2.90%（年化）</w:t>
            </w:r>
          </w:p>
          <w:p w:rsidR="00914A4A" w:rsidRPr="00357000">
            <w:pPr>
              <w:spacing w:line="360" w:lineRule="auto"/>
              <w:rPr>
                <w:rFonts w:ascii="新宋体" w:eastAsia="新宋体" w:hAnsi="新宋体"/>
                <w:b/>
              </w:rPr>
            </w:pPr>
            <w:r w:rsidRPr="00357000">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w:t>
            </w:r>
            <w:r w:rsidRPr="00357000" w:rsidR="00357000">
              <w:rPr>
                <w:rFonts w:ascii="新宋体" w:eastAsia="新宋体" w:hAnsi="新宋体" w:hint="eastAsia"/>
                <w:b/>
                <w:szCs w:val="21"/>
              </w:rPr>
              <w:t>，得出产品业绩比较基准</w:t>
            </w:r>
            <w:r w:rsidRPr="00357000">
              <w:rPr>
                <w:rFonts w:ascii="新宋体" w:eastAsia="新宋体" w:hAnsi="新宋体" w:hint="eastAsia"/>
                <w:b/>
              </w:rPr>
              <w:t>。</w:t>
            </w:r>
            <w:r w:rsidRPr="00357000" w:rsidR="00357000">
              <w:rPr>
                <w:rFonts w:ascii="新宋体" w:eastAsia="新宋体" w:hAnsi="新宋体" w:hint="eastAsia"/>
                <w:b/>
              </w:rPr>
              <w:t>业绩比较基准的选择原因是产品管理人基于产品性质、投资策略、过往经验等因素进行综合考量设定。业绩比较基准不是预期收益率，不代表产品的未来表现和实际收益，不构成对产品收益的承诺。</w:t>
            </w:r>
          </w:p>
          <w:p w:rsidR="00914A4A" w:rsidRPr="00357000">
            <w:pPr>
              <w:spacing w:line="360" w:lineRule="auto"/>
              <w:rPr>
                <w:rFonts w:ascii="新宋体" w:eastAsia="新宋体" w:hAnsi="新宋体" w:hint="eastAsia"/>
                <w:b/>
              </w:rPr>
            </w:pPr>
            <w:r w:rsidRPr="00357000">
              <w:rPr>
                <w:b/>
              </w:rPr>
              <w:t>本产品为净值型产品，业绩表现将随市场情况波动，具有不确定性。当监管政策、市场环境、产品性质等因素发生变化，导致理财产品的业绩比较基准需要调整时，产品管理人将至少于调整日之前</w:t>
            </w:r>
            <w:r w:rsidRPr="00357000">
              <w:rPr>
                <w:rFonts w:hint="eastAsia"/>
                <w:b/>
              </w:rPr>
              <w:t>2</w:t>
            </w:r>
            <w:r w:rsidRPr="00357000">
              <w:rPr>
                <w:b/>
              </w:rPr>
              <w:t>个工作日通过机构官方渠道或与投资者约定的其他渠道公布调整情况和调整原因。</w:t>
            </w:r>
          </w:p>
          <w:p w:rsidR="00914A4A" w:rsidRPr="00357000">
            <w:pPr>
              <w:spacing w:line="360" w:lineRule="auto"/>
              <w:rPr>
                <w:rFonts w:ascii="新宋体" w:eastAsia="新宋体" w:hAnsi="新宋体" w:hint="eastAsia"/>
              </w:rPr>
            </w:pPr>
            <w:r w:rsidRPr="00357000">
              <w:rPr>
                <w:rFonts w:ascii="新宋体" w:eastAsia="新宋体" w:hAnsi="新宋体" w:hint="eastAsia"/>
                <w:b/>
              </w:rPr>
              <w:t>如理财投资本金及收益未按时或足额收回，则本理财计划的到期收益可能降低，最不利情形损失部分或全部本金。对于超出</w:t>
            </w:r>
            <w:r w:rsidRPr="00357000">
              <w:rPr>
                <w:rFonts w:ascii="新宋体" w:eastAsia="新宋体" w:hAnsi="新宋体" w:hint="eastAsia"/>
                <w:b/>
              </w:rPr>
              <w:t>“</w:t>
            </w:r>
            <w:r w:rsidRPr="00357000">
              <w:rPr>
                <w:rFonts w:ascii="新宋体" w:eastAsia="新宋体" w:hAnsi="新宋体" w:hint="eastAsia"/>
                <w:b/>
              </w:rPr>
              <w:t>业绩基准</w:t>
            </w:r>
            <w:r w:rsidRPr="00357000">
              <w:rPr>
                <w:rFonts w:ascii="新宋体" w:eastAsia="新宋体" w:hAnsi="新宋体" w:hint="eastAsia"/>
                <w:b/>
              </w:rPr>
              <w:t>”</w:t>
            </w:r>
            <w:r w:rsidRPr="00357000">
              <w:rPr>
                <w:rFonts w:ascii="新宋体" w:eastAsia="新宋体" w:hAnsi="新宋体" w:hint="eastAsia"/>
                <w:b/>
              </w:rPr>
              <w:t>下限部分的投资收益，20%归于投资者, 剩余部分作为管理人业绩报酬。</w:t>
            </w:r>
          </w:p>
        </w:tc>
      </w:tr>
      <w:tr w:rsidTr="008F58A3">
        <w:tblPrEx>
          <w:tblW w:w="0" w:type="auto"/>
          <w:tblInd w:w="-34" w:type="dxa"/>
          <w:tblLayout w:type="fixed"/>
          <w:tblLook w:val="0000"/>
        </w:tblPrEx>
        <w:trPr>
          <w:trHeight w:val="247"/>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rsidTr="008F58A3">
        <w:tblPrEx>
          <w:tblW w:w="0" w:type="auto"/>
          <w:tblInd w:w="-34" w:type="dxa"/>
          <w:tblLayout w:type="fixed"/>
          <w:tblLook w:val="0000"/>
        </w:tblPrEx>
        <w:trPr>
          <w:trHeight w:val="20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0.49%；B份额固定管理费率（年化）为0.44%；C份额固定管理费率（年化）为0.49%；D份额固定管理费率（年化）为0.44%；E份额固定管理费率（年化）为0.34%；F份额固定管理费率（年化）为0.39%；G份额固定管理费率（年化）为0.44%；H份额固定管理费率（年化）为0.29%；I份额固定管理费率（年化）为0.49%；J份额固定管理费率（年化）为0.39%；Z份额固定管理费率（年化）为0.59%；K份额固定管理费率（年化）为0.39%</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2.40%-2.80%、B份额2.45%-2.85%、C份额2.40%-2.80%、D份额2.45%-2.85%、E份额2.55%-2.95%、F份额2.50%-2.90%、G份额2.45%-2.85%、H份额2.60%-3.00%、I份额2.40%-2.80%、J份额2.50%-2.90%、Z份额2.30%-2.70%、K份额2.50%-2.90%），则超出下限的部分</w:t>
            </w:r>
            <w:r>
              <w:rPr>
                <w:rFonts w:ascii="新宋体" w:eastAsia="新宋体" w:hAnsi="新宋体" w:hint="eastAsia"/>
              </w:rPr>
              <w:t>20%归于投资者, 剩余部分作为管理人业绩报酬</w:t>
            </w:r>
            <w:r>
              <w:rPr>
                <w:rFonts w:ascii="新宋体" w:eastAsia="新宋体" w:hAnsi="新宋体" w:hint="eastAsia"/>
                <w:szCs w:val="21"/>
              </w:rPr>
              <w:t>；如果本理财到期资产投资运作收益小于等于</w:t>
            </w:r>
            <w:r>
              <w:rPr>
                <w:rFonts w:ascii="新宋体" w:eastAsia="新宋体" w:hAnsi="新宋体" w:hint="eastAsia"/>
                <w:szCs w:val="21"/>
              </w:rPr>
              <w:t>“</w:t>
            </w:r>
            <w:r>
              <w:rPr>
                <w:rFonts w:ascii="新宋体" w:eastAsia="新宋体" w:hAnsi="新宋体" w:hint="eastAsia"/>
                <w:szCs w:val="21"/>
              </w:rPr>
              <w:t>业绩基准</w:t>
            </w:r>
            <w:r>
              <w:rPr>
                <w:rFonts w:ascii="新宋体" w:eastAsia="新宋体" w:hAnsi="新宋体" w:hint="eastAsia"/>
                <w:szCs w:val="21"/>
              </w:rPr>
              <w:t>”</w:t>
            </w:r>
            <w:r>
              <w:rPr>
                <w:rFonts w:ascii="新宋体" w:eastAsia="新宋体" w:hAnsi="新宋体" w:hint="eastAsia"/>
                <w:szCs w:val="21"/>
              </w:rPr>
              <w:t>，则本理财计划的业绩报酬为0。当本理财到期资产投资运作收益小于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下限时，管理人将有权放弃计提的固定管理费，最高为已计提的全部固定管理费。</w:t>
            </w:r>
          </w:p>
        </w:tc>
      </w:tr>
      <w:tr w:rsidTr="008F58A3">
        <w:tblPrEx>
          <w:tblW w:w="0" w:type="auto"/>
          <w:tblInd w:w="-34" w:type="dxa"/>
          <w:tblLayout w:type="fixed"/>
          <w:tblLook w:val="0000"/>
        </w:tblPrEx>
        <w:trPr>
          <w:trHeight w:val="20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rsidTr="008F58A3">
        <w:tblPrEx>
          <w:tblW w:w="0" w:type="auto"/>
          <w:tblInd w:w="-34" w:type="dxa"/>
          <w:tblLayout w:type="fixed"/>
          <w:tblLook w:val="0000"/>
        </w:tblPrEx>
        <w:trPr>
          <w:trHeight w:val="20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rsidR="00914A4A">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rsidTr="008F58A3">
        <w:tblPrEx>
          <w:tblW w:w="0" w:type="auto"/>
          <w:tblInd w:w="-34" w:type="dxa"/>
          <w:tblLayout w:type="fixed"/>
          <w:tblLook w:val="0000"/>
        </w:tblPrEx>
        <w:trPr>
          <w:trHeight w:val="195"/>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rsidR="00914A4A">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rsidR="00914A4A">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rsidTr="008F58A3">
        <w:tblPrEx>
          <w:tblW w:w="0" w:type="auto"/>
          <w:tblInd w:w="-34" w:type="dxa"/>
          <w:tblLayout w:type="fixed"/>
          <w:tblLook w:val="0000"/>
        </w:tblPrEx>
        <w:trPr>
          <w:trHeight w:val="168"/>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rsidTr="008F58A3">
        <w:tblPrEx>
          <w:tblW w:w="0" w:type="auto"/>
          <w:tblInd w:w="-34" w:type="dxa"/>
          <w:tblLayout w:type="fixed"/>
          <w:tblLook w:val="0000"/>
        </w:tblPrEx>
        <w:trPr>
          <w:trHeight w:val="143"/>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rsidR="00914A4A">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rsidTr="008F58A3">
        <w:tblPrEx>
          <w:tblW w:w="0" w:type="auto"/>
          <w:tblInd w:w="-34" w:type="dxa"/>
          <w:tblLayout w:type="fixed"/>
          <w:tblLook w:val="0000"/>
        </w:tblPrEx>
        <w:trPr>
          <w:trHeight w:val="143"/>
        </w:trPr>
        <w:tc>
          <w:tcPr>
            <w:tcW w:w="1925"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rsidR="00914A4A">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rsidR="00914A4A">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060"/>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0-20%</w:t>
            </w:r>
          </w:p>
        </w:tc>
      </w:tr>
    </w:tbl>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rsidR="00914A4A">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rsidR="00914A4A">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rsidR="00914A4A">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rsidR="00914A4A">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rsidR="00914A4A">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rsidR="00914A4A">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rsidR="00914A4A">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rsidR="00914A4A">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0.49%，B份额年化费率为0.44%，C份额年化费率为0.49%，D份额年化费率为0.44%，E份额年化费率为0.34%，F份额年化费率为0.39%，G份额年化费率为0.44%，H份额年化费率为0.29%，I份额年化费率为0.49%，J份额年化费率为0.39%，Z份额年化费率为0.59%，K份额年化费率为0.39%</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A份额【0.49】%，B份额【0.44】%，C份额【0.49】%，D份额【0.44】%，E份额【0.34】%，F份额【0.39】%，G份额【0.44】%，H份额【0.29】%，I份额【0.49】%，J份额【0.39】%，Z份额【0.59】%，K份额【0.39】%</w:t>
      </w:r>
      <w:r>
        <w:rPr>
          <w:rFonts w:ascii="新宋体" w:eastAsia="新宋体" w:hAnsi="新宋体" w:cs="新宋体" w:hint="eastAsia"/>
          <w:sz w:val="21"/>
          <w:szCs w:val="21"/>
        </w:rPr>
        <w:t>年费率计提，由理财管理人收取。以A份额为例，计算方法如下：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0.49%</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rsidR="00914A4A">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br/>
        <w:tab/>
        <w:t>当本理财到期资产投资运作收益小于</w:t>
      </w:r>
      <w:r>
        <w:rPr>
          <w:rFonts w:ascii="新宋体" w:eastAsia="新宋体" w:hAnsi="新宋体" w:cs="新宋体" w:hint="eastAsia"/>
          <w:sz w:val="21"/>
          <w:szCs w:val="21"/>
        </w:rPr>
        <w:t>“</w:t>
      </w:r>
      <w:r>
        <w:rPr>
          <w:rFonts w:ascii="新宋体" w:eastAsia="新宋体" w:hAnsi="新宋体" w:cs="新宋体" w:hint="eastAsia"/>
          <w:sz w:val="21"/>
          <w:szCs w:val="21"/>
        </w:rPr>
        <w:t>业绩比较基准</w:t>
      </w:r>
      <w:r>
        <w:rPr>
          <w:rFonts w:ascii="新宋体" w:eastAsia="新宋体" w:hAnsi="新宋体" w:cs="新宋体" w:hint="eastAsia"/>
          <w:sz w:val="21"/>
          <w:szCs w:val="21"/>
        </w:rPr>
        <w:t>”</w:t>
      </w:r>
      <w:r>
        <w:rPr>
          <w:rFonts w:ascii="新宋体" w:eastAsia="新宋体" w:hAnsi="新宋体" w:cs="新宋体" w:hint="eastAsia"/>
          <w:sz w:val="21"/>
          <w:szCs w:val="21"/>
        </w:rPr>
        <w:t>下限时，管理人将有权放弃计提的固定管理费，最高为已计提的全部固定管理费。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在本理财计划到期日（到期日包括提前终止到期日和延期终止到期日），在扣除产品固定管理费、产品托管费等费用后，</w:t>
      </w:r>
      <w:r>
        <w:rPr>
          <w:rFonts w:ascii="新宋体" w:eastAsia="新宋体" w:hAnsi="新宋体" w:cs="新宋体" w:hint="eastAsia"/>
          <w:b/>
          <w:sz w:val="21"/>
          <w:szCs w:val="21"/>
        </w:rPr>
        <w:t>本理财计划项下资产组合收益超出本理财计划业绩基准（A份额2.40%-2.80%、B份额2.45%-2.85%、C份额2.40%-2.80%、D份额2.45%-2.85%、E份额2.55%-2.95%、F份额2.50%-2.90%、G份额2.45%-2.85%、H份额2.60%-3.00%、I份额2.40%-2.80%、J份额2.50%-2.90%、Z份额2.30%-2.70%、K份额2.50%-2.90%）下限的部分，</w:t>
      </w:r>
      <w:r>
        <w:rPr>
          <w:rFonts w:ascii="新宋体" w:eastAsia="新宋体" w:hAnsi="新宋体" w:cs="新宋体"/>
          <w:b/>
          <w:sz w:val="21"/>
          <w:szCs w:val="21"/>
        </w:rPr>
        <w:t>20%归于投资者, 剩余部分作为管理人业绩报酬</w:t>
      </w:r>
      <w:r>
        <w:rPr>
          <w:rFonts w:ascii="新宋体" w:eastAsia="新宋体" w:hAnsi="新宋体" w:cs="新宋体" w:hint="eastAsia"/>
          <w:b/>
          <w:sz w:val="21"/>
          <w:szCs w:val="21"/>
        </w:rPr>
        <w:t>。业绩基准并不代表产品实际投资收益。</w:t>
      </w:r>
    </w:p>
    <w:p w:rsidR="00914A4A">
      <w:pPr>
        <w:widowControl/>
        <w:spacing w:line="360" w:lineRule="auto"/>
        <w:ind w:firstLine="413"/>
        <w:jc w:val="left"/>
        <w:rPr>
          <w:rFonts w:ascii="新宋体" w:eastAsia="新宋体" w:hAnsi="新宋体" w:cs="新宋体" w:hint="eastAsia"/>
          <w:b/>
          <w:color w:val="000000"/>
          <w:kern w:val="0"/>
          <w:szCs w:val="21"/>
          <w:lang w:bidi="ar"/>
        </w:rPr>
      </w:pPr>
      <w:r>
        <w:rPr>
          <w:rFonts w:ascii="新宋体" w:eastAsia="新宋体" w:hAnsi="新宋体" w:cs="新宋体" w:hint="eastAsia"/>
          <w:b/>
          <w:color w:val="000000"/>
          <w:kern w:val="0"/>
          <w:szCs w:val="21"/>
          <w:lang w:bidi="ar"/>
        </w:rPr>
        <w:t>青银理财有权根据相关法律和国家政策的规定，对本理财计划的收费项目、条件、标准和方式进行调整。</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rsidR="00914A4A">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rsidR="00914A4A">
      <w:pPr>
        <w:snapToGrid w:val="0"/>
        <w:spacing w:line="360" w:lineRule="auto"/>
        <w:ind w:firstLine="420" w:firstLineChars="200"/>
        <w:jc w:val="left"/>
        <w:rPr>
          <w:b/>
        </w:rPr>
      </w:pPr>
      <w:r>
        <w:rPr>
          <w:rFonts w:hint="eastAsia"/>
          <w:b/>
        </w:rPr>
        <w:t>（6）</w:t>
      </w:r>
      <w:r>
        <w:rPr>
          <w:b/>
        </w:rPr>
        <w:t>重大事项公告</w:t>
      </w:r>
      <w:r>
        <w:rPr>
          <w:rFonts w:hint="eastAsia"/>
          <w:b/>
        </w:rPr>
        <w:t>。</w:t>
      </w:r>
    </w:p>
    <w:p w:rsidR="00914A4A">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rsidR="00914A4A">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rsidR="00914A4A">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4"/>
      <w:footerReference w:type="default" r:id="rId5"/>
      <w:pgSz w:w="11906" w:h="16838"/>
      <w:pgMar w:top="1440" w:right="1286" w:bottom="1440" w:left="126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914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3573E1">
      <w:rPr>
        <w:rStyle w:val="PageNumber"/>
        <w:noProof/>
      </w:rPr>
      <w:t>1</w:t>
    </w:r>
    <w:r>
      <w:fldChar w:fldCharType="end"/>
    </w:r>
  </w:p>
  <w:p w:rsidR="00914A4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596A"/>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7DC"/>
    <w:rsid w:val="00291247"/>
    <w:rsid w:val="002920DD"/>
    <w:rsid w:val="00292821"/>
    <w:rsid w:val="002963BF"/>
    <w:rsid w:val="00296621"/>
    <w:rsid w:val="00297DD2"/>
    <w:rsid w:val="002A1690"/>
    <w:rsid w:val="002A1F37"/>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FB"/>
    <w:rsid w:val="00353B39"/>
    <w:rsid w:val="003544BB"/>
    <w:rsid w:val="0035462C"/>
    <w:rsid w:val="00355154"/>
    <w:rsid w:val="00355A42"/>
    <w:rsid w:val="00357000"/>
    <w:rsid w:val="003573E1"/>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8A3"/>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A4A"/>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13C1"/>
    <w:rsid w:val="00A815C2"/>
    <w:rsid w:val="00A815D6"/>
    <w:rsid w:val="00A8231F"/>
    <w:rsid w:val="00A82C6F"/>
    <w:rsid w:val="00A82ED3"/>
    <w:rsid w:val="00A837A3"/>
    <w:rsid w:val="00A83A34"/>
    <w:rsid w:val="00A842A8"/>
    <w:rsid w:val="00A86C1F"/>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30864"/>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TotalTime>
  <Pages>14</Pages>
  <Words>1945</Words>
  <Characters>11093</Characters>
  <Application>Microsoft Office Word</Application>
  <DocSecurity>0</DocSecurity>
  <Lines>92</Lines>
  <Paragraphs>26</Paragraphs>
  <ScaleCrop>false</ScaleCrop>
  <Company>WwW.YlmF.CoM</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whr</cp:lastModifiedBy>
  <cp:revision>4</cp:revision>
  <cp:lastPrinted>2011-09-18T02:03:00Z</cp:lastPrinted>
  <dcterms:created xsi:type="dcterms:W3CDTF">2023-07-25T08:36:00Z</dcterms:created>
  <dcterms:modified xsi:type="dcterms:W3CDTF">2026-03-19T08:10:00Z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2052-11.8.2.12251</vt:lpwstr>
  </property>
</Properties>
</file>