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82B" w:rsidRDefault="00F35FEB" w:rsidP="002818D6">
      <w:pPr>
        <w:jc w:val="left"/>
        <w:rPr>
          <w:rFonts w:ascii="宋体" w:hAnsi="宋体" w:cs="Arial"/>
          <w:b/>
          <w:sz w:val="24"/>
        </w:rPr>
      </w:pPr>
      <w:r>
        <w:rPr>
          <w:rFonts w:hint="eastAsia"/>
          <w:b/>
          <w:color w:val="000000"/>
          <w:sz w:val="22"/>
          <w:szCs w:val="22"/>
        </w:rPr>
        <w:t>产品登记编码：</w:t>
      </w:r>
      <w:r w:rsidR="00374855" w:rsidRPr="00374855">
        <w:rPr>
          <w:b/>
          <w:color w:val="000000"/>
          <w:sz w:val="22"/>
          <w:szCs w:val="22"/>
        </w:rPr>
        <w:t>Z7001625000545</w:t>
      </w:r>
    </w:p>
    <w:p w:rsidR="00584A36" w:rsidRDefault="00584A36">
      <w:pPr>
        <w:jc w:val="center"/>
        <w:rPr>
          <w:rFonts w:ascii="宋体" w:hAnsi="宋体" w:cs="Arial"/>
          <w:b/>
          <w:sz w:val="24"/>
        </w:rPr>
      </w:pPr>
    </w:p>
    <w:p w:rsidR="0065182B" w:rsidRDefault="00374855">
      <w:pPr>
        <w:jc w:val="center"/>
        <w:rPr>
          <w:rFonts w:ascii="宋体" w:hAnsi="宋体" w:cs="Arial"/>
          <w:b/>
          <w:sz w:val="24"/>
        </w:rPr>
      </w:pPr>
      <w:r>
        <w:rPr>
          <w:rFonts w:ascii="宋体" w:hAnsi="宋体" w:cs="Arial" w:hint="eastAsia"/>
          <w:b/>
          <w:sz w:val="24"/>
        </w:rPr>
        <w:t>招银</w:t>
      </w:r>
      <w:proofErr w:type="gramStart"/>
      <w:r>
        <w:rPr>
          <w:rFonts w:ascii="宋体" w:hAnsi="宋体" w:cs="Arial" w:hint="eastAsia"/>
          <w:b/>
          <w:sz w:val="24"/>
        </w:rPr>
        <w:t>理财招赢日日</w:t>
      </w:r>
      <w:proofErr w:type="gramEnd"/>
      <w:r>
        <w:rPr>
          <w:rFonts w:ascii="宋体" w:hAnsi="宋体" w:cs="Arial" w:hint="eastAsia"/>
          <w:b/>
          <w:sz w:val="24"/>
        </w:rPr>
        <w:t>金102号现金管理类理财计划</w:t>
      </w:r>
    </w:p>
    <w:p w:rsidR="0065182B" w:rsidRDefault="00F35FEB">
      <w:pPr>
        <w:jc w:val="center"/>
        <w:rPr>
          <w:rFonts w:ascii="宋体" w:hAnsi="宋体" w:cs="Arial"/>
          <w:b/>
          <w:sz w:val="22"/>
        </w:rPr>
      </w:pPr>
      <w:r>
        <w:rPr>
          <w:rFonts w:ascii="宋体" w:hAnsi="宋体" w:cs="Arial"/>
          <w:b/>
          <w:sz w:val="24"/>
        </w:rPr>
        <w:t>风险</w:t>
      </w:r>
      <w:r>
        <w:rPr>
          <w:rFonts w:ascii="宋体" w:hAnsi="宋体" w:cs="Arial" w:hint="eastAsia"/>
          <w:b/>
          <w:sz w:val="24"/>
        </w:rPr>
        <w:t>揭</w:t>
      </w:r>
      <w:r>
        <w:rPr>
          <w:rFonts w:ascii="宋体" w:hAnsi="宋体" w:cs="Arial"/>
          <w:b/>
          <w:sz w:val="24"/>
        </w:rPr>
        <w:t>示书</w:t>
      </w:r>
    </w:p>
    <w:p w:rsidR="0065182B" w:rsidRPr="00E11A88" w:rsidRDefault="0065182B">
      <w:pPr>
        <w:spacing w:line="288" w:lineRule="auto"/>
        <w:rPr>
          <w:rFonts w:ascii="宋体" w:hAnsi="宋体" w:cs="Arial"/>
          <w:sz w:val="24"/>
        </w:rPr>
      </w:pPr>
    </w:p>
    <w:p w:rsidR="0065182B" w:rsidRDefault="00F35FEB">
      <w:pPr>
        <w:adjustRightInd w:val="0"/>
        <w:snapToGrid w:val="0"/>
        <w:spacing w:line="300" w:lineRule="auto"/>
        <w:rPr>
          <w:rFonts w:ascii="宋体" w:hAnsi="宋体"/>
          <w:sz w:val="22"/>
          <w:szCs w:val="22"/>
        </w:rPr>
      </w:pPr>
      <w:r>
        <w:rPr>
          <w:rFonts w:ascii="宋体" w:hAnsi="宋体" w:hint="eastAsia"/>
          <w:sz w:val="22"/>
          <w:szCs w:val="22"/>
        </w:rPr>
        <w:t>尊</w:t>
      </w:r>
      <w:bookmarkStart w:id="0" w:name="_GoBack"/>
      <w:bookmarkEnd w:id="0"/>
      <w:r>
        <w:rPr>
          <w:rFonts w:ascii="宋体" w:hAnsi="宋体" w:hint="eastAsia"/>
          <w:sz w:val="22"/>
          <w:szCs w:val="22"/>
        </w:rPr>
        <w:t>敬的客户：</w:t>
      </w:r>
    </w:p>
    <w:p w:rsidR="0065182B" w:rsidRDefault="00F35FEB">
      <w:pPr>
        <w:pStyle w:val="a8"/>
        <w:spacing w:line="300" w:lineRule="auto"/>
        <w:ind w:firstLine="330"/>
        <w:jc w:val="both"/>
        <w:rPr>
          <w:rFonts w:ascii="宋体" w:hAnsi="宋体"/>
          <w:sz w:val="22"/>
          <w:szCs w:val="22"/>
        </w:rPr>
      </w:pPr>
      <w:r>
        <w:rPr>
          <w:rFonts w:ascii="宋体" w:hAnsi="宋体" w:hint="eastAsia"/>
          <w:sz w:val="22"/>
          <w:szCs w:val="22"/>
        </w:rPr>
        <w:t>由于理财资金管理运用过程中，可能会面临多种风险因素，因此，根据中国银行保险监督管理委员会相关监管规定的要求，在您选择购买本理财计划前，请仔细阅读以下重要内容：</w:t>
      </w:r>
    </w:p>
    <w:p w:rsidR="0065182B" w:rsidRDefault="00F35FEB">
      <w:pPr>
        <w:autoSpaceDE w:val="0"/>
        <w:autoSpaceDN w:val="0"/>
        <w:adjustRightInd w:val="0"/>
        <w:snapToGrid w:val="0"/>
        <w:spacing w:line="300" w:lineRule="auto"/>
        <w:ind w:firstLineChars="200" w:firstLine="562"/>
        <w:rPr>
          <w:rFonts w:ascii="宋体" w:hAnsi="宋体"/>
          <w:b/>
          <w:bCs/>
          <w:color w:val="000000"/>
          <w:kern w:val="0"/>
          <w:sz w:val="22"/>
          <w:szCs w:val="22"/>
          <w:lang w:val="zh-CN"/>
        </w:rPr>
      </w:pPr>
      <w:r>
        <w:rPr>
          <w:rFonts w:ascii="宋体" w:hAnsi="宋体" w:hint="eastAsia"/>
          <w:b/>
          <w:bCs/>
          <w:color w:val="000000"/>
          <w:kern w:val="0"/>
          <w:sz w:val="28"/>
          <w:szCs w:val="22"/>
          <w:lang w:val="zh-CN"/>
        </w:rPr>
        <w:t>理财非存款、产品有风险、投资须谨慎。</w:t>
      </w:r>
      <w:r>
        <w:rPr>
          <w:rFonts w:ascii="宋体" w:hAnsi="宋体" w:hint="eastAsia"/>
          <w:b/>
          <w:bCs/>
          <w:color w:val="000000"/>
          <w:kern w:val="0"/>
          <w:sz w:val="22"/>
          <w:szCs w:val="22"/>
          <w:lang w:val="zh-CN"/>
        </w:rPr>
        <w:t>理财计划管理人承诺以诚实信用、勤勉尽责的原则管理和运用理财计划资产，但不保证理财计划一定盈利，也不保证最低收益。本《风险揭示书》旨在揭示本理财计划可能面临的各种风险，投资者应当认真阅读本《风险揭示书》，充分认识以下风险：</w:t>
      </w:r>
    </w:p>
    <w:p w:rsidR="0065182B" w:rsidRDefault="00F35FEB">
      <w:pPr>
        <w:pStyle w:val="af8"/>
        <w:numPr>
          <w:ilvl w:val="0"/>
          <w:numId w:val="1"/>
        </w:numPr>
        <w:adjustRightInd w:val="0"/>
        <w:snapToGrid w:val="0"/>
        <w:spacing w:line="300" w:lineRule="auto"/>
        <w:ind w:left="0" w:firstLineChars="0" w:firstLine="0"/>
        <w:rPr>
          <w:rFonts w:ascii="宋体" w:hAnsi="宋体"/>
          <w:b/>
          <w:kern w:val="0"/>
          <w:sz w:val="22"/>
          <w:szCs w:val="22"/>
        </w:rPr>
      </w:pPr>
      <w:r>
        <w:rPr>
          <w:rFonts w:ascii="宋体" w:hAnsi="宋体" w:cs="Arial"/>
          <w:b/>
          <w:kern w:val="0"/>
          <w:sz w:val="22"/>
        </w:rPr>
        <w:t>本金及理财收益风险：</w:t>
      </w:r>
      <w:r>
        <w:rPr>
          <w:rFonts w:ascii="宋体" w:hAnsi="宋体" w:cs="Arial"/>
          <w:kern w:val="0"/>
          <w:sz w:val="22"/>
        </w:rPr>
        <w:t>本理财计划不保障本金且不保证理财收益。理财计划收益来源于理财计划所投资资产组合的收益分配、出让或其他方式处分及/或持有到期的收入。如资产组合内的底层债券、债权等资产发生市场风险、违约风险和流动性风险，</w:t>
      </w:r>
      <w:r>
        <w:rPr>
          <w:rFonts w:ascii="宋体" w:hAnsi="宋体" w:cs="Arial"/>
          <w:b/>
          <w:kern w:val="0"/>
          <w:sz w:val="22"/>
        </w:rPr>
        <w:t>由此产生的理财本金及理财收益损失的风险由投资者自行承担；如资产组合无法正常处置的，则由此产生的本金及理财收益损失的风险由投资者自行承担。在发生资产违约且无法正常处置等最不利情况下投资者将可能损失全部本金。</w:t>
      </w:r>
    </w:p>
    <w:p w:rsidR="0065182B" w:rsidRDefault="00F35FEB">
      <w:pPr>
        <w:pStyle w:val="af8"/>
        <w:numPr>
          <w:ilvl w:val="0"/>
          <w:numId w:val="1"/>
        </w:numPr>
        <w:adjustRightInd w:val="0"/>
        <w:snapToGrid w:val="0"/>
        <w:spacing w:line="300" w:lineRule="auto"/>
        <w:ind w:left="0" w:firstLineChars="0" w:firstLine="0"/>
        <w:rPr>
          <w:rFonts w:ascii="宋体" w:hAnsi="宋体"/>
          <w:b/>
          <w:kern w:val="0"/>
          <w:sz w:val="22"/>
          <w:szCs w:val="22"/>
        </w:rPr>
      </w:pPr>
      <w:r>
        <w:rPr>
          <w:rFonts w:ascii="宋体" w:hAnsi="宋体" w:hint="eastAsia"/>
          <w:b/>
          <w:bCs/>
          <w:color w:val="000000"/>
          <w:kern w:val="0"/>
          <w:sz w:val="22"/>
          <w:szCs w:val="22"/>
          <w:lang w:val="zh-CN"/>
        </w:rPr>
        <w:t>信用风险：</w:t>
      </w:r>
      <w:r>
        <w:rPr>
          <w:rFonts w:ascii="宋体" w:hAnsi="宋体" w:hint="eastAsia"/>
          <w:bCs/>
          <w:color w:val="000000"/>
          <w:kern w:val="0"/>
          <w:sz w:val="22"/>
          <w:szCs w:val="22"/>
          <w:lang w:val="zh-CN"/>
        </w:rPr>
        <w:t>本理财计划主要投资于</w:t>
      </w:r>
      <w:r>
        <w:rPr>
          <w:rFonts w:ascii="宋体" w:hAnsi="宋体" w:hint="eastAsia"/>
          <w:bCs/>
          <w:color w:val="000000"/>
          <w:kern w:val="0"/>
          <w:sz w:val="22"/>
          <w:szCs w:val="20"/>
          <w:lang w:val="zh-CN"/>
        </w:rPr>
        <w:t>标准化债权资产</w:t>
      </w:r>
      <w:r>
        <w:rPr>
          <w:rFonts w:ascii="宋体" w:hAnsi="宋体" w:hint="eastAsia"/>
          <w:bCs/>
          <w:color w:val="000000"/>
          <w:kern w:val="0"/>
          <w:sz w:val="22"/>
          <w:szCs w:val="22"/>
          <w:lang w:val="zh-CN"/>
        </w:rPr>
        <w:t>，因此有可能由于发行主体或交易对手信用状况恶化导致交易违约，致使本理财计划到期实际收益不足业绩比较基准，</w:t>
      </w:r>
      <w:r>
        <w:rPr>
          <w:rFonts w:ascii="宋体" w:hAnsi="宋体" w:hint="eastAsia"/>
          <w:b/>
          <w:bCs/>
          <w:color w:val="000000"/>
          <w:kern w:val="0"/>
          <w:sz w:val="22"/>
          <w:szCs w:val="22"/>
          <w:lang w:val="zh-CN"/>
        </w:rPr>
        <w:t>该种情况下，招银理财有限责任公司将按照投资实际收益情况，并以资产变现实际收到的资金为限支付投资人收益，投资人将自行承担由此而导致的理财收益减少乃至本金损失的风险。</w:t>
      </w:r>
      <w:r>
        <w:rPr>
          <w:rFonts w:ascii="宋体" w:hAnsi="宋体" w:hint="eastAsia"/>
          <w:bCs/>
          <w:color w:val="000000"/>
          <w:kern w:val="0"/>
          <w:sz w:val="22"/>
          <w:szCs w:val="22"/>
          <w:lang w:val="zh-CN"/>
        </w:rPr>
        <w:t>本理财计划运作过程中，投资管理人将密切关注投资组合信用风险变化，根据债务人等信用等级的调整及时调整投资组合，尽最大</w:t>
      </w:r>
      <w:proofErr w:type="gramStart"/>
      <w:r>
        <w:rPr>
          <w:rFonts w:ascii="宋体" w:hAnsi="宋体" w:hint="eastAsia"/>
          <w:bCs/>
          <w:color w:val="000000"/>
          <w:kern w:val="0"/>
          <w:sz w:val="22"/>
          <w:szCs w:val="22"/>
          <w:lang w:val="zh-CN"/>
        </w:rPr>
        <w:t>努力管理</w:t>
      </w:r>
      <w:proofErr w:type="gramEnd"/>
      <w:r>
        <w:rPr>
          <w:rFonts w:ascii="宋体" w:hAnsi="宋体" w:hint="eastAsia"/>
          <w:bCs/>
          <w:color w:val="000000"/>
          <w:kern w:val="0"/>
          <w:sz w:val="22"/>
          <w:szCs w:val="22"/>
          <w:lang w:val="zh-CN"/>
        </w:rPr>
        <w:t>信用风险。</w:t>
      </w:r>
    </w:p>
    <w:p w:rsidR="0065182B" w:rsidRDefault="00F35FEB">
      <w:pPr>
        <w:numPr>
          <w:ilvl w:val="0"/>
          <w:numId w:val="1"/>
        </w:numPr>
        <w:tabs>
          <w:tab w:val="left" w:pos="0"/>
        </w:tabs>
        <w:adjustRightInd w:val="0"/>
        <w:snapToGrid w:val="0"/>
        <w:spacing w:line="300" w:lineRule="auto"/>
        <w:ind w:left="0" w:firstLine="0"/>
        <w:rPr>
          <w:rFonts w:ascii="宋体" w:hAnsi="宋体"/>
          <w:b/>
          <w:kern w:val="0"/>
          <w:sz w:val="22"/>
          <w:szCs w:val="22"/>
        </w:rPr>
      </w:pPr>
      <w:r>
        <w:rPr>
          <w:rFonts w:ascii="宋体" w:hAnsi="宋体" w:hint="eastAsia"/>
          <w:b/>
          <w:kern w:val="0"/>
          <w:sz w:val="22"/>
          <w:szCs w:val="22"/>
        </w:rPr>
        <w:t>市场风险：</w:t>
      </w:r>
      <w:r>
        <w:rPr>
          <w:rFonts w:ascii="宋体" w:hAnsi="宋体" w:hint="eastAsia"/>
          <w:kern w:val="0"/>
          <w:sz w:val="22"/>
          <w:szCs w:val="22"/>
        </w:rPr>
        <w:t>证券市场价格受到经济因素、政治因素、投资心理和交易制度等各种因素的影响，导致产品资产收益水平变化，产生风险，主要包括：</w:t>
      </w:r>
    </w:p>
    <w:p w:rsidR="0065182B" w:rsidRDefault="00F35FEB">
      <w:pPr>
        <w:tabs>
          <w:tab w:val="left" w:pos="0"/>
          <w:tab w:val="left" w:pos="360"/>
        </w:tabs>
        <w:adjustRightInd w:val="0"/>
        <w:snapToGrid w:val="0"/>
        <w:spacing w:line="300" w:lineRule="auto"/>
        <w:rPr>
          <w:rFonts w:ascii="宋体" w:hAnsi="宋体"/>
          <w:kern w:val="0"/>
          <w:sz w:val="22"/>
          <w:szCs w:val="22"/>
        </w:rPr>
      </w:pPr>
      <w:r>
        <w:rPr>
          <w:rFonts w:ascii="宋体" w:hAnsi="宋体" w:hint="eastAsia"/>
          <w:kern w:val="0"/>
          <w:sz w:val="22"/>
          <w:szCs w:val="22"/>
        </w:rPr>
        <w:t>（</w:t>
      </w:r>
      <w:r>
        <w:rPr>
          <w:rFonts w:ascii="宋体" w:hAnsi="宋体"/>
          <w:kern w:val="0"/>
          <w:sz w:val="22"/>
          <w:szCs w:val="22"/>
        </w:rPr>
        <w:t>1）</w:t>
      </w:r>
      <w:r>
        <w:rPr>
          <w:rFonts w:ascii="宋体" w:hAnsi="宋体" w:hint="eastAsia"/>
          <w:kern w:val="0"/>
          <w:sz w:val="22"/>
          <w:szCs w:val="22"/>
        </w:rPr>
        <w:t>政策风险：因国家宏观政策（如货币政策、财政政策、行业政策、地区发展政策和监管政策等）发生变化，导致市场价格波动而产生风险，从而对理财计划收益产生影响。</w:t>
      </w:r>
    </w:p>
    <w:p w:rsidR="0065182B" w:rsidRDefault="00F35FEB">
      <w:pPr>
        <w:tabs>
          <w:tab w:val="left" w:pos="0"/>
          <w:tab w:val="left" w:pos="360"/>
        </w:tabs>
        <w:adjustRightInd w:val="0"/>
        <w:snapToGrid w:val="0"/>
        <w:spacing w:line="300" w:lineRule="auto"/>
        <w:rPr>
          <w:rFonts w:ascii="宋体" w:hAnsi="宋体"/>
          <w:kern w:val="0"/>
          <w:sz w:val="22"/>
          <w:szCs w:val="22"/>
        </w:rPr>
      </w:pPr>
      <w:r>
        <w:rPr>
          <w:rFonts w:ascii="宋体" w:hAnsi="宋体" w:hint="eastAsia"/>
          <w:kern w:val="0"/>
          <w:sz w:val="22"/>
          <w:szCs w:val="22"/>
        </w:rPr>
        <w:t>（</w:t>
      </w:r>
      <w:r>
        <w:rPr>
          <w:rFonts w:ascii="宋体" w:hAnsi="宋体"/>
          <w:kern w:val="0"/>
          <w:sz w:val="22"/>
          <w:szCs w:val="22"/>
        </w:rPr>
        <w:t>2）</w:t>
      </w:r>
      <w:r>
        <w:rPr>
          <w:rFonts w:ascii="宋体" w:hAnsi="宋体" w:hint="eastAsia"/>
          <w:kern w:val="0"/>
          <w:sz w:val="22"/>
          <w:szCs w:val="22"/>
        </w:rPr>
        <w:t>经济周期风险：随经济运行的周期性变化，证券市场的收益水平也呈周期性变化，从而影响理财计划的收益水平，对理财计划收益产生影响。</w:t>
      </w:r>
    </w:p>
    <w:p w:rsidR="0065182B" w:rsidRDefault="00F35FEB">
      <w:pPr>
        <w:tabs>
          <w:tab w:val="left" w:pos="0"/>
          <w:tab w:val="left" w:pos="360"/>
        </w:tabs>
        <w:adjustRightInd w:val="0"/>
        <w:snapToGrid w:val="0"/>
        <w:spacing w:line="300" w:lineRule="auto"/>
        <w:rPr>
          <w:rFonts w:ascii="宋体" w:hAnsi="宋体"/>
          <w:kern w:val="0"/>
          <w:sz w:val="22"/>
          <w:szCs w:val="22"/>
        </w:rPr>
      </w:pPr>
      <w:r>
        <w:rPr>
          <w:rFonts w:ascii="宋体" w:hAnsi="宋体" w:hint="eastAsia"/>
          <w:kern w:val="0"/>
          <w:sz w:val="22"/>
          <w:szCs w:val="22"/>
        </w:rPr>
        <w:t>（</w:t>
      </w:r>
      <w:r>
        <w:rPr>
          <w:rFonts w:ascii="宋体" w:hAnsi="宋体"/>
          <w:kern w:val="0"/>
          <w:sz w:val="22"/>
          <w:szCs w:val="22"/>
        </w:rPr>
        <w:t>3）</w:t>
      </w:r>
      <w:r>
        <w:rPr>
          <w:rFonts w:ascii="宋体" w:hAnsi="宋体" w:hint="eastAsia"/>
          <w:kern w:val="0"/>
          <w:sz w:val="22"/>
          <w:szCs w:val="22"/>
        </w:rPr>
        <w:t>利率风险：金融市场利率的波动会导致证券市场价格和收益率的变动，从而对理财计划收益产生影响。</w:t>
      </w:r>
    </w:p>
    <w:p w:rsidR="0065182B" w:rsidRDefault="00F35FEB">
      <w:pPr>
        <w:tabs>
          <w:tab w:val="left" w:pos="0"/>
          <w:tab w:val="left" w:pos="360"/>
        </w:tabs>
        <w:adjustRightInd w:val="0"/>
        <w:snapToGrid w:val="0"/>
        <w:spacing w:line="300" w:lineRule="auto"/>
        <w:rPr>
          <w:rFonts w:ascii="宋体" w:hAnsi="宋体"/>
          <w:kern w:val="0"/>
          <w:sz w:val="22"/>
          <w:szCs w:val="22"/>
        </w:rPr>
      </w:pPr>
      <w:r>
        <w:rPr>
          <w:rFonts w:ascii="宋体" w:hAnsi="宋体" w:hint="eastAsia"/>
          <w:kern w:val="0"/>
          <w:sz w:val="22"/>
          <w:szCs w:val="22"/>
        </w:rPr>
        <w:t>（</w:t>
      </w:r>
      <w:r>
        <w:rPr>
          <w:rFonts w:ascii="宋体" w:hAnsi="宋体"/>
          <w:kern w:val="0"/>
          <w:sz w:val="22"/>
          <w:szCs w:val="22"/>
        </w:rPr>
        <w:t>4）购买力风险</w:t>
      </w:r>
      <w:r>
        <w:rPr>
          <w:rFonts w:ascii="宋体" w:hAnsi="宋体" w:hint="eastAsia"/>
          <w:kern w:val="0"/>
          <w:sz w:val="22"/>
          <w:szCs w:val="22"/>
        </w:rPr>
        <w:t>：</w:t>
      </w:r>
      <w:r>
        <w:rPr>
          <w:rFonts w:ascii="宋体" w:hAnsi="宋体"/>
          <w:kern w:val="0"/>
          <w:sz w:val="22"/>
          <w:szCs w:val="22"/>
        </w:rPr>
        <w:t>如果发生通货膨胀，则投资于证券所获得的收益可能会被通货膨胀抵消，</w:t>
      </w:r>
      <w:r>
        <w:rPr>
          <w:rFonts w:ascii="宋体" w:hAnsi="宋体" w:hint="eastAsia"/>
          <w:kern w:val="0"/>
          <w:sz w:val="22"/>
          <w:szCs w:val="22"/>
        </w:rPr>
        <w:t>从而对理财计划收益产生影响</w:t>
      </w:r>
      <w:r>
        <w:rPr>
          <w:rFonts w:ascii="宋体" w:hAnsi="宋体"/>
          <w:kern w:val="0"/>
          <w:sz w:val="22"/>
          <w:szCs w:val="22"/>
        </w:rPr>
        <w:t>。</w:t>
      </w:r>
    </w:p>
    <w:p w:rsidR="0065182B" w:rsidRDefault="00F35FEB">
      <w:pPr>
        <w:pStyle w:val="af8"/>
        <w:numPr>
          <w:ilvl w:val="0"/>
          <w:numId w:val="1"/>
        </w:numPr>
        <w:adjustRightInd w:val="0"/>
        <w:snapToGrid w:val="0"/>
        <w:spacing w:line="300" w:lineRule="auto"/>
        <w:ind w:left="0" w:firstLineChars="0" w:firstLine="0"/>
        <w:rPr>
          <w:rFonts w:ascii="宋体" w:hAnsi="宋体"/>
          <w:b/>
          <w:bCs/>
          <w:color w:val="000000"/>
          <w:sz w:val="22"/>
          <w:szCs w:val="22"/>
          <w:lang w:val="zh-CN"/>
        </w:rPr>
      </w:pPr>
      <w:r>
        <w:rPr>
          <w:rFonts w:ascii="宋体" w:hAnsi="宋体" w:hint="eastAsia"/>
          <w:b/>
          <w:kern w:val="0"/>
          <w:sz w:val="22"/>
          <w:szCs w:val="22"/>
        </w:rPr>
        <w:t>管理人风险：</w:t>
      </w:r>
      <w:r>
        <w:rPr>
          <w:rFonts w:ascii="宋体" w:hAnsi="宋体" w:hint="eastAsia"/>
          <w:kern w:val="0"/>
          <w:sz w:val="22"/>
          <w:szCs w:val="22"/>
        </w:rPr>
        <w:t>由于管理人（包括本理财计划的投资管理人、所投资的信托计划</w:t>
      </w:r>
      <w:r>
        <w:rPr>
          <w:rFonts w:ascii="宋体" w:hAnsi="宋体"/>
          <w:kern w:val="0"/>
          <w:sz w:val="22"/>
          <w:szCs w:val="22"/>
        </w:rPr>
        <w:t>/</w:t>
      </w:r>
      <w:proofErr w:type="gramStart"/>
      <w:r>
        <w:rPr>
          <w:rFonts w:ascii="宋体" w:hAnsi="宋体" w:hint="eastAsia"/>
          <w:kern w:val="0"/>
          <w:sz w:val="22"/>
          <w:szCs w:val="22"/>
        </w:rPr>
        <w:t>资管计划</w:t>
      </w:r>
      <w:proofErr w:type="gramEnd"/>
      <w:r>
        <w:rPr>
          <w:rFonts w:ascii="宋体" w:hAnsi="宋体" w:hint="eastAsia"/>
          <w:kern w:val="0"/>
          <w:sz w:val="22"/>
          <w:szCs w:val="22"/>
        </w:rPr>
        <w:t>的受托人/管理人（如有）、相关投资顾问（如有）等，下同）受经验、技能等因素的限制，</w:t>
      </w:r>
      <w:r>
        <w:rPr>
          <w:rFonts w:ascii="宋体" w:hAnsi="宋体"/>
          <w:kern w:val="0"/>
          <w:sz w:val="22"/>
          <w:szCs w:val="22"/>
        </w:rPr>
        <w:t>会影响其对信息的获取和对经济形势、金融市场价格走势的判断，如管理人判断有误、获取信息不全、或对投资工具使用不当等</w:t>
      </w:r>
      <w:r>
        <w:rPr>
          <w:rFonts w:ascii="宋体" w:hAnsi="宋体" w:hint="eastAsia"/>
          <w:kern w:val="0"/>
          <w:sz w:val="22"/>
          <w:szCs w:val="22"/>
        </w:rPr>
        <w:t>，可能</w:t>
      </w:r>
      <w:r>
        <w:rPr>
          <w:rFonts w:ascii="宋体" w:hAnsi="宋体"/>
          <w:kern w:val="0"/>
          <w:sz w:val="22"/>
          <w:szCs w:val="22"/>
        </w:rPr>
        <w:t>导致本理财</w:t>
      </w:r>
      <w:r>
        <w:rPr>
          <w:rFonts w:ascii="宋体" w:hAnsi="宋体" w:hint="eastAsia"/>
          <w:kern w:val="0"/>
          <w:sz w:val="22"/>
          <w:szCs w:val="22"/>
        </w:rPr>
        <w:t>计划项下的理财资</w:t>
      </w:r>
      <w:r>
        <w:rPr>
          <w:rFonts w:ascii="宋体" w:hAnsi="宋体" w:hint="eastAsia"/>
          <w:kern w:val="0"/>
          <w:sz w:val="22"/>
          <w:szCs w:val="22"/>
        </w:rPr>
        <w:lastRenderedPageBreak/>
        <w:t>金遭受损失。如信托计划</w:t>
      </w:r>
      <w:r>
        <w:rPr>
          <w:rFonts w:ascii="宋体" w:hAnsi="宋体"/>
          <w:kern w:val="0"/>
          <w:sz w:val="22"/>
          <w:szCs w:val="22"/>
        </w:rPr>
        <w:t>/</w:t>
      </w:r>
      <w:proofErr w:type="gramStart"/>
      <w:r>
        <w:rPr>
          <w:rFonts w:ascii="宋体" w:hAnsi="宋体" w:hint="eastAsia"/>
          <w:kern w:val="0"/>
          <w:sz w:val="22"/>
          <w:szCs w:val="22"/>
        </w:rPr>
        <w:t>资管计划</w:t>
      </w:r>
      <w:proofErr w:type="gramEnd"/>
      <w:r>
        <w:rPr>
          <w:rFonts w:ascii="宋体" w:hAnsi="宋体" w:hint="eastAsia"/>
          <w:kern w:val="0"/>
          <w:sz w:val="22"/>
          <w:szCs w:val="22"/>
        </w:rPr>
        <w:t>的受托人/管理人（如有）、相关投资顾问（如有）等及其内部作业、人员管理及系统操作不当或失误，或</w:t>
      </w:r>
      <w:r>
        <w:rPr>
          <w:rFonts w:ascii="宋体" w:hAnsi="宋体"/>
          <w:kern w:val="0"/>
          <w:sz w:val="22"/>
          <w:szCs w:val="22"/>
        </w:rPr>
        <w:t>违背</w:t>
      </w:r>
      <w:r>
        <w:rPr>
          <w:rFonts w:ascii="宋体" w:hAnsi="宋体" w:hint="eastAsia"/>
          <w:kern w:val="0"/>
          <w:sz w:val="22"/>
          <w:szCs w:val="22"/>
        </w:rPr>
        <w:t>相关</w:t>
      </w:r>
      <w:r>
        <w:rPr>
          <w:rFonts w:ascii="宋体" w:hAnsi="宋体"/>
          <w:kern w:val="0"/>
          <w:sz w:val="22"/>
          <w:szCs w:val="22"/>
        </w:rPr>
        <w:t>合同约定</w:t>
      </w:r>
      <w:r>
        <w:rPr>
          <w:rFonts w:ascii="宋体" w:hAnsi="宋体" w:hint="eastAsia"/>
          <w:kern w:val="0"/>
          <w:sz w:val="22"/>
          <w:szCs w:val="22"/>
        </w:rPr>
        <w:t>、</w:t>
      </w:r>
      <w:r>
        <w:rPr>
          <w:rFonts w:ascii="宋体" w:hAnsi="宋体"/>
          <w:kern w:val="0"/>
          <w:sz w:val="22"/>
          <w:szCs w:val="22"/>
        </w:rPr>
        <w:t>未严格执行风险控制措施、</w:t>
      </w:r>
      <w:r>
        <w:rPr>
          <w:rFonts w:ascii="宋体" w:hAnsi="宋体" w:hint="eastAsia"/>
          <w:kern w:val="0"/>
          <w:sz w:val="22"/>
          <w:szCs w:val="22"/>
        </w:rPr>
        <w:t>处理事务不当等，可能</w:t>
      </w:r>
      <w:r>
        <w:rPr>
          <w:rFonts w:ascii="宋体" w:hAnsi="宋体"/>
          <w:kern w:val="0"/>
          <w:sz w:val="22"/>
          <w:szCs w:val="22"/>
        </w:rPr>
        <w:t>导致本理财</w:t>
      </w:r>
      <w:r>
        <w:rPr>
          <w:rFonts w:ascii="宋体" w:hAnsi="宋体" w:hint="eastAsia"/>
          <w:kern w:val="0"/>
          <w:sz w:val="22"/>
          <w:szCs w:val="22"/>
        </w:rPr>
        <w:t>计划项下的理财资金遭受损失。</w:t>
      </w:r>
    </w:p>
    <w:p w:rsidR="0065182B" w:rsidRDefault="00F35FEB">
      <w:pPr>
        <w:pStyle w:val="af8"/>
        <w:numPr>
          <w:ilvl w:val="0"/>
          <w:numId w:val="1"/>
        </w:numPr>
        <w:adjustRightInd w:val="0"/>
        <w:snapToGrid w:val="0"/>
        <w:spacing w:line="300" w:lineRule="auto"/>
        <w:ind w:left="0" w:firstLineChars="0" w:firstLine="0"/>
        <w:rPr>
          <w:rFonts w:ascii="宋体" w:hAnsi="宋体"/>
          <w:b/>
          <w:bCs/>
          <w:color w:val="000000"/>
          <w:sz w:val="22"/>
          <w:szCs w:val="22"/>
        </w:rPr>
      </w:pPr>
      <w:r>
        <w:rPr>
          <w:rFonts w:ascii="宋体" w:hAnsi="宋体" w:hint="eastAsia"/>
          <w:b/>
          <w:bCs/>
          <w:color w:val="000000"/>
          <w:sz w:val="22"/>
          <w:szCs w:val="22"/>
          <w:lang w:val="zh-CN"/>
        </w:rPr>
        <w:t>政策风险：</w:t>
      </w:r>
      <w:r>
        <w:rPr>
          <w:rFonts w:ascii="宋体" w:hAnsi="宋体" w:hint="eastAsia"/>
          <w:bCs/>
          <w:color w:val="000000"/>
          <w:sz w:val="22"/>
          <w:szCs w:val="22"/>
          <w:lang w:val="zh-CN"/>
        </w:rPr>
        <w:t>本理财计划根据当前的相关法规和政策设计，如国家宏观政策以及市场相关法规政策发生变化，可能影响理财计划的受理、投资、</w:t>
      </w:r>
      <w:r>
        <w:rPr>
          <w:rFonts w:ascii="宋体" w:hAnsi="宋体" w:hint="eastAsia"/>
          <w:bCs/>
          <w:color w:val="000000"/>
          <w:kern w:val="0"/>
          <w:sz w:val="22"/>
          <w:szCs w:val="22"/>
          <w:lang w:val="zh-CN"/>
        </w:rPr>
        <w:t>偿还等的正常进行，</w:t>
      </w:r>
      <w:r>
        <w:rPr>
          <w:rFonts w:ascii="宋体" w:hAnsi="宋体" w:hint="eastAsia"/>
          <w:b/>
          <w:bCs/>
          <w:color w:val="000000"/>
          <w:kern w:val="0"/>
          <w:sz w:val="22"/>
          <w:szCs w:val="22"/>
          <w:lang w:val="zh-CN"/>
        </w:rPr>
        <w:t>甚至导致本理财计划收益降低甚至本金损失。</w:t>
      </w:r>
    </w:p>
    <w:p w:rsidR="0065182B" w:rsidRDefault="00F35FEB">
      <w:pPr>
        <w:pStyle w:val="af8"/>
        <w:numPr>
          <w:ilvl w:val="0"/>
          <w:numId w:val="1"/>
        </w:numPr>
        <w:adjustRightInd w:val="0"/>
        <w:snapToGrid w:val="0"/>
        <w:spacing w:line="300" w:lineRule="auto"/>
        <w:ind w:left="0" w:firstLineChars="0" w:firstLine="0"/>
        <w:rPr>
          <w:rFonts w:ascii="宋体" w:hAnsi="宋体"/>
          <w:bCs/>
          <w:color w:val="000000"/>
          <w:kern w:val="0"/>
          <w:sz w:val="22"/>
          <w:szCs w:val="22"/>
        </w:rPr>
      </w:pPr>
      <w:r>
        <w:rPr>
          <w:rFonts w:ascii="宋体" w:hAnsi="宋体" w:hint="eastAsia"/>
          <w:b/>
          <w:bCs/>
          <w:color w:val="000000"/>
          <w:kern w:val="0"/>
          <w:sz w:val="22"/>
          <w:szCs w:val="22"/>
          <w:lang w:val="zh-CN"/>
        </w:rPr>
        <w:t>延期风险：</w:t>
      </w:r>
      <w:r>
        <w:rPr>
          <w:rFonts w:ascii="宋体" w:hAnsi="宋体" w:hint="eastAsia"/>
          <w:bCs/>
          <w:color w:val="000000"/>
          <w:kern w:val="0"/>
          <w:sz w:val="22"/>
          <w:szCs w:val="22"/>
          <w:lang w:val="zh-CN"/>
        </w:rPr>
        <w:t>理财计划预计</w:t>
      </w:r>
      <w:proofErr w:type="gramStart"/>
      <w:r>
        <w:rPr>
          <w:rFonts w:ascii="宋体" w:hAnsi="宋体" w:hint="eastAsia"/>
          <w:bCs/>
          <w:color w:val="000000"/>
          <w:kern w:val="0"/>
          <w:sz w:val="22"/>
          <w:szCs w:val="22"/>
          <w:lang w:val="zh-CN"/>
        </w:rPr>
        <w:t>到期日届至</w:t>
      </w:r>
      <w:proofErr w:type="gramEnd"/>
      <w:r>
        <w:rPr>
          <w:rFonts w:ascii="宋体" w:hAnsi="宋体" w:hint="eastAsia"/>
          <w:bCs/>
          <w:color w:val="000000"/>
          <w:kern w:val="0"/>
          <w:sz w:val="22"/>
          <w:szCs w:val="22"/>
          <w:lang w:val="zh-CN"/>
        </w:rPr>
        <w:t>时，如因理财计划所投资的标的资产因信用风险、市场风险等原因造成理财计划部分或全部不能变现，或其他法律规定及理财产品销售文件约定的理财计划延期的情形，将可能导致管理人延长理财计划期限。如管理人延长理财计划期限的，将通过“信息披露”约定的方式向投资者披露。在此情况下，投资者可能面临无法按照预计存续期限获得投资本金及收益（如有）的风险。</w:t>
      </w:r>
    </w:p>
    <w:p w:rsidR="0065182B" w:rsidRDefault="00F35FEB">
      <w:pPr>
        <w:numPr>
          <w:ilvl w:val="0"/>
          <w:numId w:val="1"/>
        </w:numPr>
        <w:tabs>
          <w:tab w:val="left" w:pos="0"/>
        </w:tabs>
        <w:adjustRightInd w:val="0"/>
        <w:snapToGrid w:val="0"/>
        <w:spacing w:line="300" w:lineRule="auto"/>
        <w:rPr>
          <w:rFonts w:ascii="宋体" w:hAnsi="宋体"/>
          <w:b/>
          <w:kern w:val="0"/>
          <w:sz w:val="22"/>
          <w:szCs w:val="22"/>
        </w:rPr>
      </w:pPr>
      <w:r>
        <w:rPr>
          <w:rFonts w:ascii="宋体" w:hAnsi="宋体"/>
          <w:b/>
          <w:kern w:val="0"/>
          <w:sz w:val="22"/>
          <w:szCs w:val="22"/>
        </w:rPr>
        <w:t>流动性风险</w:t>
      </w:r>
      <w:r>
        <w:rPr>
          <w:rFonts w:ascii="宋体" w:hAnsi="宋体" w:hint="eastAsia"/>
          <w:b/>
          <w:kern w:val="0"/>
          <w:sz w:val="22"/>
          <w:szCs w:val="22"/>
        </w:rPr>
        <w:t>：</w:t>
      </w:r>
    </w:p>
    <w:p w:rsidR="0065182B" w:rsidRDefault="00F35FEB">
      <w:pPr>
        <w:tabs>
          <w:tab w:val="left" w:pos="0"/>
          <w:tab w:val="left" w:pos="360"/>
        </w:tabs>
        <w:adjustRightInd w:val="0"/>
        <w:snapToGrid w:val="0"/>
        <w:spacing w:line="300" w:lineRule="auto"/>
        <w:rPr>
          <w:rFonts w:ascii="宋体" w:hAnsi="宋体"/>
          <w:kern w:val="0"/>
          <w:sz w:val="22"/>
          <w:szCs w:val="22"/>
        </w:rPr>
      </w:pPr>
      <w:r>
        <w:rPr>
          <w:rFonts w:ascii="宋体" w:hAnsi="宋体" w:hint="eastAsia"/>
          <w:b/>
          <w:kern w:val="0"/>
          <w:sz w:val="22"/>
          <w:szCs w:val="22"/>
        </w:rPr>
        <w:t>（</w:t>
      </w:r>
      <w:r>
        <w:rPr>
          <w:rFonts w:ascii="宋体" w:hAnsi="宋体"/>
          <w:b/>
          <w:kern w:val="0"/>
          <w:sz w:val="22"/>
          <w:szCs w:val="22"/>
        </w:rPr>
        <w:t>1）</w:t>
      </w:r>
      <w:r>
        <w:rPr>
          <w:rFonts w:ascii="宋体" w:hAnsi="宋体" w:hint="eastAsia"/>
          <w:b/>
          <w:kern w:val="0"/>
          <w:sz w:val="22"/>
          <w:szCs w:val="22"/>
        </w:rPr>
        <w:t>主要拟投资市场、资产的流动性风险</w:t>
      </w:r>
      <w:r>
        <w:rPr>
          <w:rFonts w:ascii="宋体" w:hAnsi="宋体" w:hint="eastAsia"/>
          <w:kern w:val="0"/>
          <w:sz w:val="22"/>
          <w:szCs w:val="22"/>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w:t>
      </w:r>
      <w:r>
        <w:rPr>
          <w:rFonts w:ascii="宋体" w:hAnsi="宋体"/>
          <w:kern w:val="0"/>
          <w:sz w:val="22"/>
          <w:szCs w:val="22"/>
        </w:rPr>
        <w:t>若本理财计划投资的标的资产成交少</w:t>
      </w:r>
      <w:r>
        <w:rPr>
          <w:rFonts w:ascii="宋体" w:hAnsi="宋体" w:hint="eastAsia"/>
          <w:kern w:val="0"/>
          <w:sz w:val="22"/>
          <w:szCs w:val="22"/>
        </w:rPr>
        <w:t>，</w:t>
      </w:r>
      <w:r>
        <w:rPr>
          <w:rFonts w:ascii="宋体" w:hAnsi="宋体"/>
          <w:kern w:val="0"/>
          <w:sz w:val="22"/>
          <w:szCs w:val="22"/>
        </w:rPr>
        <w:t>流动性低</w:t>
      </w:r>
      <w:r>
        <w:rPr>
          <w:rFonts w:ascii="宋体" w:hAnsi="宋体" w:hint="eastAsia"/>
          <w:kern w:val="0"/>
          <w:sz w:val="22"/>
          <w:szCs w:val="22"/>
        </w:rPr>
        <w:t>，即使在市场流动性较好的情况下，因个别资产的流动性可能较差，可能造成无法以合理价格买入或卖出的情形，并因此影响投资者收益，甚至使本产品遭受损失；三是为应对投资者的赎回或履行其他支付义务，管理人被迫以不适当的价格卖出债券或其他资产；四是投资不存在活跃交易市场且需要采用估值技术确定公允价值的低流动性资产，存在理财计划可变现的资产变现后仍不能满足投资者的赎回或履行其他支付义务的情况，可能</w:t>
      </w:r>
      <w:proofErr w:type="gramStart"/>
      <w:r>
        <w:rPr>
          <w:rFonts w:ascii="宋体" w:hAnsi="宋体" w:hint="eastAsia"/>
          <w:kern w:val="0"/>
          <w:sz w:val="22"/>
          <w:szCs w:val="22"/>
        </w:rPr>
        <w:t>存在低</w:t>
      </w:r>
      <w:proofErr w:type="gramEnd"/>
      <w:r>
        <w:rPr>
          <w:rFonts w:ascii="宋体" w:hAnsi="宋体" w:hint="eastAsia"/>
          <w:kern w:val="0"/>
          <w:sz w:val="22"/>
          <w:szCs w:val="22"/>
        </w:rPr>
        <w:t>流动性资产无法变现或处置，或以不适当的价格处置的情况。以上均可能影响本理财计划投资收益、影响投资者赎回安排，甚至使本理财计划遭受损失。</w:t>
      </w:r>
    </w:p>
    <w:p w:rsidR="0065182B" w:rsidRDefault="00F35FEB">
      <w:pPr>
        <w:tabs>
          <w:tab w:val="left" w:pos="0"/>
          <w:tab w:val="left" w:pos="360"/>
        </w:tabs>
        <w:adjustRightInd w:val="0"/>
        <w:snapToGrid w:val="0"/>
        <w:spacing w:line="300" w:lineRule="auto"/>
        <w:rPr>
          <w:rFonts w:ascii="宋体" w:hAnsi="宋体"/>
          <w:kern w:val="0"/>
          <w:sz w:val="22"/>
          <w:szCs w:val="22"/>
        </w:rPr>
      </w:pPr>
      <w:r>
        <w:rPr>
          <w:rFonts w:asciiTheme="minorEastAsia" w:eastAsiaTheme="minorEastAsia" w:hAnsiTheme="minorEastAsia" w:hint="eastAsia"/>
          <w:b/>
          <w:kern w:val="0"/>
          <w:sz w:val="22"/>
          <w:szCs w:val="22"/>
        </w:rPr>
        <w:t>（2）投资者</w:t>
      </w:r>
      <w:r>
        <w:rPr>
          <w:rFonts w:asciiTheme="minorEastAsia" w:eastAsiaTheme="minorEastAsia" w:hAnsiTheme="minorEastAsia"/>
          <w:b/>
          <w:kern w:val="0"/>
          <w:sz w:val="22"/>
          <w:szCs w:val="22"/>
        </w:rPr>
        <w:t>资金</w:t>
      </w:r>
      <w:r>
        <w:rPr>
          <w:rFonts w:asciiTheme="minorEastAsia" w:eastAsiaTheme="minorEastAsia" w:hAnsiTheme="minorEastAsia" w:hint="eastAsia"/>
          <w:b/>
          <w:kern w:val="0"/>
          <w:sz w:val="22"/>
          <w:szCs w:val="22"/>
        </w:rPr>
        <w:t>流动性风险：</w:t>
      </w:r>
      <w:r>
        <w:rPr>
          <w:rFonts w:asciiTheme="majorEastAsia" w:eastAsiaTheme="majorEastAsia" w:hAnsiTheme="majorEastAsia" w:cs="Arial" w:hint="eastAsia"/>
          <w:b/>
          <w:kern w:val="0"/>
          <w:sz w:val="22"/>
        </w:rPr>
        <w:t>本理财计划存续期30年，</w:t>
      </w:r>
      <w:r>
        <w:rPr>
          <w:rFonts w:asciiTheme="minorEastAsia" w:eastAsiaTheme="minorEastAsia" w:hAnsiTheme="minorEastAsia" w:cs="Arial" w:hint="eastAsia"/>
          <w:b/>
          <w:kern w:val="0"/>
          <w:sz w:val="22"/>
        </w:rPr>
        <w:t>存续期内</w:t>
      </w:r>
      <w:r>
        <w:rPr>
          <w:rFonts w:asciiTheme="majorEastAsia" w:eastAsiaTheme="majorEastAsia" w:hAnsiTheme="majorEastAsia" w:cs="Arial" w:hint="eastAsia"/>
          <w:b/>
          <w:kern w:val="0"/>
          <w:sz w:val="22"/>
        </w:rPr>
        <w:t>每个工作日开放，投资者只能在本产品说明书约定的申购、赎回期内办理赎回。</w:t>
      </w:r>
      <w:r>
        <w:rPr>
          <w:rFonts w:ascii="宋体" w:hAnsi="宋体"/>
          <w:kern w:val="0"/>
          <w:sz w:val="22"/>
          <w:szCs w:val="22"/>
        </w:rPr>
        <w:t>投资者应当根据自身投资目标、投资期限等情况审慎</w:t>
      </w:r>
      <w:proofErr w:type="gramStart"/>
      <w:r>
        <w:rPr>
          <w:rFonts w:ascii="宋体" w:hAnsi="宋体"/>
          <w:kern w:val="0"/>
          <w:sz w:val="22"/>
          <w:szCs w:val="22"/>
        </w:rPr>
        <w:t>作出</w:t>
      </w:r>
      <w:proofErr w:type="gramEnd"/>
      <w:r>
        <w:rPr>
          <w:rFonts w:ascii="宋体" w:hAnsi="宋体"/>
          <w:kern w:val="0"/>
          <w:sz w:val="22"/>
          <w:szCs w:val="22"/>
        </w:rPr>
        <w:t>投资决策。</w:t>
      </w:r>
    </w:p>
    <w:p w:rsidR="0065182B" w:rsidRDefault="00F35FEB">
      <w:pPr>
        <w:tabs>
          <w:tab w:val="left" w:pos="0"/>
          <w:tab w:val="left" w:pos="360"/>
        </w:tabs>
        <w:adjustRightInd w:val="0"/>
        <w:snapToGrid w:val="0"/>
        <w:spacing w:line="300" w:lineRule="auto"/>
        <w:rPr>
          <w:rFonts w:ascii="仿宋" w:eastAsia="仿宋" w:hAnsi="仿宋" w:cs="仿宋"/>
          <w:color w:val="333333"/>
          <w:sz w:val="24"/>
          <w:shd w:val="clear" w:color="auto" w:fill="FEFEFE"/>
        </w:rPr>
      </w:pPr>
      <w:r>
        <w:rPr>
          <w:rFonts w:asciiTheme="minorEastAsia" w:eastAsiaTheme="minorEastAsia" w:hAnsiTheme="minorEastAsia" w:hint="eastAsia"/>
          <w:b/>
          <w:kern w:val="0"/>
          <w:sz w:val="22"/>
          <w:szCs w:val="22"/>
        </w:rPr>
        <w:t>（</w:t>
      </w:r>
      <w:r>
        <w:rPr>
          <w:rFonts w:asciiTheme="minorEastAsia" w:eastAsiaTheme="minorEastAsia" w:hAnsiTheme="minorEastAsia"/>
          <w:b/>
          <w:kern w:val="0"/>
          <w:sz w:val="22"/>
          <w:szCs w:val="22"/>
        </w:rPr>
        <w:t>3）巨额赎回情况下的流动性风险</w:t>
      </w:r>
      <w:r>
        <w:rPr>
          <w:rFonts w:asciiTheme="minorEastAsia" w:eastAsiaTheme="minorEastAsia" w:hAnsiTheme="minorEastAsia" w:hint="eastAsia"/>
          <w:b/>
          <w:kern w:val="0"/>
          <w:sz w:val="22"/>
          <w:szCs w:val="22"/>
        </w:rPr>
        <w:t>：</w:t>
      </w:r>
      <w:r>
        <w:rPr>
          <w:rFonts w:asciiTheme="minorEastAsia" w:eastAsiaTheme="minorEastAsia" w:hAnsiTheme="minorEastAsia" w:hint="eastAsia"/>
          <w:kern w:val="0"/>
          <w:sz w:val="22"/>
          <w:szCs w:val="22"/>
        </w:rPr>
        <w:t>在理财计划存续期内，若理财计划单个</w:t>
      </w:r>
      <w:proofErr w:type="gramStart"/>
      <w:r>
        <w:rPr>
          <w:rFonts w:asciiTheme="minorEastAsia" w:eastAsiaTheme="minorEastAsia" w:hAnsiTheme="minorEastAsia" w:hint="eastAsia"/>
          <w:kern w:val="0"/>
          <w:sz w:val="22"/>
          <w:szCs w:val="22"/>
        </w:rPr>
        <w:t>开放日净赎回</w:t>
      </w:r>
      <w:proofErr w:type="gramEnd"/>
      <w:r>
        <w:rPr>
          <w:rFonts w:asciiTheme="minorEastAsia" w:eastAsiaTheme="minorEastAsia" w:hAnsiTheme="minorEastAsia" w:hint="eastAsia"/>
          <w:kern w:val="0"/>
          <w:sz w:val="22"/>
          <w:szCs w:val="22"/>
        </w:rPr>
        <w:t>申请份额（赎回申请份额总数扣除申购申请份额总数）超过本理财计划上一工作日日终份额的10%时，即为发生巨额赎回。</w:t>
      </w:r>
      <w:r>
        <w:rPr>
          <w:rFonts w:asciiTheme="minorEastAsia" w:eastAsiaTheme="minorEastAsia" w:hAnsiTheme="minorEastAsia" w:hint="eastAsia"/>
          <w:b/>
          <w:kern w:val="0"/>
          <w:sz w:val="22"/>
          <w:szCs w:val="22"/>
        </w:rPr>
        <w:t>当理财计划发生巨额赎回时，管理人有权依照理财计划当时的资产组合状况选择全额赎回或部分赎回；如连续</w:t>
      </w:r>
      <w:r>
        <w:rPr>
          <w:rFonts w:asciiTheme="minorEastAsia" w:eastAsiaTheme="minorEastAsia" w:hAnsiTheme="minorEastAsia"/>
          <w:b/>
          <w:kern w:val="0"/>
          <w:sz w:val="22"/>
          <w:szCs w:val="22"/>
        </w:rPr>
        <w:t>2个开放日以上(含)</w:t>
      </w:r>
      <w:r>
        <w:rPr>
          <w:rFonts w:asciiTheme="minorEastAsia" w:eastAsiaTheme="minorEastAsia" w:hAnsiTheme="minorEastAsia" w:hint="eastAsia"/>
          <w:b/>
          <w:kern w:val="0"/>
          <w:sz w:val="22"/>
          <w:szCs w:val="22"/>
        </w:rPr>
        <w:t>发生巨额赎回，</w:t>
      </w:r>
      <w:r>
        <w:rPr>
          <w:rFonts w:hint="eastAsia"/>
          <w:b/>
          <w:sz w:val="22"/>
          <w:szCs w:val="22"/>
        </w:rPr>
        <w:t>除有权选择全额赎回或部分赎回等措施外，对于已经接受的赎回申请，管理人还可延缓支付赎回款项，延缓期限不超过</w:t>
      </w:r>
      <w:r>
        <w:rPr>
          <w:rFonts w:hint="eastAsia"/>
          <w:b/>
          <w:sz w:val="22"/>
          <w:szCs w:val="22"/>
        </w:rPr>
        <w:t>20</w:t>
      </w:r>
      <w:r>
        <w:rPr>
          <w:rFonts w:hint="eastAsia"/>
          <w:b/>
          <w:sz w:val="22"/>
          <w:szCs w:val="22"/>
        </w:rPr>
        <w:t>个工作日</w:t>
      </w:r>
      <w:r>
        <w:rPr>
          <w:rFonts w:asciiTheme="minorEastAsia" w:eastAsiaTheme="minorEastAsia" w:hAnsiTheme="minorEastAsia" w:hint="eastAsia"/>
          <w:b/>
          <w:kern w:val="0"/>
          <w:sz w:val="22"/>
          <w:szCs w:val="22"/>
        </w:rPr>
        <w:t>。发生上述情形时，投资者将面临无法全部赎回或无法及时获得赎回资金的风险，由此可能影响投资者的资金安排，带来流动性风险。在本理财计划暂停接受或延期办理投资者赎回申请的情况下，投资者未能赎回的理财计划份额还将面临净值波动的风险。</w:t>
      </w:r>
      <w:r>
        <w:rPr>
          <w:rFonts w:asciiTheme="minorEastAsia" w:eastAsiaTheme="minorEastAsia" w:hAnsiTheme="minorEastAsia" w:hint="eastAsia"/>
          <w:kern w:val="0"/>
          <w:sz w:val="22"/>
          <w:szCs w:val="22"/>
        </w:rPr>
        <w:t>若出现巨额赎回，管理人选择运用暂停接受投资者的赎回申请、延期办理巨额赎回申请、延缓支付赎回款项等措施后，在运用相关措施后的</w:t>
      </w:r>
      <w:r>
        <w:rPr>
          <w:rFonts w:asciiTheme="minorEastAsia" w:eastAsiaTheme="minorEastAsia" w:hAnsiTheme="minorEastAsia"/>
          <w:kern w:val="0"/>
          <w:sz w:val="22"/>
          <w:szCs w:val="22"/>
        </w:rPr>
        <w:t>3</w:t>
      </w:r>
      <w:r>
        <w:rPr>
          <w:rFonts w:asciiTheme="minorEastAsia" w:eastAsiaTheme="minorEastAsia" w:hAnsiTheme="minorEastAsia" w:hint="eastAsia"/>
          <w:kern w:val="0"/>
          <w:sz w:val="22"/>
          <w:szCs w:val="22"/>
        </w:rPr>
        <w:t>个交易日内按《产品说明书》信息披露相关约定进行信息披露。</w:t>
      </w:r>
    </w:p>
    <w:p w:rsidR="0065182B" w:rsidRDefault="00F35FEB">
      <w:pPr>
        <w:tabs>
          <w:tab w:val="left" w:pos="0"/>
          <w:tab w:val="left" w:pos="360"/>
        </w:tabs>
        <w:adjustRightInd w:val="0"/>
        <w:snapToGrid w:val="0"/>
        <w:spacing w:line="300" w:lineRule="auto"/>
        <w:rPr>
          <w:rFonts w:asciiTheme="minorEastAsia" w:eastAsiaTheme="minorEastAsia" w:hAnsiTheme="minorEastAsia"/>
          <w:kern w:val="0"/>
          <w:sz w:val="22"/>
          <w:szCs w:val="22"/>
        </w:rPr>
      </w:pPr>
      <w:r>
        <w:rPr>
          <w:rFonts w:asciiTheme="minorEastAsia" w:eastAsiaTheme="minorEastAsia" w:hAnsiTheme="minorEastAsia" w:hint="eastAsia"/>
          <w:b/>
          <w:kern w:val="0"/>
          <w:sz w:val="22"/>
          <w:szCs w:val="22"/>
        </w:rPr>
        <w:t>（</w:t>
      </w:r>
      <w:r>
        <w:rPr>
          <w:rFonts w:asciiTheme="minorEastAsia" w:eastAsiaTheme="minorEastAsia" w:hAnsiTheme="minorEastAsia"/>
          <w:b/>
          <w:kern w:val="0"/>
          <w:sz w:val="22"/>
          <w:szCs w:val="22"/>
        </w:rPr>
        <w:t>4）</w:t>
      </w:r>
      <w:r>
        <w:rPr>
          <w:rFonts w:asciiTheme="minorEastAsia" w:eastAsiaTheme="minorEastAsia" w:hAnsiTheme="minorEastAsia" w:hint="eastAsia"/>
          <w:b/>
          <w:kern w:val="0"/>
          <w:sz w:val="22"/>
          <w:szCs w:val="22"/>
        </w:rPr>
        <w:t>运用流动性风险应对措施下的潜在影响：</w:t>
      </w:r>
      <w:r>
        <w:rPr>
          <w:rFonts w:asciiTheme="minorEastAsia" w:eastAsiaTheme="minorEastAsia" w:hAnsiTheme="minorEastAsia" w:hint="eastAsia"/>
          <w:kern w:val="0"/>
          <w:sz w:val="22"/>
          <w:szCs w:val="22"/>
        </w:rPr>
        <w:t>除巨额赎回情形外，根据国家相关法律法</w:t>
      </w:r>
      <w:r>
        <w:rPr>
          <w:rFonts w:asciiTheme="minorEastAsia" w:eastAsiaTheme="minorEastAsia" w:hAnsiTheme="minorEastAsia" w:hint="eastAsia"/>
          <w:kern w:val="0"/>
          <w:sz w:val="22"/>
          <w:szCs w:val="22"/>
        </w:rPr>
        <w:lastRenderedPageBreak/>
        <w:t>规及理财计划《产品说明书》约定，在确保投资者得到公平对待的前提下，本理财计划还可以运用相关流动性风险应对措施应对除巨额赎回情况外的其他流动性风险，包括但不限于暂停接受赎回申请、延缓支付赎回款项、暂停理财产品估值以及</w:t>
      </w:r>
      <w:r w:rsidR="00FC0C07">
        <w:rPr>
          <w:rFonts w:asciiTheme="minorEastAsia" w:eastAsiaTheme="minorEastAsia" w:hAnsiTheme="minorEastAsia" w:hint="eastAsia"/>
          <w:kern w:val="0"/>
          <w:sz w:val="22"/>
          <w:szCs w:val="22"/>
        </w:rPr>
        <w:t>监管</w:t>
      </w:r>
      <w:r>
        <w:rPr>
          <w:rFonts w:asciiTheme="minorEastAsia" w:eastAsiaTheme="minorEastAsia" w:hAnsiTheme="minorEastAsia" w:hint="eastAsia"/>
          <w:kern w:val="0"/>
          <w:sz w:val="22"/>
          <w:szCs w:val="22"/>
        </w:rPr>
        <w:t>规定的其他措施，并在运用后的3个交易日内进行信息披露，相关流动性风险应对措施使用情形及程序详见《产品说明书》。敬请投资者留意管理人运用上述流动性风险应对措施的相关风险：</w:t>
      </w:r>
    </w:p>
    <w:p w:rsidR="0065182B" w:rsidRDefault="00F35FEB">
      <w:pPr>
        <w:tabs>
          <w:tab w:val="left" w:pos="0"/>
          <w:tab w:val="left" w:pos="360"/>
        </w:tabs>
        <w:adjustRightInd w:val="0"/>
        <w:snapToGrid w:val="0"/>
        <w:spacing w:line="300" w:lineRule="auto"/>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1）暂停接受赎回申请或延缓支付赎回款项</w:t>
      </w:r>
    </w:p>
    <w:p w:rsidR="0065182B" w:rsidRDefault="00F35FEB">
      <w:pPr>
        <w:tabs>
          <w:tab w:val="left" w:pos="0"/>
          <w:tab w:val="left" w:pos="360"/>
        </w:tabs>
        <w:adjustRightInd w:val="0"/>
        <w:snapToGrid w:val="0"/>
        <w:spacing w:line="300" w:lineRule="auto"/>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若产品管理人采用暂停赎回的流动性风险应对措施，投资者在暂停赎回期间将无法赎回其持有的产品份额。若产品管理人采用延缓支付赎回款项的流动性风险应对措施，投资人接收赎回款项的时间将可能比一般正常情形下有所延迟。</w:t>
      </w:r>
    </w:p>
    <w:p w:rsidR="0065182B" w:rsidRDefault="00F35FEB">
      <w:pPr>
        <w:tabs>
          <w:tab w:val="left" w:pos="0"/>
          <w:tab w:val="left" w:pos="360"/>
        </w:tabs>
        <w:adjustRightInd w:val="0"/>
        <w:snapToGrid w:val="0"/>
        <w:spacing w:line="300" w:lineRule="auto"/>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2）暂停</w:t>
      </w:r>
      <w:r>
        <w:rPr>
          <w:rFonts w:ascii="宋体" w:hAnsi="宋体" w:hint="eastAsia"/>
          <w:sz w:val="22"/>
          <w:szCs w:val="22"/>
        </w:rPr>
        <w:t>理财产品</w:t>
      </w:r>
      <w:r>
        <w:rPr>
          <w:rFonts w:asciiTheme="minorEastAsia" w:eastAsiaTheme="minorEastAsia" w:hAnsiTheme="minorEastAsia" w:hint="eastAsia"/>
          <w:kern w:val="0"/>
          <w:sz w:val="22"/>
          <w:szCs w:val="22"/>
        </w:rPr>
        <w:t>估值</w:t>
      </w:r>
    </w:p>
    <w:p w:rsidR="0065182B" w:rsidRDefault="00F35FEB">
      <w:pPr>
        <w:tabs>
          <w:tab w:val="left" w:pos="0"/>
          <w:tab w:val="left" w:pos="360"/>
        </w:tabs>
        <w:adjustRightInd w:val="0"/>
        <w:snapToGrid w:val="0"/>
        <w:spacing w:line="300" w:lineRule="auto"/>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若产品管理人采用暂停</w:t>
      </w:r>
      <w:r>
        <w:rPr>
          <w:rFonts w:ascii="宋体" w:hAnsi="宋体" w:hint="eastAsia"/>
          <w:sz w:val="22"/>
          <w:szCs w:val="22"/>
        </w:rPr>
        <w:t>理财产品</w:t>
      </w:r>
      <w:r>
        <w:rPr>
          <w:rFonts w:asciiTheme="minorEastAsia" w:eastAsiaTheme="minorEastAsia" w:hAnsiTheme="minorEastAsia" w:hint="eastAsia"/>
          <w:kern w:val="0"/>
          <w:sz w:val="22"/>
          <w:szCs w:val="22"/>
        </w:rPr>
        <w:t>估值的流动性风险应对措施，投资人没有可供参考的产品单位净值，同时赎回申请可能被暂停接受，或被延缓支付赎回款项。</w:t>
      </w:r>
    </w:p>
    <w:p w:rsidR="0065182B" w:rsidRDefault="00F35FEB">
      <w:pPr>
        <w:pStyle w:val="af8"/>
        <w:numPr>
          <w:ilvl w:val="0"/>
          <w:numId w:val="1"/>
        </w:numPr>
        <w:adjustRightInd w:val="0"/>
        <w:snapToGrid w:val="0"/>
        <w:spacing w:line="300" w:lineRule="auto"/>
        <w:ind w:left="0" w:firstLineChars="0" w:firstLine="0"/>
        <w:rPr>
          <w:rFonts w:ascii="宋体" w:hAnsi="宋体"/>
          <w:b/>
          <w:bCs/>
          <w:color w:val="000000"/>
          <w:kern w:val="0"/>
          <w:sz w:val="22"/>
          <w:szCs w:val="22"/>
          <w:lang w:val="zh-CN"/>
        </w:rPr>
      </w:pPr>
      <w:r>
        <w:rPr>
          <w:rFonts w:ascii="宋体" w:hAnsi="宋体"/>
          <w:b/>
          <w:bCs/>
          <w:color w:val="000000"/>
          <w:kern w:val="0"/>
          <w:sz w:val="22"/>
          <w:szCs w:val="22"/>
          <w:lang w:val="zh-CN"/>
        </w:rPr>
        <w:t>提前终止</w:t>
      </w:r>
      <w:r>
        <w:rPr>
          <w:rFonts w:ascii="宋体" w:hAnsi="宋体" w:hint="eastAsia"/>
          <w:b/>
          <w:bCs/>
          <w:color w:val="000000"/>
          <w:kern w:val="0"/>
          <w:sz w:val="22"/>
          <w:szCs w:val="22"/>
          <w:lang w:val="zh-CN"/>
        </w:rPr>
        <w:t>风险：</w:t>
      </w:r>
      <w:r>
        <w:rPr>
          <w:rFonts w:ascii="宋体" w:hAnsi="宋体" w:hint="eastAsia"/>
          <w:bCs/>
          <w:color w:val="000000"/>
          <w:kern w:val="0"/>
          <w:sz w:val="22"/>
          <w:szCs w:val="22"/>
          <w:lang w:val="zh-CN"/>
        </w:rPr>
        <w:t>招银理财有权但无义务</w:t>
      </w:r>
      <w:r>
        <w:rPr>
          <w:rFonts w:ascii="宋体" w:hAnsi="宋体" w:hint="eastAsia"/>
          <w:kern w:val="0"/>
          <w:sz w:val="22"/>
          <w:szCs w:val="22"/>
        </w:rPr>
        <w:t>在理财计划到期日之前</w:t>
      </w:r>
      <w:r>
        <w:rPr>
          <w:rFonts w:ascii="宋体" w:hAnsi="宋体" w:hint="eastAsia"/>
          <w:bCs/>
          <w:color w:val="000000"/>
          <w:kern w:val="0"/>
          <w:sz w:val="22"/>
          <w:szCs w:val="22"/>
          <w:lang w:val="zh-CN"/>
        </w:rPr>
        <w:t>终止本理财计划，如果</w:t>
      </w:r>
      <w:r>
        <w:rPr>
          <w:rFonts w:asciiTheme="minorEastAsia" w:eastAsiaTheme="minorEastAsia" w:hAnsiTheme="minorEastAsia" w:hint="eastAsia"/>
          <w:kern w:val="0"/>
          <w:sz w:val="22"/>
          <w:szCs w:val="22"/>
        </w:rPr>
        <w:t>招银理财</w:t>
      </w:r>
      <w:r>
        <w:rPr>
          <w:rFonts w:asciiTheme="minorEastAsia" w:eastAsiaTheme="minorEastAsia" w:hAnsiTheme="minorEastAsia"/>
          <w:kern w:val="0"/>
          <w:sz w:val="22"/>
          <w:szCs w:val="22"/>
        </w:rPr>
        <w:t>有限责任公司</w:t>
      </w:r>
      <w:r>
        <w:rPr>
          <w:rFonts w:ascii="宋体" w:hAnsi="宋体" w:hint="eastAsia"/>
          <w:bCs/>
          <w:color w:val="000000"/>
          <w:kern w:val="0"/>
          <w:sz w:val="22"/>
          <w:szCs w:val="22"/>
          <w:lang w:val="zh-CN"/>
        </w:rPr>
        <w:t>在特定情况下</w:t>
      </w:r>
      <w:r>
        <w:rPr>
          <w:rFonts w:asciiTheme="minorEastAsia" w:eastAsiaTheme="minorEastAsia" w:hAnsiTheme="minorEastAsia" w:cs="Arial"/>
          <w:kern w:val="0"/>
          <w:sz w:val="22"/>
          <w:szCs w:val="22"/>
        </w:rPr>
        <w:t>在</w:t>
      </w:r>
      <w:r>
        <w:rPr>
          <w:rFonts w:asciiTheme="minorEastAsia" w:eastAsiaTheme="minorEastAsia" w:hAnsiTheme="minorEastAsia" w:cs="Arial"/>
          <w:sz w:val="22"/>
          <w:szCs w:val="22"/>
        </w:rPr>
        <w:t>理财计划</w:t>
      </w:r>
      <w:r>
        <w:rPr>
          <w:rFonts w:asciiTheme="minorEastAsia" w:eastAsiaTheme="minorEastAsia" w:hAnsiTheme="minorEastAsia" w:cs="Arial" w:hint="eastAsia"/>
          <w:sz w:val="22"/>
          <w:szCs w:val="22"/>
        </w:rPr>
        <w:t>预计</w:t>
      </w:r>
      <w:r>
        <w:rPr>
          <w:rFonts w:asciiTheme="minorEastAsia" w:eastAsiaTheme="minorEastAsia" w:hAnsiTheme="minorEastAsia" w:cs="Arial"/>
          <w:kern w:val="0"/>
          <w:sz w:val="22"/>
          <w:szCs w:val="22"/>
        </w:rPr>
        <w:t>到期日之前</w:t>
      </w:r>
      <w:r>
        <w:rPr>
          <w:rFonts w:ascii="宋体" w:hAnsi="宋体" w:hint="eastAsia"/>
          <w:bCs/>
          <w:color w:val="000000"/>
          <w:kern w:val="0"/>
          <w:sz w:val="22"/>
          <w:szCs w:val="22"/>
          <w:lang w:val="zh-CN"/>
        </w:rPr>
        <w:t>终止理财计划，则该理财计划的实际理财期可能短</w:t>
      </w:r>
      <w:r>
        <w:rPr>
          <w:rFonts w:ascii="宋体" w:hAnsi="宋体"/>
          <w:bCs/>
          <w:color w:val="000000"/>
          <w:kern w:val="0"/>
          <w:sz w:val="22"/>
          <w:szCs w:val="22"/>
          <w:lang w:val="zh-CN"/>
        </w:rPr>
        <w:t>于</w:t>
      </w:r>
      <w:r>
        <w:rPr>
          <w:rFonts w:ascii="宋体" w:hAnsi="宋体" w:hint="eastAsia"/>
          <w:bCs/>
          <w:color w:val="000000"/>
          <w:kern w:val="0"/>
          <w:sz w:val="22"/>
          <w:szCs w:val="22"/>
          <w:lang w:val="zh-CN"/>
        </w:rPr>
        <w:t>预计存续</w:t>
      </w:r>
      <w:r>
        <w:rPr>
          <w:rFonts w:ascii="宋体" w:hAnsi="宋体"/>
          <w:bCs/>
          <w:color w:val="000000"/>
          <w:kern w:val="0"/>
          <w:sz w:val="22"/>
          <w:szCs w:val="22"/>
          <w:lang w:val="zh-CN"/>
        </w:rPr>
        <w:t>期限</w:t>
      </w:r>
      <w:r>
        <w:rPr>
          <w:rFonts w:ascii="宋体" w:hAnsi="宋体" w:hint="eastAsia"/>
          <w:bCs/>
          <w:color w:val="000000"/>
          <w:kern w:val="0"/>
          <w:sz w:val="22"/>
          <w:szCs w:val="22"/>
          <w:lang w:val="zh-CN"/>
        </w:rPr>
        <w:t>。如果理财计划提前到期，</w:t>
      </w:r>
      <w:r>
        <w:rPr>
          <w:rFonts w:ascii="宋体" w:hAnsi="宋体"/>
          <w:bCs/>
          <w:color w:val="000000"/>
          <w:kern w:val="0"/>
          <w:sz w:val="22"/>
          <w:szCs w:val="22"/>
          <w:lang w:val="zh-CN"/>
        </w:rPr>
        <w:t>投资者</w:t>
      </w:r>
      <w:r>
        <w:rPr>
          <w:rFonts w:ascii="宋体" w:hAnsi="宋体" w:hint="eastAsia"/>
          <w:bCs/>
          <w:color w:val="000000"/>
          <w:kern w:val="0"/>
          <w:sz w:val="22"/>
          <w:szCs w:val="22"/>
          <w:lang w:val="zh-CN"/>
        </w:rPr>
        <w:t>可能无法实现期初预期的全部收益。</w:t>
      </w:r>
    </w:p>
    <w:p w:rsidR="0065182B" w:rsidRDefault="00F35FEB">
      <w:pPr>
        <w:pStyle w:val="af8"/>
        <w:numPr>
          <w:ilvl w:val="0"/>
          <w:numId w:val="1"/>
        </w:numPr>
        <w:adjustRightInd w:val="0"/>
        <w:snapToGrid w:val="0"/>
        <w:spacing w:line="300" w:lineRule="auto"/>
        <w:ind w:left="0" w:firstLineChars="0" w:firstLine="0"/>
        <w:rPr>
          <w:rFonts w:ascii="宋体" w:hAnsi="宋体"/>
          <w:b/>
          <w:bCs/>
          <w:color w:val="000000"/>
          <w:kern w:val="0"/>
          <w:sz w:val="22"/>
          <w:szCs w:val="22"/>
          <w:lang w:val="zh-CN"/>
        </w:rPr>
      </w:pPr>
      <w:r>
        <w:rPr>
          <w:rFonts w:ascii="宋体" w:hAnsi="宋体" w:hint="eastAsia"/>
          <w:b/>
          <w:bCs/>
          <w:color w:val="000000"/>
          <w:kern w:val="0"/>
          <w:sz w:val="22"/>
          <w:szCs w:val="22"/>
          <w:lang w:val="zh-CN"/>
        </w:rPr>
        <w:t>理财计划不成立风险：</w:t>
      </w:r>
      <w:r>
        <w:rPr>
          <w:rFonts w:ascii="宋体" w:hAnsi="宋体" w:hint="eastAsia"/>
          <w:bCs/>
          <w:color w:val="000000"/>
          <w:kern w:val="0"/>
          <w:sz w:val="22"/>
          <w:szCs w:val="22"/>
          <w:lang w:val="zh-CN"/>
        </w:rPr>
        <w:t>如自本理财计划开始认购至理财计划原定成立日之前，理财计划</w:t>
      </w:r>
      <w:proofErr w:type="gramStart"/>
      <w:r>
        <w:rPr>
          <w:rFonts w:ascii="宋体" w:hAnsi="宋体" w:hint="eastAsia"/>
          <w:bCs/>
          <w:color w:val="000000"/>
          <w:kern w:val="0"/>
          <w:sz w:val="22"/>
          <w:szCs w:val="22"/>
          <w:lang w:val="zh-CN"/>
        </w:rPr>
        <w:t>认购总</w:t>
      </w:r>
      <w:proofErr w:type="gramEnd"/>
      <w:r>
        <w:rPr>
          <w:rFonts w:ascii="宋体" w:hAnsi="宋体" w:hint="eastAsia"/>
          <w:bCs/>
          <w:color w:val="000000"/>
          <w:kern w:val="0"/>
          <w:sz w:val="22"/>
          <w:szCs w:val="22"/>
          <w:lang w:val="zh-CN"/>
        </w:rPr>
        <w:t>金额未达到规模下限（如有约定），或国家宏观政策以及市场相关法规政策发生变化，或市场发生剧烈波动，</w:t>
      </w:r>
      <w:r>
        <w:rPr>
          <w:rFonts w:ascii="宋体" w:hAnsi="宋体"/>
          <w:bCs/>
          <w:color w:val="000000"/>
          <w:kern w:val="0"/>
          <w:sz w:val="22"/>
          <w:szCs w:val="22"/>
          <w:lang w:val="zh-CN"/>
        </w:rPr>
        <w:t>或出现其他使得本理财计划无法</w:t>
      </w:r>
      <w:proofErr w:type="gramStart"/>
      <w:r>
        <w:rPr>
          <w:rFonts w:ascii="宋体" w:hAnsi="宋体"/>
          <w:bCs/>
          <w:color w:val="000000"/>
          <w:kern w:val="0"/>
          <w:sz w:val="22"/>
          <w:szCs w:val="22"/>
          <w:lang w:val="zh-CN"/>
        </w:rPr>
        <w:t>正常成立</w:t>
      </w:r>
      <w:proofErr w:type="gramEnd"/>
      <w:r>
        <w:rPr>
          <w:rFonts w:ascii="宋体" w:hAnsi="宋体"/>
          <w:bCs/>
          <w:color w:val="000000"/>
          <w:kern w:val="0"/>
          <w:sz w:val="22"/>
          <w:szCs w:val="22"/>
          <w:lang w:val="zh-CN"/>
        </w:rPr>
        <w:t>的情况，</w:t>
      </w:r>
      <w:proofErr w:type="gramStart"/>
      <w:r>
        <w:rPr>
          <w:rFonts w:ascii="宋体" w:hAnsi="宋体" w:hint="eastAsia"/>
          <w:bCs/>
          <w:color w:val="000000"/>
          <w:kern w:val="0"/>
          <w:sz w:val="22"/>
          <w:szCs w:val="22"/>
          <w:lang w:val="zh-CN"/>
        </w:rPr>
        <w:t>且经</w:t>
      </w:r>
      <w:r>
        <w:rPr>
          <w:rFonts w:asciiTheme="minorEastAsia" w:eastAsiaTheme="minorEastAsia" w:hAnsiTheme="minorEastAsia" w:hint="eastAsia"/>
          <w:kern w:val="0"/>
          <w:sz w:val="22"/>
          <w:szCs w:val="22"/>
        </w:rPr>
        <w:t>招银</w:t>
      </w:r>
      <w:proofErr w:type="gramEnd"/>
      <w:r>
        <w:rPr>
          <w:rFonts w:asciiTheme="minorEastAsia" w:eastAsiaTheme="minorEastAsia" w:hAnsiTheme="minorEastAsia" w:hint="eastAsia"/>
          <w:kern w:val="0"/>
          <w:sz w:val="22"/>
          <w:szCs w:val="22"/>
        </w:rPr>
        <w:t>理财</w:t>
      </w:r>
      <w:r>
        <w:rPr>
          <w:rFonts w:ascii="宋体" w:hAnsi="宋体" w:hint="eastAsia"/>
          <w:bCs/>
          <w:color w:val="000000"/>
          <w:kern w:val="0"/>
          <w:sz w:val="22"/>
          <w:szCs w:val="22"/>
          <w:lang w:val="zh-CN"/>
        </w:rPr>
        <w:t>合理判断难以按照本产品说明书规定向投资者提供本理财计划，</w:t>
      </w:r>
      <w:r>
        <w:rPr>
          <w:rFonts w:asciiTheme="minorEastAsia" w:eastAsiaTheme="minorEastAsia" w:hAnsiTheme="minorEastAsia" w:hint="eastAsia"/>
          <w:kern w:val="0"/>
          <w:sz w:val="22"/>
          <w:szCs w:val="22"/>
        </w:rPr>
        <w:t>招银理财</w:t>
      </w:r>
      <w:r>
        <w:rPr>
          <w:rFonts w:ascii="宋体" w:hAnsi="宋体" w:hint="eastAsia"/>
          <w:bCs/>
          <w:color w:val="000000"/>
          <w:kern w:val="0"/>
          <w:sz w:val="22"/>
          <w:szCs w:val="22"/>
          <w:lang w:val="zh-CN"/>
        </w:rPr>
        <w:t>有权宣布本理财计划不成立。</w:t>
      </w:r>
    </w:p>
    <w:p w:rsidR="0065182B" w:rsidRDefault="00F35FEB">
      <w:pPr>
        <w:pStyle w:val="af8"/>
        <w:numPr>
          <w:ilvl w:val="0"/>
          <w:numId w:val="1"/>
        </w:numPr>
        <w:adjustRightInd w:val="0"/>
        <w:snapToGrid w:val="0"/>
        <w:spacing w:line="300" w:lineRule="auto"/>
        <w:ind w:left="0" w:firstLineChars="0" w:firstLine="0"/>
        <w:rPr>
          <w:rFonts w:ascii="宋体" w:hAnsi="宋体"/>
          <w:b/>
          <w:bCs/>
          <w:color w:val="000000"/>
          <w:kern w:val="0"/>
          <w:sz w:val="22"/>
          <w:szCs w:val="22"/>
          <w:lang w:val="zh-CN"/>
        </w:rPr>
      </w:pPr>
      <w:r>
        <w:rPr>
          <w:rFonts w:ascii="宋体" w:hAnsi="宋体" w:hint="eastAsia"/>
          <w:b/>
          <w:bCs/>
          <w:color w:val="000000"/>
          <w:kern w:val="0"/>
          <w:sz w:val="22"/>
          <w:szCs w:val="22"/>
          <w:lang w:val="zh-CN"/>
        </w:rPr>
        <w:t>信息传递风险：</w:t>
      </w:r>
      <w:r>
        <w:rPr>
          <w:rFonts w:asciiTheme="minorEastAsia" w:eastAsiaTheme="minorEastAsia" w:hAnsiTheme="minorEastAsia" w:cs="Arial"/>
          <w:sz w:val="22"/>
          <w:szCs w:val="22"/>
        </w:rPr>
        <w:t>招银理财</w:t>
      </w:r>
      <w:r>
        <w:rPr>
          <w:rFonts w:asciiTheme="minorEastAsia" w:eastAsiaTheme="minorEastAsia" w:hAnsiTheme="minorEastAsia" w:cs="Arial"/>
          <w:kern w:val="0"/>
          <w:sz w:val="22"/>
          <w:szCs w:val="22"/>
        </w:rPr>
        <w:t>按照本说明书有关“信息披露”的约定，发布理财计划的信息披露，投资者应及时查询。如果投资者未及时查询，或由于通讯故障、系统故障以及其他不可抗力等因素的影响使得投资者无法及时了解产品信息，并由此影响投资者的投资决策，</w:t>
      </w:r>
      <w:r>
        <w:rPr>
          <w:rFonts w:asciiTheme="minorEastAsia" w:eastAsiaTheme="minorEastAsia" w:hAnsiTheme="minorEastAsia" w:cs="Arial"/>
          <w:kern w:val="0"/>
          <w:sz w:val="24"/>
        </w:rPr>
        <w:t>因</w:t>
      </w:r>
      <w:r>
        <w:rPr>
          <w:rFonts w:asciiTheme="minorEastAsia" w:eastAsiaTheme="minorEastAsia" w:hAnsiTheme="minorEastAsia" w:cs="Arial" w:hint="eastAsia"/>
          <w:b/>
          <w:kern w:val="0"/>
          <w:sz w:val="24"/>
        </w:rPr>
        <w:t>此而产生的风险和不利后果由投资者自行承担；投资者预留在</w:t>
      </w:r>
      <w:r>
        <w:rPr>
          <w:rFonts w:asciiTheme="minorEastAsia" w:eastAsiaTheme="minorEastAsia" w:hAnsiTheme="minorEastAsia" w:cs="Arial" w:hint="eastAsia"/>
          <w:b/>
          <w:sz w:val="24"/>
        </w:rPr>
        <w:t>销售服务机构</w:t>
      </w:r>
      <w:r>
        <w:rPr>
          <w:rFonts w:asciiTheme="minorEastAsia" w:eastAsiaTheme="minorEastAsia" w:hAnsiTheme="minorEastAsia" w:cs="Arial" w:hint="eastAsia"/>
          <w:b/>
          <w:kern w:val="0"/>
          <w:sz w:val="24"/>
        </w:rPr>
        <w:t>的有效联系方式变更的，应及时通知</w:t>
      </w:r>
      <w:r>
        <w:rPr>
          <w:rFonts w:asciiTheme="minorEastAsia" w:eastAsiaTheme="minorEastAsia" w:hAnsiTheme="minorEastAsia" w:cs="Arial" w:hint="eastAsia"/>
          <w:b/>
          <w:sz w:val="24"/>
        </w:rPr>
        <w:t>销售服务机构</w:t>
      </w:r>
      <w:r>
        <w:rPr>
          <w:rFonts w:asciiTheme="minorEastAsia" w:eastAsiaTheme="minorEastAsia" w:hAnsiTheme="minorEastAsia" w:cs="Arial" w:hint="eastAsia"/>
          <w:b/>
          <w:kern w:val="0"/>
          <w:sz w:val="24"/>
        </w:rPr>
        <w:t>。如投资者未及时告知</w:t>
      </w:r>
      <w:r>
        <w:rPr>
          <w:rFonts w:asciiTheme="minorEastAsia" w:eastAsiaTheme="minorEastAsia" w:hAnsiTheme="minorEastAsia" w:cs="Arial" w:hint="eastAsia"/>
          <w:b/>
          <w:sz w:val="24"/>
        </w:rPr>
        <w:t>销售服务机构</w:t>
      </w:r>
      <w:r>
        <w:rPr>
          <w:rFonts w:asciiTheme="minorEastAsia" w:eastAsiaTheme="minorEastAsia" w:hAnsiTheme="minorEastAsia" w:cs="Arial" w:hint="eastAsia"/>
          <w:b/>
          <w:kern w:val="0"/>
          <w:sz w:val="24"/>
        </w:rPr>
        <w:t>联系方式变更的或因投资者其他原因导致</w:t>
      </w:r>
      <w:r>
        <w:rPr>
          <w:rFonts w:asciiTheme="minorEastAsia" w:eastAsiaTheme="minorEastAsia" w:hAnsiTheme="minorEastAsia" w:cs="Arial" w:hint="eastAsia"/>
          <w:b/>
          <w:sz w:val="24"/>
        </w:rPr>
        <w:t>销售服务机构或管理人</w:t>
      </w:r>
      <w:r>
        <w:rPr>
          <w:rFonts w:asciiTheme="minorEastAsia" w:eastAsiaTheme="minorEastAsia" w:hAnsiTheme="minorEastAsia" w:cs="Arial" w:hint="eastAsia"/>
          <w:b/>
          <w:kern w:val="0"/>
          <w:sz w:val="24"/>
        </w:rPr>
        <w:t>在需要联系投资者时无法及时联系上，可能会由此影响投资者的投资决策，由此而产生的风险和不利后果由投资者自行承担。</w:t>
      </w:r>
    </w:p>
    <w:p w:rsidR="0065182B" w:rsidRDefault="00F35FEB">
      <w:pPr>
        <w:pStyle w:val="af8"/>
        <w:numPr>
          <w:ilvl w:val="0"/>
          <w:numId w:val="1"/>
        </w:numPr>
        <w:adjustRightInd w:val="0"/>
        <w:snapToGrid w:val="0"/>
        <w:spacing w:line="300" w:lineRule="auto"/>
        <w:ind w:left="0" w:firstLineChars="0" w:firstLine="0"/>
        <w:rPr>
          <w:rFonts w:ascii="宋体" w:hAnsi="宋体"/>
          <w:bCs/>
          <w:color w:val="000000"/>
          <w:kern w:val="0"/>
          <w:sz w:val="22"/>
          <w:szCs w:val="22"/>
          <w:lang w:val="zh-CN"/>
        </w:rPr>
      </w:pPr>
      <w:r>
        <w:rPr>
          <w:rFonts w:ascii="宋体" w:hAnsi="宋体" w:hint="eastAsia"/>
          <w:b/>
          <w:bCs/>
          <w:color w:val="000000"/>
          <w:kern w:val="0"/>
          <w:sz w:val="22"/>
          <w:szCs w:val="22"/>
          <w:lang w:val="zh-CN"/>
        </w:rPr>
        <w:t>不可抗力风险：</w:t>
      </w:r>
      <w:r>
        <w:rPr>
          <w:rFonts w:ascii="宋体" w:hAnsi="宋体" w:hint="eastAsia"/>
          <w:bCs/>
          <w:color w:val="000000"/>
          <w:kern w:val="0"/>
          <w:sz w:val="22"/>
          <w:szCs w:val="22"/>
          <w:lang w:val="zh-CN"/>
        </w:rPr>
        <w:t>指由于自然灾害、战争等不可抗力因素的出现，将严重影响金融市场的正常运行，甚至影响理财计划的受理、投资、偿还等的正常进行，导致本理财计划收益降低甚至本金损失。</w:t>
      </w:r>
    </w:p>
    <w:p w:rsidR="0065182B" w:rsidRDefault="00F35FEB">
      <w:pPr>
        <w:pStyle w:val="af8"/>
        <w:numPr>
          <w:ilvl w:val="0"/>
          <w:numId w:val="1"/>
        </w:numPr>
        <w:adjustRightInd w:val="0"/>
        <w:snapToGrid w:val="0"/>
        <w:spacing w:line="300" w:lineRule="auto"/>
        <w:ind w:left="0" w:firstLineChars="0" w:firstLine="0"/>
        <w:rPr>
          <w:rFonts w:ascii="宋体" w:hAnsi="宋体"/>
          <w:bCs/>
          <w:color w:val="000000"/>
          <w:kern w:val="0"/>
          <w:sz w:val="22"/>
          <w:szCs w:val="22"/>
          <w:lang w:val="zh-CN"/>
        </w:rPr>
      </w:pPr>
      <w:r>
        <w:rPr>
          <w:rFonts w:asciiTheme="minorEastAsia" w:hAnsiTheme="minorEastAsia" w:hint="eastAsia"/>
          <w:b/>
          <w:sz w:val="22"/>
          <w:szCs w:val="22"/>
        </w:rPr>
        <w:t>税务风险：</w:t>
      </w:r>
      <w:r>
        <w:rPr>
          <w:rFonts w:ascii="宋体" w:hAnsi="宋体"/>
          <w:kern w:val="0"/>
          <w:sz w:val="22"/>
          <w:szCs w:val="22"/>
        </w:rPr>
        <w:t>理财计划</w:t>
      </w:r>
      <w:r>
        <w:rPr>
          <w:rFonts w:ascii="宋体" w:hAnsi="宋体" w:hint="eastAsia"/>
          <w:kern w:val="0"/>
          <w:sz w:val="22"/>
          <w:szCs w:val="22"/>
        </w:rPr>
        <w:t>在资产管理、</w:t>
      </w:r>
      <w:r>
        <w:rPr>
          <w:rFonts w:ascii="宋体" w:hAnsi="宋体"/>
          <w:kern w:val="0"/>
          <w:sz w:val="22"/>
          <w:szCs w:val="22"/>
        </w:rPr>
        <w:t>运营</w:t>
      </w:r>
      <w:r>
        <w:rPr>
          <w:rFonts w:ascii="宋体" w:hAnsi="宋体" w:hint="eastAsia"/>
          <w:kern w:val="0"/>
          <w:sz w:val="22"/>
          <w:szCs w:val="22"/>
        </w:rPr>
        <w:t>、处置</w:t>
      </w:r>
      <w:r>
        <w:rPr>
          <w:rFonts w:ascii="宋体" w:hAnsi="宋体"/>
          <w:kern w:val="0"/>
          <w:sz w:val="22"/>
          <w:szCs w:val="22"/>
        </w:rPr>
        <w:t>过程中</w:t>
      </w:r>
      <w:r>
        <w:rPr>
          <w:rFonts w:ascii="宋体" w:hAnsi="宋体" w:hint="eastAsia"/>
          <w:kern w:val="0"/>
          <w:sz w:val="22"/>
          <w:szCs w:val="22"/>
        </w:rPr>
        <w:t>产生的收入，</w:t>
      </w:r>
      <w:r>
        <w:rPr>
          <w:rFonts w:ascii="宋体" w:hAnsi="宋体"/>
          <w:kern w:val="0"/>
          <w:sz w:val="22"/>
          <w:szCs w:val="22"/>
        </w:rPr>
        <w:t>根据国家相关法律法规</w:t>
      </w:r>
      <w:r>
        <w:rPr>
          <w:rFonts w:ascii="宋体" w:hAnsi="宋体" w:hint="eastAsia"/>
          <w:kern w:val="0"/>
          <w:sz w:val="22"/>
          <w:szCs w:val="22"/>
        </w:rPr>
        <w:t>应缴纳增值税（含增值税附加税费，下同）及</w:t>
      </w:r>
      <w:r>
        <w:rPr>
          <w:rFonts w:ascii="宋体" w:hAnsi="宋体"/>
          <w:kern w:val="0"/>
          <w:sz w:val="22"/>
          <w:szCs w:val="22"/>
        </w:rPr>
        <w:t>/或其他税费的</w:t>
      </w:r>
      <w:r>
        <w:rPr>
          <w:rFonts w:ascii="宋体" w:hAnsi="宋体" w:hint="eastAsia"/>
          <w:kern w:val="0"/>
          <w:sz w:val="22"/>
          <w:szCs w:val="22"/>
        </w:rPr>
        <w:t>，即使本产品管理人被税务机关认定为纳税义务人，该等增值税及</w:t>
      </w:r>
      <w:r>
        <w:rPr>
          <w:rFonts w:ascii="宋体" w:hAnsi="宋体"/>
          <w:kern w:val="0"/>
          <w:sz w:val="22"/>
          <w:szCs w:val="22"/>
        </w:rPr>
        <w:t>/或其他税费仍属于应由理财计划承担的</w:t>
      </w:r>
      <w:r>
        <w:rPr>
          <w:rFonts w:ascii="宋体" w:hAnsi="宋体" w:hint="eastAsia"/>
          <w:kern w:val="0"/>
          <w:sz w:val="22"/>
          <w:szCs w:val="22"/>
        </w:rPr>
        <w:t>理财计划税费</w:t>
      </w:r>
      <w:r>
        <w:rPr>
          <w:rFonts w:ascii="宋体" w:hAnsi="宋体"/>
          <w:kern w:val="0"/>
          <w:sz w:val="22"/>
          <w:szCs w:val="22"/>
        </w:rPr>
        <w:t>，由本产品管理人申报和缴纳。该等税款将直接从理财计划中扣付缴纳，本理财计划将因为前述增值税等税负承担导致计划税费支出增加、理财计划净值或实际收</w:t>
      </w:r>
      <w:r>
        <w:rPr>
          <w:rFonts w:ascii="宋体" w:hAnsi="宋体"/>
          <w:kern w:val="0"/>
          <w:sz w:val="22"/>
          <w:szCs w:val="22"/>
        </w:rPr>
        <w:lastRenderedPageBreak/>
        <w:t>益降低，从而降低产品投资人的收益水平。</w:t>
      </w:r>
    </w:p>
    <w:p w:rsidR="0065182B" w:rsidRDefault="00F35FEB">
      <w:pPr>
        <w:pStyle w:val="af8"/>
        <w:numPr>
          <w:ilvl w:val="0"/>
          <w:numId w:val="1"/>
        </w:numPr>
        <w:adjustRightInd w:val="0"/>
        <w:snapToGrid w:val="0"/>
        <w:spacing w:line="300" w:lineRule="auto"/>
        <w:ind w:left="0" w:firstLineChars="0" w:firstLine="0"/>
        <w:rPr>
          <w:rFonts w:ascii="宋体" w:hAnsi="宋体"/>
          <w:b/>
          <w:kern w:val="0"/>
          <w:sz w:val="22"/>
          <w:szCs w:val="21"/>
        </w:rPr>
      </w:pPr>
      <w:r>
        <w:rPr>
          <w:rFonts w:ascii="宋体" w:hAnsi="宋体" w:cs="Arial"/>
          <w:b/>
          <w:sz w:val="22"/>
          <w:szCs w:val="22"/>
        </w:rPr>
        <w:t>估值风险：</w:t>
      </w:r>
      <w:r>
        <w:rPr>
          <w:rFonts w:ascii="宋体" w:hAnsi="宋体" w:cs="Arial"/>
          <w:sz w:val="22"/>
          <w:szCs w:val="22"/>
        </w:rPr>
        <w:t>本理财产品按《产品说明书》的估值方法进行估值，理财产品估值与实际变现价值可能发生偏离，投资者应知晓该风险。管理人估值仅作为参考，</w:t>
      </w:r>
      <w:r>
        <w:rPr>
          <w:rFonts w:ascii="宋体" w:hAnsi="宋体" w:cs="Arial" w:hint="eastAsia"/>
          <w:sz w:val="22"/>
          <w:szCs w:val="22"/>
        </w:rPr>
        <w:t>管理人</w:t>
      </w:r>
      <w:r>
        <w:rPr>
          <w:rFonts w:ascii="宋体" w:hAnsi="宋体" w:cs="Arial"/>
          <w:sz w:val="22"/>
          <w:szCs w:val="22"/>
        </w:rPr>
        <w:t>不承担第三方再次使用该估值引发的其他风险。</w:t>
      </w:r>
    </w:p>
    <w:p w:rsidR="0065182B" w:rsidRDefault="00F35FEB">
      <w:pPr>
        <w:pStyle w:val="af8"/>
        <w:adjustRightInd w:val="0"/>
        <w:snapToGrid w:val="0"/>
        <w:spacing w:line="300" w:lineRule="auto"/>
        <w:ind w:firstLineChars="0" w:firstLine="0"/>
        <w:rPr>
          <w:rFonts w:ascii="宋体" w:hAnsi="宋体"/>
          <w:bCs/>
          <w:kern w:val="0"/>
          <w:sz w:val="22"/>
          <w:szCs w:val="21"/>
        </w:rPr>
      </w:pPr>
      <w:r>
        <w:rPr>
          <w:rFonts w:ascii="宋体" w:hAnsi="宋体" w:hint="eastAsia"/>
          <w:bCs/>
          <w:kern w:val="0"/>
          <w:sz w:val="22"/>
          <w:szCs w:val="21"/>
        </w:rPr>
        <w:t>请投资者特别关注本产品采用摊</w:t>
      </w:r>
      <w:proofErr w:type="gramStart"/>
      <w:r>
        <w:rPr>
          <w:rFonts w:ascii="宋体" w:hAnsi="宋体" w:hint="eastAsia"/>
          <w:bCs/>
          <w:kern w:val="0"/>
          <w:sz w:val="22"/>
          <w:szCs w:val="21"/>
        </w:rPr>
        <w:t>余成本</w:t>
      </w:r>
      <w:proofErr w:type="gramEnd"/>
      <w:r>
        <w:rPr>
          <w:rFonts w:ascii="宋体" w:hAnsi="宋体" w:hint="eastAsia"/>
          <w:bCs/>
          <w:kern w:val="0"/>
          <w:sz w:val="22"/>
          <w:szCs w:val="21"/>
        </w:rPr>
        <w:t>法对持有投资组合进行会计核算的风险</w:t>
      </w:r>
      <w:r>
        <w:rPr>
          <w:rFonts w:ascii="宋体" w:hAnsi="宋体"/>
          <w:bCs/>
          <w:kern w:val="0"/>
          <w:sz w:val="22"/>
          <w:szCs w:val="21"/>
        </w:rPr>
        <w:t xml:space="preserve"> </w:t>
      </w:r>
      <w:r>
        <w:rPr>
          <w:rFonts w:ascii="宋体" w:hAnsi="宋体" w:hint="eastAsia"/>
          <w:bCs/>
          <w:kern w:val="0"/>
          <w:sz w:val="22"/>
          <w:szCs w:val="21"/>
        </w:rPr>
        <w:t>：由于</w:t>
      </w:r>
      <w:proofErr w:type="gramStart"/>
      <w:r>
        <w:rPr>
          <w:rFonts w:ascii="宋体" w:hAnsi="宋体" w:hint="eastAsia"/>
          <w:bCs/>
          <w:kern w:val="0"/>
          <w:sz w:val="22"/>
          <w:szCs w:val="21"/>
        </w:rPr>
        <w:t>按摊余成本</w:t>
      </w:r>
      <w:proofErr w:type="gramEnd"/>
      <w:r>
        <w:rPr>
          <w:rFonts w:ascii="宋体" w:hAnsi="宋体" w:hint="eastAsia"/>
          <w:bCs/>
          <w:kern w:val="0"/>
          <w:sz w:val="22"/>
          <w:szCs w:val="21"/>
        </w:rPr>
        <w:t>法计价可能会出现被计价对象的其他可参考公允价值指标</w:t>
      </w:r>
      <w:proofErr w:type="gramStart"/>
      <w:r>
        <w:rPr>
          <w:rFonts w:ascii="宋体" w:hAnsi="宋体" w:hint="eastAsia"/>
          <w:bCs/>
          <w:kern w:val="0"/>
          <w:sz w:val="22"/>
          <w:szCs w:val="21"/>
        </w:rPr>
        <w:t>和摊余成本</w:t>
      </w:r>
      <w:proofErr w:type="gramEnd"/>
      <w:r>
        <w:rPr>
          <w:rFonts w:ascii="宋体" w:hAnsi="宋体" w:hint="eastAsia"/>
          <w:bCs/>
          <w:kern w:val="0"/>
          <w:sz w:val="22"/>
          <w:szCs w:val="21"/>
        </w:rPr>
        <w:t>之间的偏离，为消除或减少因理财计划资产净值的背离导致理财计划产品份额投资者权益的稀释或其他不公平的结果，在实际操作中，理财计划管理人与理财计划托管人将采用估值技术，对理财计划持有的估值对象进行重新评估，即“影子定价”。当投资组合的摊</w:t>
      </w:r>
      <w:proofErr w:type="gramStart"/>
      <w:r>
        <w:rPr>
          <w:rFonts w:ascii="宋体" w:hAnsi="宋体" w:hint="eastAsia"/>
          <w:bCs/>
          <w:kern w:val="0"/>
          <w:sz w:val="22"/>
          <w:szCs w:val="21"/>
        </w:rPr>
        <w:t>余成本</w:t>
      </w:r>
      <w:proofErr w:type="gramEnd"/>
      <w:r>
        <w:rPr>
          <w:rFonts w:ascii="宋体" w:hAnsi="宋体" w:hint="eastAsia"/>
          <w:bCs/>
          <w:kern w:val="0"/>
          <w:sz w:val="22"/>
          <w:szCs w:val="21"/>
        </w:rPr>
        <w:t>与其他可参考公允价值指标产生重大偏离，管理人将按照其它可参考公允价值指标对组合的账面价值进行调整，使理财计划资产净值更能公允地反映理财计划资产价值，确保以摊</w:t>
      </w:r>
      <w:proofErr w:type="gramStart"/>
      <w:r>
        <w:rPr>
          <w:rFonts w:ascii="宋体" w:hAnsi="宋体" w:hint="eastAsia"/>
          <w:bCs/>
          <w:kern w:val="0"/>
          <w:sz w:val="22"/>
          <w:szCs w:val="21"/>
        </w:rPr>
        <w:t>余成本</w:t>
      </w:r>
      <w:proofErr w:type="gramEnd"/>
      <w:r>
        <w:rPr>
          <w:rFonts w:ascii="宋体" w:hAnsi="宋体" w:hint="eastAsia"/>
          <w:bCs/>
          <w:kern w:val="0"/>
          <w:sz w:val="22"/>
          <w:szCs w:val="21"/>
        </w:rPr>
        <w:t>法计算的理财计划资产净值不会对理财计划投资者造成实质性的损害。本理财计划因此面临净值波动的风险。</w:t>
      </w:r>
    </w:p>
    <w:p w:rsidR="0065182B" w:rsidRDefault="00F35FEB">
      <w:pPr>
        <w:pStyle w:val="af8"/>
        <w:numPr>
          <w:ilvl w:val="0"/>
          <w:numId w:val="1"/>
        </w:numPr>
        <w:adjustRightInd w:val="0"/>
        <w:snapToGrid w:val="0"/>
        <w:spacing w:line="300" w:lineRule="auto"/>
        <w:ind w:left="0" w:firstLineChars="0" w:firstLine="0"/>
        <w:rPr>
          <w:rFonts w:ascii="宋体" w:hAnsi="宋体"/>
          <w:b/>
          <w:kern w:val="0"/>
          <w:sz w:val="22"/>
          <w:szCs w:val="21"/>
        </w:rPr>
      </w:pPr>
      <w:r>
        <w:rPr>
          <w:rFonts w:asciiTheme="majorEastAsia" w:eastAsiaTheme="majorEastAsia" w:hAnsiTheme="majorEastAsia" w:cs="Arial" w:hint="eastAsia"/>
          <w:b/>
          <w:kern w:val="0"/>
          <w:sz w:val="22"/>
          <w:szCs w:val="22"/>
        </w:rPr>
        <w:t>单方修改《产品说明书》的风险：</w:t>
      </w:r>
      <w:r>
        <w:rPr>
          <w:rFonts w:asciiTheme="majorEastAsia" w:eastAsiaTheme="majorEastAsia" w:hAnsiTheme="majorEastAsia" w:cs="Arial" w:hint="eastAsia"/>
          <w:kern w:val="0"/>
          <w:sz w:val="22"/>
          <w:szCs w:val="22"/>
        </w:rPr>
        <w:t>如出于维持产品正常运营的需要且在</w:t>
      </w:r>
      <w:proofErr w:type="gramStart"/>
      <w:r>
        <w:rPr>
          <w:rFonts w:asciiTheme="majorEastAsia" w:eastAsiaTheme="majorEastAsia" w:hAnsiTheme="majorEastAsia" w:cs="Arial" w:hint="eastAsia"/>
          <w:kern w:val="0"/>
          <w:sz w:val="22"/>
          <w:szCs w:val="22"/>
        </w:rPr>
        <w:t>不</w:t>
      </w:r>
      <w:proofErr w:type="gramEnd"/>
      <w:r>
        <w:rPr>
          <w:rFonts w:asciiTheme="majorEastAsia" w:eastAsiaTheme="majorEastAsia" w:hAnsiTheme="majorEastAsia" w:cs="Arial" w:hint="eastAsia"/>
          <w:kern w:val="0"/>
          <w:sz w:val="22"/>
          <w:szCs w:val="22"/>
        </w:rPr>
        <w:t>实质损害投资者利益的前提下，或因国家法律法规、监管规定发生变化，招银理财有权在法律法规、监管规定允许的范围内单方对《产品说明书》进行修订。招银理财决定对《产品说明书》进行修订的，将提前两个工作日通知投资者。其中，对于投资者利益产生实质影响的事项（如对投资范围、投资品种、投资比例进行调整，增加费用名目、提高收费标准等，但因国家法律法规、监管规定发生变化导致的除外），客户如不同意补充或修改后的说明书，可在招银理财公告的补充或修改后的相关业务调整生效前赎回本理财计划（此种情况下招银理财将可能开放特殊赎回期间，具体以届时招银理财的公告为准），逾期未赎回的视为同意。</w:t>
      </w:r>
    </w:p>
    <w:p w:rsidR="0065182B" w:rsidRDefault="00F35FEB">
      <w:pPr>
        <w:pStyle w:val="af8"/>
        <w:numPr>
          <w:ilvl w:val="0"/>
          <w:numId w:val="1"/>
        </w:numPr>
        <w:adjustRightInd w:val="0"/>
        <w:snapToGrid w:val="0"/>
        <w:spacing w:line="300" w:lineRule="auto"/>
        <w:ind w:left="0" w:firstLineChars="0" w:firstLine="0"/>
        <w:rPr>
          <w:rFonts w:ascii="宋体" w:hAnsi="宋体"/>
          <w:b/>
          <w:kern w:val="0"/>
          <w:sz w:val="22"/>
          <w:szCs w:val="21"/>
        </w:rPr>
      </w:pPr>
      <w:r>
        <w:rPr>
          <w:rFonts w:ascii="宋体" w:hAnsi="宋体" w:hint="eastAsia"/>
          <w:b/>
          <w:kern w:val="0"/>
          <w:sz w:val="22"/>
          <w:szCs w:val="21"/>
        </w:rPr>
        <w:t>特定投资标的风险</w:t>
      </w:r>
    </w:p>
    <w:p w:rsidR="0065182B" w:rsidRDefault="00F35FEB">
      <w:pPr>
        <w:tabs>
          <w:tab w:val="left" w:pos="0"/>
          <w:tab w:val="left" w:pos="360"/>
        </w:tabs>
        <w:adjustRightInd w:val="0"/>
        <w:snapToGrid w:val="0"/>
        <w:spacing w:line="300" w:lineRule="auto"/>
        <w:rPr>
          <w:rFonts w:ascii="宋体" w:hAnsi="宋体"/>
          <w:b/>
          <w:kern w:val="0"/>
          <w:sz w:val="22"/>
          <w:szCs w:val="21"/>
        </w:rPr>
      </w:pPr>
      <w:r>
        <w:rPr>
          <w:rFonts w:ascii="宋体" w:hAnsi="宋体" w:hint="eastAsia"/>
          <w:b/>
          <w:kern w:val="0"/>
          <w:sz w:val="22"/>
          <w:szCs w:val="21"/>
        </w:rPr>
        <w:t>（</w:t>
      </w:r>
      <w:r>
        <w:rPr>
          <w:rFonts w:ascii="宋体" w:hAnsi="宋体"/>
          <w:b/>
          <w:kern w:val="0"/>
          <w:sz w:val="22"/>
          <w:szCs w:val="21"/>
        </w:rPr>
        <w:t>1）</w:t>
      </w:r>
      <w:r>
        <w:rPr>
          <w:rFonts w:ascii="宋体" w:hAnsi="宋体" w:hint="eastAsia"/>
          <w:b/>
          <w:kern w:val="0"/>
          <w:sz w:val="22"/>
          <w:szCs w:val="21"/>
        </w:rPr>
        <w:t>投资于债券的特殊风险</w:t>
      </w:r>
    </w:p>
    <w:p w:rsidR="0065182B" w:rsidRDefault="00F35FEB">
      <w:pPr>
        <w:tabs>
          <w:tab w:val="left" w:pos="0"/>
          <w:tab w:val="left" w:pos="360"/>
        </w:tabs>
        <w:adjustRightInd w:val="0"/>
        <w:snapToGrid w:val="0"/>
        <w:spacing w:line="300" w:lineRule="auto"/>
        <w:rPr>
          <w:rFonts w:ascii="宋体" w:hAnsi="宋体"/>
          <w:kern w:val="0"/>
          <w:sz w:val="22"/>
          <w:szCs w:val="21"/>
        </w:rPr>
      </w:pPr>
      <w:r>
        <w:rPr>
          <w:rFonts w:ascii="宋体" w:hAnsi="宋体"/>
          <w:kern w:val="0"/>
          <w:sz w:val="22"/>
          <w:szCs w:val="21"/>
        </w:rPr>
        <w:t>A市场平均利率水平变化导致债券价格变化的风险。</w:t>
      </w:r>
    </w:p>
    <w:p w:rsidR="0065182B" w:rsidRDefault="00F35FEB">
      <w:pPr>
        <w:tabs>
          <w:tab w:val="left" w:pos="0"/>
          <w:tab w:val="left" w:pos="360"/>
        </w:tabs>
        <w:adjustRightInd w:val="0"/>
        <w:snapToGrid w:val="0"/>
        <w:spacing w:line="300" w:lineRule="auto"/>
        <w:rPr>
          <w:rFonts w:ascii="宋体" w:hAnsi="宋体"/>
          <w:kern w:val="0"/>
          <w:sz w:val="22"/>
          <w:szCs w:val="21"/>
        </w:rPr>
      </w:pPr>
      <w:r>
        <w:rPr>
          <w:rFonts w:ascii="宋体" w:hAnsi="宋体"/>
          <w:kern w:val="0"/>
          <w:sz w:val="22"/>
          <w:szCs w:val="21"/>
        </w:rPr>
        <w:t>B债券市场不同期限、</w:t>
      </w:r>
      <w:proofErr w:type="gramStart"/>
      <w:r>
        <w:rPr>
          <w:rFonts w:ascii="宋体" w:hAnsi="宋体" w:hint="eastAsia"/>
          <w:kern w:val="0"/>
          <w:sz w:val="22"/>
          <w:szCs w:val="21"/>
        </w:rPr>
        <w:t>不</w:t>
      </w:r>
      <w:proofErr w:type="gramEnd"/>
      <w:r>
        <w:rPr>
          <w:rFonts w:ascii="宋体" w:hAnsi="宋体" w:hint="eastAsia"/>
          <w:kern w:val="0"/>
          <w:sz w:val="22"/>
          <w:szCs w:val="21"/>
        </w:rPr>
        <w:t>同类属债券之间的利差变动导致相应期限和类属债券价格变化的风险。</w:t>
      </w:r>
    </w:p>
    <w:p w:rsidR="0065182B" w:rsidRDefault="00F35FEB">
      <w:pPr>
        <w:tabs>
          <w:tab w:val="left" w:pos="0"/>
          <w:tab w:val="left" w:pos="360"/>
        </w:tabs>
        <w:adjustRightInd w:val="0"/>
        <w:snapToGrid w:val="0"/>
        <w:spacing w:line="300" w:lineRule="auto"/>
        <w:rPr>
          <w:rFonts w:ascii="宋体" w:hAnsi="宋体"/>
          <w:kern w:val="0"/>
          <w:sz w:val="22"/>
          <w:szCs w:val="21"/>
        </w:rPr>
      </w:pPr>
      <w:r>
        <w:rPr>
          <w:rFonts w:ascii="宋体" w:hAnsi="宋体"/>
          <w:kern w:val="0"/>
          <w:sz w:val="22"/>
          <w:szCs w:val="21"/>
        </w:rPr>
        <w:t>C债券的发行人的经营状况受到多种因素影响，如管理能力、财务状况、市场前景、行业竞争能力、技术更新、研究开发、人员素质等，都会导致发行人盈利发生变化，可能导致债券市场价格下跌或无法按时偿付本息，从而影响理财计划收益水平。</w:t>
      </w:r>
    </w:p>
    <w:p w:rsidR="0065182B" w:rsidRDefault="00F35FEB">
      <w:pPr>
        <w:tabs>
          <w:tab w:val="left" w:pos="0"/>
          <w:tab w:val="left" w:pos="360"/>
        </w:tabs>
        <w:adjustRightInd w:val="0"/>
        <w:snapToGrid w:val="0"/>
        <w:spacing w:line="300" w:lineRule="auto"/>
        <w:rPr>
          <w:rFonts w:ascii="宋体" w:hAnsi="宋体"/>
          <w:kern w:val="0"/>
          <w:sz w:val="22"/>
          <w:szCs w:val="21"/>
        </w:rPr>
      </w:pPr>
      <w:r>
        <w:rPr>
          <w:rFonts w:ascii="宋体" w:hAnsi="宋体"/>
          <w:kern w:val="0"/>
          <w:sz w:val="22"/>
          <w:szCs w:val="21"/>
        </w:rPr>
        <w:t>D 债券发行人、担保人出现违约、拒绝支付到期本息，或由于债券发行人、担保人信用质量降低导致债券价格下降及无法收回投资收益的风险。</w:t>
      </w:r>
    </w:p>
    <w:p w:rsidR="0065182B" w:rsidRDefault="00F35FEB">
      <w:pPr>
        <w:tabs>
          <w:tab w:val="left" w:pos="0"/>
          <w:tab w:val="left" w:pos="360"/>
        </w:tabs>
        <w:adjustRightInd w:val="0"/>
        <w:snapToGrid w:val="0"/>
        <w:spacing w:line="300" w:lineRule="auto"/>
        <w:rPr>
          <w:rFonts w:ascii="宋体" w:hAnsi="宋体"/>
          <w:kern w:val="0"/>
          <w:sz w:val="22"/>
          <w:szCs w:val="21"/>
        </w:rPr>
      </w:pPr>
      <w:r>
        <w:rPr>
          <w:rFonts w:ascii="宋体" w:hAnsi="宋体"/>
          <w:kern w:val="0"/>
          <w:sz w:val="22"/>
          <w:szCs w:val="21"/>
        </w:rPr>
        <w:t xml:space="preserve">E </w:t>
      </w:r>
      <w:r>
        <w:rPr>
          <w:rFonts w:ascii="宋体" w:hAnsi="宋体" w:hint="eastAsia"/>
          <w:kern w:val="0"/>
          <w:sz w:val="22"/>
          <w:szCs w:val="21"/>
        </w:rPr>
        <w:t>与信用等级较高的债券相比，投资于信用等级较低的债券将因为发行主体的偿还债务能力略低、受不利经济环境的影响更大以及违约风险更高等原因而面临更大的投资风险。</w:t>
      </w:r>
    </w:p>
    <w:p w:rsidR="0065182B" w:rsidRDefault="00F35FEB">
      <w:pPr>
        <w:tabs>
          <w:tab w:val="left" w:pos="0"/>
          <w:tab w:val="left" w:pos="360"/>
        </w:tabs>
        <w:adjustRightInd w:val="0"/>
        <w:snapToGrid w:val="0"/>
        <w:spacing w:line="300" w:lineRule="auto"/>
        <w:rPr>
          <w:rFonts w:ascii="宋体" w:hAnsi="宋体"/>
          <w:kern w:val="0"/>
          <w:sz w:val="22"/>
          <w:szCs w:val="21"/>
        </w:rPr>
      </w:pPr>
      <w:r>
        <w:rPr>
          <w:rFonts w:ascii="宋体" w:hAnsi="宋体"/>
          <w:kern w:val="0"/>
          <w:sz w:val="22"/>
          <w:szCs w:val="21"/>
        </w:rPr>
        <w:t xml:space="preserve">F </w:t>
      </w:r>
      <w:r>
        <w:rPr>
          <w:rFonts w:ascii="宋体" w:hAnsi="宋体" w:hint="eastAsia"/>
          <w:kern w:val="0"/>
          <w:sz w:val="22"/>
          <w:szCs w:val="21"/>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rsidR="0065182B" w:rsidRDefault="00F35FEB">
      <w:pPr>
        <w:tabs>
          <w:tab w:val="left" w:pos="0"/>
          <w:tab w:val="left" w:pos="360"/>
        </w:tabs>
        <w:adjustRightInd w:val="0"/>
        <w:snapToGrid w:val="0"/>
        <w:spacing w:line="300" w:lineRule="auto"/>
        <w:rPr>
          <w:rFonts w:ascii="宋体" w:hAnsi="宋体"/>
          <w:kern w:val="0"/>
          <w:sz w:val="22"/>
          <w:szCs w:val="21"/>
        </w:rPr>
      </w:pPr>
      <w:r>
        <w:rPr>
          <w:rFonts w:ascii="宋体" w:hAnsi="宋体"/>
          <w:kern w:val="0"/>
          <w:sz w:val="22"/>
          <w:szCs w:val="21"/>
        </w:rPr>
        <w:lastRenderedPageBreak/>
        <w:t xml:space="preserve">G </w:t>
      </w:r>
      <w:r>
        <w:rPr>
          <w:rFonts w:ascii="宋体" w:hAnsi="宋体" w:hint="eastAsia"/>
          <w:kern w:val="0"/>
          <w:sz w:val="22"/>
          <w:szCs w:val="21"/>
        </w:rPr>
        <w:t>相对于其他公开发行的债券，非公开定向债务融资工具、非公开发行公司债的流动性较差，其流通和转让均存在一定的限制，因此投资于非公开定向债务融资工具将面临较大的投资风险。</w:t>
      </w:r>
    </w:p>
    <w:p w:rsidR="0065182B" w:rsidRDefault="00F35FEB">
      <w:pPr>
        <w:tabs>
          <w:tab w:val="left" w:pos="0"/>
          <w:tab w:val="left" w:pos="360"/>
        </w:tabs>
        <w:adjustRightInd w:val="0"/>
        <w:snapToGrid w:val="0"/>
        <w:spacing w:line="300" w:lineRule="auto"/>
        <w:rPr>
          <w:rFonts w:ascii="宋体" w:hAnsi="宋体"/>
          <w:kern w:val="0"/>
          <w:sz w:val="22"/>
          <w:szCs w:val="21"/>
        </w:rPr>
      </w:pPr>
      <w:r>
        <w:rPr>
          <w:rFonts w:ascii="宋体" w:hAnsi="宋体" w:hint="eastAsia"/>
          <w:kern w:val="0"/>
          <w:sz w:val="22"/>
          <w:szCs w:val="21"/>
        </w:rPr>
        <w:t>H</w:t>
      </w:r>
      <w:r>
        <w:rPr>
          <w:rFonts w:ascii="宋体" w:hAnsi="宋体" w:hint="eastAsia"/>
          <w:kern w:val="0"/>
          <w:sz w:val="22"/>
          <w:szCs w:val="22"/>
        </w:rPr>
        <w:t>债券回购风险：债券投资可能会运用正回购来增加组合杠杆，较高的债券正回购比例可能增加组合的利率风险。</w:t>
      </w:r>
    </w:p>
    <w:p w:rsidR="0065182B" w:rsidRDefault="00F35FEB">
      <w:pPr>
        <w:tabs>
          <w:tab w:val="left" w:pos="0"/>
          <w:tab w:val="left" w:pos="360"/>
        </w:tabs>
        <w:adjustRightInd w:val="0"/>
        <w:snapToGrid w:val="0"/>
        <w:spacing w:line="300" w:lineRule="auto"/>
        <w:rPr>
          <w:rFonts w:ascii="宋体" w:hAnsi="宋体"/>
          <w:b/>
          <w:kern w:val="0"/>
          <w:sz w:val="22"/>
          <w:szCs w:val="21"/>
        </w:rPr>
      </w:pPr>
      <w:r>
        <w:rPr>
          <w:rFonts w:ascii="宋体" w:hAnsi="宋体" w:hint="eastAsia"/>
          <w:b/>
          <w:kern w:val="0"/>
          <w:sz w:val="22"/>
          <w:szCs w:val="21"/>
        </w:rPr>
        <w:t>（</w:t>
      </w:r>
      <w:r>
        <w:rPr>
          <w:rFonts w:ascii="宋体" w:hAnsi="宋体"/>
          <w:b/>
          <w:kern w:val="0"/>
          <w:sz w:val="22"/>
          <w:szCs w:val="21"/>
        </w:rPr>
        <w:t>2）投资于资产支持证券的特殊风险</w:t>
      </w:r>
    </w:p>
    <w:p w:rsidR="0065182B" w:rsidRDefault="00F35FEB">
      <w:pPr>
        <w:tabs>
          <w:tab w:val="left" w:pos="0"/>
          <w:tab w:val="left" w:pos="360"/>
        </w:tabs>
        <w:adjustRightInd w:val="0"/>
        <w:snapToGrid w:val="0"/>
        <w:spacing w:line="300" w:lineRule="auto"/>
        <w:ind w:firstLineChars="197" w:firstLine="433"/>
        <w:rPr>
          <w:rFonts w:ascii="宋体" w:hAnsi="宋体"/>
          <w:kern w:val="0"/>
          <w:sz w:val="22"/>
          <w:szCs w:val="21"/>
        </w:rPr>
      </w:pPr>
      <w:r>
        <w:rPr>
          <w:rFonts w:ascii="宋体" w:hAnsi="宋体" w:hint="eastAsia"/>
          <w:kern w:val="0"/>
          <w:sz w:val="22"/>
          <w:szCs w:val="21"/>
        </w:rPr>
        <w:t>资产支持证券的投资收益取决于资产支持证券项下的基础资产情况，如</w:t>
      </w:r>
      <w:proofErr w:type="gramStart"/>
      <w:r>
        <w:rPr>
          <w:rFonts w:ascii="宋体" w:hAnsi="宋体" w:hint="eastAsia"/>
          <w:kern w:val="0"/>
          <w:sz w:val="22"/>
          <w:szCs w:val="21"/>
        </w:rPr>
        <w:t>该基础</w:t>
      </w:r>
      <w:proofErr w:type="gramEnd"/>
      <w:r>
        <w:rPr>
          <w:rFonts w:ascii="宋体" w:hAnsi="宋体" w:hint="eastAsia"/>
          <w:kern w:val="0"/>
          <w:sz w:val="22"/>
          <w:szCs w:val="21"/>
        </w:rPr>
        <w:t>资产发生原始权益人破产或基础资产项下现金</w:t>
      </w:r>
      <w:proofErr w:type="gramStart"/>
      <w:r>
        <w:rPr>
          <w:rFonts w:ascii="宋体" w:hAnsi="宋体" w:hint="eastAsia"/>
          <w:kern w:val="0"/>
          <w:sz w:val="22"/>
          <w:szCs w:val="21"/>
        </w:rPr>
        <w:t>流未能</w:t>
      </w:r>
      <w:proofErr w:type="gramEnd"/>
      <w:r>
        <w:rPr>
          <w:rFonts w:ascii="宋体" w:hAnsi="宋体" w:hint="eastAsia"/>
          <w:kern w:val="0"/>
          <w:sz w:val="22"/>
          <w:szCs w:val="21"/>
        </w:rPr>
        <w:t>及时完整取得等情况，资产支持证券的收益将受到影响，且资产支持证券的流动性较低，由此本计划财产可能遭受损失，理财产品投资者可能无法如期获得投资收益。</w:t>
      </w:r>
    </w:p>
    <w:p w:rsidR="0065182B" w:rsidRDefault="00F35FEB">
      <w:pPr>
        <w:spacing w:line="300" w:lineRule="auto"/>
        <w:rPr>
          <w:rFonts w:asciiTheme="majorEastAsia" w:eastAsiaTheme="majorEastAsia" w:hAnsiTheme="majorEastAsia" w:cs="Arial"/>
          <w:b/>
          <w:kern w:val="0"/>
          <w:sz w:val="22"/>
        </w:rPr>
      </w:pPr>
      <w:r>
        <w:rPr>
          <w:rFonts w:ascii="宋体" w:hAnsi="宋体" w:hint="eastAsia"/>
          <w:b/>
          <w:kern w:val="0"/>
          <w:sz w:val="22"/>
          <w:szCs w:val="21"/>
        </w:rPr>
        <w:t>（</w:t>
      </w:r>
      <w:r>
        <w:rPr>
          <w:rFonts w:ascii="宋体" w:hAnsi="宋体"/>
          <w:b/>
          <w:kern w:val="0"/>
          <w:sz w:val="22"/>
          <w:szCs w:val="21"/>
        </w:rPr>
        <w:t>3）</w:t>
      </w:r>
      <w:r>
        <w:rPr>
          <w:rFonts w:asciiTheme="majorEastAsia" w:eastAsiaTheme="majorEastAsia" w:hAnsiTheme="majorEastAsia" w:cs="Arial" w:hint="eastAsia"/>
          <w:b/>
          <w:kern w:val="0"/>
          <w:sz w:val="22"/>
        </w:rPr>
        <w:t>投资于相关信托受益权、资产管理计划或基金的份额时，可能面临的受托人/资产/</w:t>
      </w:r>
      <w:r>
        <w:rPr>
          <w:rFonts w:asciiTheme="majorEastAsia" w:eastAsiaTheme="majorEastAsia" w:hAnsiTheme="majorEastAsia" w:cs="Arial"/>
          <w:b/>
          <w:kern w:val="0"/>
          <w:sz w:val="22"/>
        </w:rPr>
        <w:t>基金</w:t>
      </w:r>
      <w:r>
        <w:rPr>
          <w:rFonts w:asciiTheme="majorEastAsia" w:eastAsiaTheme="majorEastAsia" w:hAnsiTheme="majorEastAsia" w:cs="Arial" w:hint="eastAsia"/>
          <w:b/>
          <w:kern w:val="0"/>
          <w:sz w:val="22"/>
        </w:rPr>
        <w:t>管理人风险：</w:t>
      </w:r>
    </w:p>
    <w:p w:rsidR="0065182B" w:rsidRDefault="00F35FEB">
      <w:pPr>
        <w:spacing w:line="300" w:lineRule="auto"/>
        <w:ind w:firstLineChars="200" w:firstLine="440"/>
        <w:rPr>
          <w:rFonts w:asciiTheme="majorEastAsia" w:eastAsiaTheme="majorEastAsia" w:hAnsiTheme="majorEastAsia" w:cs="Arial"/>
          <w:kern w:val="0"/>
          <w:sz w:val="22"/>
        </w:rPr>
      </w:pPr>
      <w:r>
        <w:rPr>
          <w:rFonts w:asciiTheme="majorEastAsia" w:eastAsiaTheme="majorEastAsia" w:hAnsiTheme="majorEastAsia" w:cs="Arial" w:hint="eastAsia"/>
          <w:kern w:val="0"/>
          <w:sz w:val="22"/>
        </w:rPr>
        <w:t>如本理财计划投资于信托受益权、基金管理公司（含其子公司）/证券公司（含其子公司）、基金管理人等机构作为资产/</w:t>
      </w:r>
      <w:r>
        <w:rPr>
          <w:rFonts w:asciiTheme="majorEastAsia" w:eastAsiaTheme="majorEastAsia" w:hAnsiTheme="majorEastAsia" w:cs="Arial"/>
          <w:kern w:val="0"/>
          <w:sz w:val="22"/>
        </w:rPr>
        <w:t>基金</w:t>
      </w:r>
      <w:r>
        <w:rPr>
          <w:rFonts w:asciiTheme="majorEastAsia" w:eastAsiaTheme="majorEastAsia" w:hAnsiTheme="majorEastAsia" w:cs="Arial" w:hint="eastAsia"/>
          <w:kern w:val="0"/>
          <w:sz w:val="22"/>
        </w:rPr>
        <w:t>管理人管理的资产管理计划或基金产品，可能因相关受托人、资产管理人、基金管理人违法违规、未尽受托人/管理人职责或发生其他情形，造成本理财计划所投资的信托产品/</w:t>
      </w:r>
      <w:proofErr w:type="gramStart"/>
      <w:r>
        <w:rPr>
          <w:rFonts w:asciiTheme="majorEastAsia" w:eastAsiaTheme="majorEastAsia" w:hAnsiTheme="majorEastAsia" w:cs="Arial" w:hint="eastAsia"/>
          <w:kern w:val="0"/>
          <w:sz w:val="22"/>
        </w:rPr>
        <w:t>资管计划</w:t>
      </w:r>
      <w:proofErr w:type="gramEnd"/>
      <w:r>
        <w:rPr>
          <w:rFonts w:asciiTheme="majorEastAsia" w:eastAsiaTheme="majorEastAsia" w:hAnsiTheme="majorEastAsia" w:cs="Arial" w:hint="eastAsia"/>
          <w:kern w:val="0"/>
          <w:sz w:val="22"/>
        </w:rPr>
        <w:t>产品/</w:t>
      </w:r>
      <w:r>
        <w:rPr>
          <w:rFonts w:asciiTheme="majorEastAsia" w:eastAsiaTheme="majorEastAsia" w:hAnsiTheme="majorEastAsia" w:cs="Arial"/>
          <w:kern w:val="0"/>
          <w:sz w:val="22"/>
        </w:rPr>
        <w:t>基金</w:t>
      </w:r>
      <w:r>
        <w:rPr>
          <w:rFonts w:asciiTheme="majorEastAsia" w:eastAsiaTheme="majorEastAsia" w:hAnsiTheme="majorEastAsia" w:cs="Arial" w:hint="eastAsia"/>
          <w:kern w:val="0"/>
          <w:sz w:val="22"/>
        </w:rPr>
        <w:t>产品的财产损失，进而引起本理财计划的损失。信托产品/</w:t>
      </w:r>
      <w:proofErr w:type="gramStart"/>
      <w:r>
        <w:rPr>
          <w:rFonts w:asciiTheme="majorEastAsia" w:eastAsiaTheme="majorEastAsia" w:hAnsiTheme="majorEastAsia" w:cs="Arial" w:hint="eastAsia"/>
          <w:kern w:val="0"/>
          <w:sz w:val="22"/>
        </w:rPr>
        <w:t>资管计划</w:t>
      </w:r>
      <w:proofErr w:type="gramEnd"/>
      <w:r>
        <w:rPr>
          <w:rFonts w:asciiTheme="majorEastAsia" w:eastAsiaTheme="majorEastAsia" w:hAnsiTheme="majorEastAsia" w:cs="Arial" w:hint="eastAsia"/>
          <w:kern w:val="0"/>
          <w:sz w:val="22"/>
        </w:rPr>
        <w:t>产品/</w:t>
      </w:r>
      <w:r>
        <w:rPr>
          <w:rFonts w:asciiTheme="majorEastAsia" w:eastAsiaTheme="majorEastAsia" w:hAnsiTheme="majorEastAsia" w:cs="Arial"/>
          <w:kern w:val="0"/>
          <w:sz w:val="22"/>
        </w:rPr>
        <w:t>基金产品</w:t>
      </w:r>
      <w:r>
        <w:rPr>
          <w:rFonts w:asciiTheme="majorEastAsia" w:eastAsiaTheme="majorEastAsia" w:hAnsiTheme="majorEastAsia" w:cs="Arial" w:hint="eastAsia"/>
          <w:kern w:val="0"/>
          <w:sz w:val="22"/>
        </w:rPr>
        <w:t>可能出现因为某种原因而被提前终止的情况，由此可能会造成对本理财计划投资收益的影响。因本理财计划的管理人无法对所投资的信托产品/</w:t>
      </w:r>
      <w:proofErr w:type="gramStart"/>
      <w:r>
        <w:rPr>
          <w:rFonts w:asciiTheme="majorEastAsia" w:eastAsiaTheme="majorEastAsia" w:hAnsiTheme="majorEastAsia" w:cs="Arial" w:hint="eastAsia"/>
          <w:kern w:val="0"/>
          <w:sz w:val="22"/>
        </w:rPr>
        <w:t>资管计划</w:t>
      </w:r>
      <w:proofErr w:type="gramEnd"/>
      <w:r>
        <w:rPr>
          <w:rFonts w:asciiTheme="majorEastAsia" w:eastAsiaTheme="majorEastAsia" w:hAnsiTheme="majorEastAsia" w:cs="Arial" w:hint="eastAsia"/>
          <w:kern w:val="0"/>
          <w:sz w:val="22"/>
        </w:rPr>
        <w:t>产品/</w:t>
      </w:r>
      <w:r>
        <w:rPr>
          <w:rFonts w:asciiTheme="majorEastAsia" w:eastAsiaTheme="majorEastAsia" w:hAnsiTheme="majorEastAsia" w:cs="Arial"/>
          <w:kern w:val="0"/>
          <w:sz w:val="22"/>
        </w:rPr>
        <w:t>基金产品</w:t>
      </w:r>
      <w:r>
        <w:rPr>
          <w:rFonts w:asciiTheme="majorEastAsia" w:eastAsiaTheme="majorEastAsia" w:hAnsiTheme="majorEastAsia" w:cs="Arial" w:hint="eastAsia"/>
          <w:kern w:val="0"/>
          <w:sz w:val="22"/>
        </w:rPr>
        <w:t>进行投资决策，或相关受托人/资产管理人/</w:t>
      </w:r>
      <w:r>
        <w:rPr>
          <w:rFonts w:asciiTheme="majorEastAsia" w:eastAsiaTheme="majorEastAsia" w:hAnsiTheme="majorEastAsia" w:cs="Arial"/>
          <w:kern w:val="0"/>
          <w:sz w:val="22"/>
        </w:rPr>
        <w:t>基金管理人</w:t>
      </w:r>
      <w:r>
        <w:rPr>
          <w:rFonts w:asciiTheme="majorEastAsia" w:eastAsiaTheme="majorEastAsia" w:hAnsiTheme="majorEastAsia" w:cs="Arial" w:hint="eastAsia"/>
          <w:kern w:val="0"/>
          <w:sz w:val="22"/>
        </w:rPr>
        <w:t>可能不执行或不能及时、准确地执行本理财计划管理人的指令，或未经本理财计划同意将本理财计划交付的资金运用于违反相关信托合同或资产管理合同或基金合同约定的投资范围，导致本计划项下委托财产的损失等风险。</w:t>
      </w:r>
    </w:p>
    <w:p w:rsidR="0065182B" w:rsidRDefault="0065182B">
      <w:pPr>
        <w:adjustRightInd w:val="0"/>
        <w:snapToGrid w:val="0"/>
        <w:spacing w:line="300" w:lineRule="auto"/>
        <w:ind w:firstLineChars="200" w:firstLine="440"/>
        <w:rPr>
          <w:rFonts w:ascii="宋体" w:hAnsi="宋体"/>
          <w:kern w:val="0"/>
          <w:sz w:val="22"/>
          <w:szCs w:val="22"/>
        </w:rPr>
      </w:pPr>
    </w:p>
    <w:p w:rsidR="0065182B" w:rsidRDefault="00F35FEB">
      <w:pPr>
        <w:autoSpaceDE w:val="0"/>
        <w:autoSpaceDN w:val="0"/>
        <w:adjustRightInd w:val="0"/>
        <w:snapToGrid w:val="0"/>
        <w:spacing w:line="300" w:lineRule="auto"/>
        <w:ind w:firstLineChars="200" w:firstLine="440"/>
        <w:rPr>
          <w:rFonts w:ascii="宋体" w:hAnsi="宋体"/>
          <w:b/>
          <w:color w:val="000000"/>
          <w:sz w:val="22"/>
          <w:szCs w:val="22"/>
          <w:lang w:val="zh-CN"/>
        </w:rPr>
      </w:pPr>
      <w:r>
        <w:rPr>
          <w:rFonts w:asciiTheme="minorEastAsia" w:eastAsiaTheme="minorEastAsia" w:hAnsiTheme="minorEastAsia" w:hint="eastAsia"/>
          <w:kern w:val="0"/>
          <w:sz w:val="22"/>
          <w:szCs w:val="22"/>
        </w:rPr>
        <w:t>本理财计划为公</w:t>
      </w:r>
      <w:proofErr w:type="gramStart"/>
      <w:r>
        <w:rPr>
          <w:rFonts w:asciiTheme="minorEastAsia" w:eastAsiaTheme="minorEastAsia" w:hAnsiTheme="minorEastAsia" w:hint="eastAsia"/>
          <w:kern w:val="0"/>
          <w:sz w:val="22"/>
          <w:szCs w:val="22"/>
        </w:rPr>
        <w:t>募</w:t>
      </w:r>
      <w:proofErr w:type="gramEnd"/>
      <w:r>
        <w:rPr>
          <w:rFonts w:asciiTheme="minorEastAsia" w:eastAsiaTheme="minorEastAsia" w:hAnsiTheme="minorEastAsia"/>
          <w:kern w:val="0"/>
          <w:sz w:val="22"/>
          <w:szCs w:val="22"/>
        </w:rPr>
        <w:t>开放式</w:t>
      </w:r>
      <w:r>
        <w:rPr>
          <w:rFonts w:asciiTheme="minorEastAsia" w:eastAsiaTheme="minorEastAsia" w:hAnsiTheme="minorEastAsia" w:hint="eastAsia"/>
          <w:kern w:val="0"/>
          <w:sz w:val="22"/>
          <w:szCs w:val="22"/>
        </w:rPr>
        <w:t>固定收益类的理财产品</w:t>
      </w:r>
      <w:r>
        <w:rPr>
          <w:rFonts w:asciiTheme="minorEastAsia" w:eastAsiaTheme="minorEastAsia" w:hAnsiTheme="minorEastAsia" w:hint="eastAsia"/>
          <w:b/>
          <w:kern w:val="0"/>
          <w:sz w:val="22"/>
          <w:szCs w:val="22"/>
        </w:rPr>
        <w:t>（固定收益类产品为根据监管要求进行的产品分类，并不意味着招银理财有限责任公司对本产品的任何收益承诺或者保证），</w:t>
      </w:r>
      <w:r>
        <w:rPr>
          <w:rFonts w:ascii="宋体" w:hAnsi="宋体"/>
          <w:b/>
          <w:color w:val="000000"/>
          <w:sz w:val="22"/>
          <w:szCs w:val="22"/>
          <w:lang w:val="zh-CN"/>
        </w:rPr>
        <w:t>其收益特征</w:t>
      </w:r>
      <w:r>
        <w:rPr>
          <w:rFonts w:ascii="宋体" w:hAnsi="宋体" w:hint="eastAsia"/>
          <w:b/>
          <w:color w:val="000000"/>
          <w:sz w:val="22"/>
          <w:szCs w:val="22"/>
          <w:lang w:val="zh-CN"/>
        </w:rPr>
        <w:t>为非保本浮动收益。管理人对本产品的</w:t>
      </w:r>
      <w:r>
        <w:rPr>
          <w:rFonts w:asciiTheme="minorEastAsia" w:eastAsiaTheme="minorEastAsia" w:hAnsiTheme="minorEastAsia" w:hint="eastAsia"/>
          <w:kern w:val="0"/>
          <w:sz w:val="22"/>
          <w:szCs w:val="22"/>
        </w:rPr>
        <w:t>风险评级为</w:t>
      </w:r>
      <w:r>
        <w:rPr>
          <w:rFonts w:asciiTheme="minorEastAsia" w:eastAsiaTheme="minorEastAsia" w:hAnsiTheme="minorEastAsia"/>
          <w:kern w:val="0"/>
          <w:sz w:val="22"/>
          <w:szCs w:val="22"/>
        </w:rPr>
        <w:t>PR</w:t>
      </w:r>
      <w:r>
        <w:rPr>
          <w:rFonts w:asciiTheme="minorEastAsia" w:eastAsiaTheme="minorEastAsia" w:hAnsiTheme="minorEastAsia" w:hint="eastAsia"/>
          <w:kern w:val="0"/>
          <w:sz w:val="22"/>
          <w:szCs w:val="22"/>
        </w:rPr>
        <w:t>1（低</w:t>
      </w:r>
      <w:r>
        <w:rPr>
          <w:rFonts w:asciiTheme="minorEastAsia" w:eastAsiaTheme="minorEastAsia" w:hAnsiTheme="minorEastAsia"/>
          <w:kern w:val="0"/>
          <w:sz w:val="22"/>
          <w:szCs w:val="22"/>
        </w:rPr>
        <w:t>风险</w:t>
      </w:r>
      <w:r>
        <w:rPr>
          <w:rFonts w:asciiTheme="minorEastAsia" w:eastAsiaTheme="minorEastAsia" w:hAnsiTheme="minorEastAsia" w:hint="eastAsia"/>
          <w:kern w:val="0"/>
          <w:sz w:val="22"/>
          <w:szCs w:val="22"/>
        </w:rPr>
        <w:t>）</w:t>
      </w:r>
      <w:r>
        <w:rPr>
          <w:rFonts w:ascii="宋体" w:hAnsi="宋体" w:hint="eastAsia"/>
          <w:b/>
          <w:sz w:val="22"/>
          <w:szCs w:val="22"/>
        </w:rPr>
        <w:t>，销售服务机构与管理人对本产品风险评级结果不一致的，销售服务机构应当采用对应较高风险等级的评级结果并予以披露，且该理财产品评级应当以销售服务机构最终披露</w:t>
      </w:r>
      <w:r>
        <w:rPr>
          <w:rFonts w:ascii="宋体" w:hAnsi="宋体"/>
          <w:b/>
          <w:sz w:val="22"/>
          <w:szCs w:val="22"/>
        </w:rPr>
        <w:tab/>
      </w:r>
      <w:r>
        <w:rPr>
          <w:rFonts w:ascii="宋体" w:hAnsi="宋体" w:hint="eastAsia"/>
          <w:b/>
          <w:sz w:val="22"/>
          <w:szCs w:val="22"/>
        </w:rPr>
        <w:t>的评级结果为准</w:t>
      </w:r>
      <w:r>
        <w:rPr>
          <w:rFonts w:asciiTheme="minorEastAsia" w:eastAsiaTheme="minorEastAsia" w:hAnsiTheme="minorEastAsia" w:hint="eastAsia"/>
          <w:kern w:val="0"/>
          <w:sz w:val="22"/>
          <w:szCs w:val="22"/>
        </w:rPr>
        <w:t>。本产品</w:t>
      </w:r>
      <w:r>
        <w:rPr>
          <w:rFonts w:asciiTheme="minorEastAsia" w:eastAsiaTheme="minorEastAsia" w:hAnsiTheme="minorEastAsia" w:cs="Arial" w:hint="eastAsia"/>
          <w:kern w:val="0"/>
          <w:sz w:val="22"/>
          <w:szCs w:val="22"/>
        </w:rPr>
        <w:t>适合经销售服务机构测评可以承受低风险及以上类型的</w:t>
      </w:r>
      <w:r>
        <w:rPr>
          <w:rFonts w:asciiTheme="minorEastAsia" w:eastAsiaTheme="minorEastAsia" w:hAnsiTheme="minorEastAsia" w:cs="Arial"/>
          <w:kern w:val="0"/>
          <w:sz w:val="22"/>
          <w:szCs w:val="22"/>
        </w:rPr>
        <w:t>个人投资者</w:t>
      </w:r>
      <w:r>
        <w:rPr>
          <w:rFonts w:ascii="宋体" w:hAnsi="宋体" w:hint="eastAsia"/>
          <w:sz w:val="22"/>
          <w:szCs w:val="22"/>
        </w:rPr>
        <w:t>，具体风险承受能力的适配情况以销售服务机构测评结果为准</w:t>
      </w:r>
      <w:r>
        <w:rPr>
          <w:rFonts w:asciiTheme="minorEastAsia" w:eastAsiaTheme="minorEastAsia" w:hAnsiTheme="minorEastAsia" w:cs="Arial"/>
          <w:kern w:val="0"/>
          <w:sz w:val="22"/>
          <w:szCs w:val="22"/>
        </w:rPr>
        <w:t>。</w:t>
      </w:r>
      <w:r>
        <w:rPr>
          <w:rFonts w:asciiTheme="minorEastAsia" w:eastAsiaTheme="minorEastAsia" w:hAnsiTheme="minorEastAsia" w:cs="Arial" w:hint="eastAsia"/>
          <w:b/>
          <w:kern w:val="0"/>
          <w:sz w:val="24"/>
          <w:szCs w:val="22"/>
        </w:rPr>
        <w:t>如影响个人投资者风险承受能力的因素发生变化，个人投资者应及时告知销售服务机构并重新进行风险承受能力评估。</w:t>
      </w:r>
      <w:r>
        <w:rPr>
          <w:rFonts w:asciiTheme="minorEastAsia" w:eastAsiaTheme="minorEastAsia" w:hAnsiTheme="minorEastAsia" w:cs="Arial" w:hint="eastAsia"/>
          <w:kern w:val="0"/>
          <w:sz w:val="22"/>
          <w:szCs w:val="22"/>
        </w:rPr>
        <w:t>超过一年未进行风险承受能力评估的</w:t>
      </w:r>
      <w:r>
        <w:rPr>
          <w:rFonts w:ascii="宋体" w:hAnsi="宋体" w:hint="eastAsia"/>
          <w:b/>
          <w:kern w:val="0"/>
          <w:sz w:val="22"/>
          <w:szCs w:val="22"/>
        </w:rPr>
        <w:t>或发生可能影响自身风险承受能力情况的投资者</w:t>
      </w:r>
      <w:r>
        <w:rPr>
          <w:rFonts w:asciiTheme="minorEastAsia" w:eastAsiaTheme="minorEastAsia" w:hAnsiTheme="minorEastAsia" w:cs="Arial" w:hint="eastAsia"/>
          <w:kern w:val="0"/>
          <w:sz w:val="22"/>
          <w:szCs w:val="22"/>
        </w:rPr>
        <w:t>，再次购买理财产品时，个人投资者应当根据监管要求在商业银行网点或其网上银行完成风险承受能力评估。</w:t>
      </w:r>
    </w:p>
    <w:p w:rsidR="0065182B" w:rsidRDefault="00F35FEB">
      <w:pPr>
        <w:adjustRightInd w:val="0"/>
        <w:snapToGrid w:val="0"/>
        <w:spacing w:line="300" w:lineRule="auto"/>
        <w:ind w:firstLineChars="200" w:firstLine="442"/>
        <w:rPr>
          <w:rFonts w:asciiTheme="minorEastAsia" w:eastAsiaTheme="minorEastAsia" w:hAnsiTheme="minorEastAsia"/>
          <w:kern w:val="0"/>
          <w:sz w:val="22"/>
          <w:szCs w:val="22"/>
        </w:rPr>
      </w:pPr>
      <w:bookmarkStart w:id="1" w:name="OLE_LINK5"/>
      <w:r>
        <w:rPr>
          <w:rFonts w:asciiTheme="minorEastAsia" w:eastAsiaTheme="minorEastAsia" w:hAnsiTheme="minorEastAsia" w:hint="eastAsia"/>
          <w:b/>
          <w:kern w:val="0"/>
          <w:sz w:val="22"/>
          <w:szCs w:val="22"/>
        </w:rPr>
        <w:t>本理财计划不保障本金且不保证理财收益。投资者的本金和收益可能因市场变动而蒙受损失，在最不利情况下，投资者甚至可能损失全部本金。投资者应充分认识投资风险，谨慎投资。</w:t>
      </w:r>
    </w:p>
    <w:bookmarkEnd w:id="1"/>
    <w:p w:rsidR="0065182B" w:rsidRDefault="00F35FEB">
      <w:pPr>
        <w:autoSpaceDE w:val="0"/>
        <w:autoSpaceDN w:val="0"/>
        <w:adjustRightInd w:val="0"/>
        <w:snapToGrid w:val="0"/>
        <w:spacing w:line="300" w:lineRule="auto"/>
        <w:ind w:firstLineChars="200" w:firstLine="440"/>
        <w:rPr>
          <w:rFonts w:ascii="宋体" w:hAnsi="宋体"/>
          <w:color w:val="000000"/>
          <w:sz w:val="22"/>
          <w:szCs w:val="22"/>
          <w:lang w:val="zh-CN"/>
        </w:rPr>
      </w:pPr>
      <w:r>
        <w:rPr>
          <w:rFonts w:ascii="宋体" w:hAnsi="宋体" w:hint="eastAsia"/>
          <w:color w:val="000000"/>
          <w:sz w:val="22"/>
          <w:szCs w:val="22"/>
          <w:lang w:val="zh-CN"/>
        </w:rPr>
        <w:lastRenderedPageBreak/>
        <w:t>示例：若投资者认购本理财计划，</w:t>
      </w:r>
      <w:r>
        <w:rPr>
          <w:rFonts w:ascii="宋体" w:hAnsi="宋体" w:hint="eastAsia"/>
          <w:color w:val="000000"/>
          <w:kern w:val="0"/>
          <w:sz w:val="22"/>
          <w:szCs w:val="22"/>
          <w:lang w:val="zh-CN"/>
        </w:rPr>
        <w:t>理财计划本金为</w:t>
      </w:r>
      <w:r>
        <w:rPr>
          <w:rFonts w:ascii="宋体" w:hAnsi="宋体"/>
          <w:color w:val="000000"/>
          <w:kern w:val="0"/>
          <w:sz w:val="22"/>
          <w:szCs w:val="22"/>
          <w:lang w:val="zh-CN"/>
        </w:rPr>
        <w:fldChar w:fldCharType="begin"/>
      </w:r>
      <w:r>
        <w:rPr>
          <w:rFonts w:ascii="宋体" w:hAnsi="宋体"/>
          <w:color w:val="000000"/>
          <w:kern w:val="0"/>
          <w:sz w:val="22"/>
          <w:szCs w:val="22"/>
          <w:lang w:val="zh-CN"/>
        </w:rPr>
        <w:instrText xml:space="preserve"> MERGEFIELD </w:instrText>
      </w:r>
      <w:r>
        <w:rPr>
          <w:rFonts w:ascii="宋体" w:hAnsi="宋体" w:hint="eastAsia"/>
          <w:color w:val="000000"/>
          <w:kern w:val="0"/>
          <w:sz w:val="22"/>
          <w:szCs w:val="22"/>
          <w:lang w:val="zh-CN"/>
        </w:rPr>
        <w:instrText>认购起点</w:instrText>
      </w:r>
      <w:r>
        <w:rPr>
          <w:rFonts w:ascii="宋体" w:hAnsi="宋体"/>
          <w:color w:val="000000"/>
          <w:kern w:val="0"/>
          <w:sz w:val="22"/>
          <w:szCs w:val="22"/>
          <w:lang w:val="zh-CN"/>
        </w:rPr>
        <w:fldChar w:fldCharType="separate"/>
      </w:r>
      <w:r>
        <w:rPr>
          <w:rFonts w:ascii="宋体" w:hAnsi="宋体" w:hint="eastAsia"/>
          <w:color w:val="000000"/>
          <w:kern w:val="0"/>
          <w:sz w:val="22"/>
          <w:szCs w:val="22"/>
          <w:lang w:val="zh-CN"/>
        </w:rPr>
        <w:t>5万</w:t>
      </w:r>
      <w:r>
        <w:rPr>
          <w:rFonts w:ascii="宋体" w:hAnsi="宋体"/>
          <w:color w:val="000000"/>
          <w:kern w:val="0"/>
          <w:sz w:val="22"/>
          <w:szCs w:val="22"/>
          <w:lang w:val="zh-CN"/>
        </w:rPr>
        <w:fldChar w:fldCharType="end"/>
      </w:r>
      <w:r>
        <w:rPr>
          <w:rFonts w:ascii="宋体" w:hAnsi="宋体" w:hint="eastAsia"/>
          <w:color w:val="000000"/>
          <w:kern w:val="0"/>
          <w:sz w:val="22"/>
          <w:szCs w:val="22"/>
          <w:lang w:val="zh-CN"/>
        </w:rPr>
        <w:t>元，在资产组合项下资产全部亏损的最不利情况下</w:t>
      </w:r>
      <w:r>
        <w:rPr>
          <w:rFonts w:ascii="宋体" w:hAnsi="宋体" w:hint="eastAsia"/>
          <w:color w:val="000000"/>
          <w:sz w:val="22"/>
          <w:szCs w:val="22"/>
          <w:lang w:val="zh-CN"/>
        </w:rPr>
        <w:t>，理财计划</w:t>
      </w:r>
      <w:r>
        <w:rPr>
          <w:rFonts w:ascii="宋体" w:hAnsi="宋体"/>
          <w:color w:val="000000"/>
          <w:kern w:val="0"/>
          <w:sz w:val="22"/>
          <w:szCs w:val="22"/>
          <w:lang w:val="zh-CN"/>
        </w:rPr>
        <w:fldChar w:fldCharType="begin"/>
      </w:r>
      <w:r>
        <w:rPr>
          <w:rFonts w:ascii="宋体" w:hAnsi="宋体"/>
          <w:color w:val="000000"/>
          <w:kern w:val="0"/>
          <w:sz w:val="22"/>
          <w:szCs w:val="22"/>
          <w:lang w:val="zh-CN"/>
        </w:rPr>
        <w:instrText xml:space="preserve"> MERGEFIELD </w:instrText>
      </w:r>
      <w:r>
        <w:rPr>
          <w:rFonts w:ascii="宋体" w:hAnsi="宋体" w:hint="eastAsia"/>
          <w:color w:val="000000"/>
          <w:kern w:val="0"/>
          <w:sz w:val="22"/>
          <w:szCs w:val="22"/>
          <w:lang w:val="zh-CN"/>
        </w:rPr>
        <w:instrText>认购起点</w:instrText>
      </w:r>
      <w:r>
        <w:rPr>
          <w:rFonts w:ascii="宋体" w:hAnsi="宋体"/>
          <w:color w:val="000000"/>
          <w:kern w:val="0"/>
          <w:sz w:val="22"/>
          <w:szCs w:val="22"/>
          <w:lang w:val="zh-CN"/>
        </w:rPr>
        <w:fldChar w:fldCharType="separate"/>
      </w:r>
      <w:r>
        <w:rPr>
          <w:rFonts w:ascii="宋体" w:hAnsi="宋体" w:hint="eastAsia"/>
          <w:color w:val="000000"/>
          <w:kern w:val="0"/>
          <w:sz w:val="22"/>
          <w:szCs w:val="22"/>
          <w:lang w:val="zh-CN"/>
        </w:rPr>
        <w:t>5万</w:t>
      </w:r>
      <w:r>
        <w:rPr>
          <w:rFonts w:ascii="宋体" w:hAnsi="宋体"/>
          <w:color w:val="000000"/>
          <w:kern w:val="0"/>
          <w:sz w:val="22"/>
          <w:szCs w:val="22"/>
          <w:lang w:val="zh-CN"/>
        </w:rPr>
        <w:fldChar w:fldCharType="end"/>
      </w:r>
      <w:r>
        <w:rPr>
          <w:rFonts w:ascii="宋体" w:hAnsi="宋体" w:hint="eastAsia"/>
          <w:color w:val="000000"/>
          <w:kern w:val="0"/>
          <w:sz w:val="22"/>
          <w:szCs w:val="22"/>
          <w:lang w:val="zh-CN"/>
        </w:rPr>
        <w:t>元</w:t>
      </w:r>
      <w:r>
        <w:rPr>
          <w:rFonts w:ascii="宋体" w:hAnsi="宋体" w:hint="eastAsia"/>
          <w:color w:val="000000"/>
          <w:sz w:val="22"/>
          <w:szCs w:val="22"/>
          <w:lang w:val="zh-CN"/>
        </w:rPr>
        <w:t>本金将全部损失。</w:t>
      </w:r>
    </w:p>
    <w:p w:rsidR="0065182B" w:rsidRDefault="0065182B">
      <w:pPr>
        <w:autoSpaceDE w:val="0"/>
        <w:autoSpaceDN w:val="0"/>
        <w:adjustRightInd w:val="0"/>
        <w:snapToGrid w:val="0"/>
        <w:spacing w:line="300" w:lineRule="auto"/>
        <w:ind w:firstLineChars="200" w:firstLine="442"/>
        <w:rPr>
          <w:rFonts w:ascii="宋体" w:hAnsi="宋体"/>
          <w:b/>
          <w:color w:val="000000"/>
          <w:sz w:val="22"/>
          <w:szCs w:val="21"/>
          <w:lang w:val="zh-CN"/>
        </w:rPr>
      </w:pPr>
    </w:p>
    <w:p w:rsidR="0065182B" w:rsidRDefault="00F35FEB">
      <w:pPr>
        <w:autoSpaceDE w:val="0"/>
        <w:autoSpaceDN w:val="0"/>
        <w:adjustRightInd w:val="0"/>
        <w:snapToGrid w:val="0"/>
        <w:spacing w:line="300" w:lineRule="auto"/>
        <w:ind w:firstLineChars="200" w:firstLine="442"/>
        <w:rPr>
          <w:rFonts w:ascii="宋体" w:hAnsi="宋体"/>
          <w:b/>
          <w:color w:val="000000"/>
          <w:sz w:val="22"/>
          <w:szCs w:val="21"/>
          <w:lang w:val="zh-CN"/>
        </w:rPr>
      </w:pPr>
      <w:r>
        <w:rPr>
          <w:rFonts w:ascii="宋体" w:hAnsi="宋体" w:hint="eastAsia"/>
          <w:b/>
          <w:color w:val="000000"/>
          <w:sz w:val="22"/>
          <w:szCs w:val="21"/>
          <w:lang w:val="zh-CN"/>
        </w:rPr>
        <w:t>本《风险揭示书》所揭示事项仅为列举性质，未能详尽列明投资者参与本理财计划所面临的全部风险和可能导致投资者资产损失的所有因素。在投资者签署本理财计划的投资协议书前，应当仔细阅读本《风险揭示书》、本理财计划《产品说明书》和《投资者权益须知》的全部内容，同时向我公司或销售服务机构了解本理财计划的其他相关信息，并自己独立</w:t>
      </w:r>
      <w:proofErr w:type="gramStart"/>
      <w:r>
        <w:rPr>
          <w:rFonts w:ascii="宋体" w:hAnsi="宋体" w:hint="eastAsia"/>
          <w:b/>
          <w:color w:val="000000"/>
          <w:sz w:val="22"/>
          <w:szCs w:val="21"/>
          <w:lang w:val="zh-CN"/>
        </w:rPr>
        <w:t>作出</w:t>
      </w:r>
      <w:proofErr w:type="gramEnd"/>
      <w:r>
        <w:rPr>
          <w:rFonts w:ascii="宋体" w:hAnsi="宋体" w:hint="eastAsia"/>
          <w:b/>
          <w:color w:val="000000"/>
          <w:sz w:val="22"/>
          <w:szCs w:val="21"/>
          <w:lang w:val="zh-CN"/>
        </w:rPr>
        <w:t>是否认购本理财计划的决定。投资者不得使用贷款、发行债券等筹集的非自有资金投资资产管理产品。</w:t>
      </w:r>
    </w:p>
    <w:p w:rsidR="0065182B" w:rsidRDefault="00F35FEB">
      <w:pPr>
        <w:kinsoku w:val="0"/>
        <w:overflowPunct w:val="0"/>
        <w:autoSpaceDE w:val="0"/>
        <w:autoSpaceDN w:val="0"/>
        <w:adjustRightInd w:val="0"/>
        <w:snapToGrid w:val="0"/>
        <w:spacing w:line="300" w:lineRule="auto"/>
        <w:ind w:firstLineChars="200" w:firstLine="442"/>
        <w:rPr>
          <w:rFonts w:ascii="宋体" w:hAnsi="宋体"/>
          <w:b/>
          <w:sz w:val="22"/>
          <w:szCs w:val="22"/>
          <w:lang w:val="zh-CN"/>
        </w:rPr>
      </w:pPr>
      <w:r>
        <w:rPr>
          <w:rFonts w:ascii="宋体" w:hAnsi="宋体" w:hint="eastAsia"/>
          <w:b/>
          <w:color w:val="000000"/>
          <w:sz w:val="22"/>
          <w:szCs w:val="21"/>
          <w:lang w:val="zh-CN"/>
        </w:rPr>
        <w:t>投资者签署本《风险揭示书》、《理财产品投资协议书》并将资金委托给招银理财运作是投资者真实的意思表示，投资者已知悉并理解理财计划的全部风险，并自愿承担由此带来的一切后果。本《风险揭示书》及相应《理财产品投资协议书》、《产品说明书》将共同构成贵我双方理财合同的有效组成部分。</w:t>
      </w:r>
    </w:p>
    <w:p w:rsidR="0065182B" w:rsidRDefault="00F35FEB">
      <w:pPr>
        <w:kinsoku w:val="0"/>
        <w:overflowPunct w:val="0"/>
        <w:autoSpaceDE w:val="0"/>
        <w:autoSpaceDN w:val="0"/>
        <w:adjustRightInd w:val="0"/>
        <w:snapToGrid w:val="0"/>
        <w:spacing w:line="300" w:lineRule="auto"/>
        <w:jc w:val="right"/>
        <w:rPr>
          <w:rFonts w:ascii="宋体" w:hAnsi="宋体"/>
          <w:sz w:val="22"/>
          <w:szCs w:val="22"/>
          <w:lang w:val="zh-CN"/>
        </w:rPr>
      </w:pPr>
      <w:r>
        <w:rPr>
          <w:rFonts w:ascii="宋体" w:hAnsi="宋体" w:hint="eastAsia"/>
          <w:sz w:val="22"/>
          <w:szCs w:val="22"/>
          <w:lang w:val="zh-CN"/>
        </w:rPr>
        <w:t>风险揭示方： 招银理财有限责任公司</w:t>
      </w:r>
      <w:r>
        <w:rPr>
          <w:rFonts w:ascii="宋体" w:hAnsi="宋体"/>
          <w:sz w:val="22"/>
          <w:szCs w:val="22"/>
          <w:lang w:val="zh-CN"/>
        </w:rPr>
        <w:br w:type="page"/>
      </w:r>
    </w:p>
    <w:p w:rsidR="0065182B" w:rsidRDefault="00F35FEB">
      <w:pPr>
        <w:widowControl/>
        <w:spacing w:line="300" w:lineRule="auto"/>
        <w:jc w:val="center"/>
        <w:outlineLvl w:val="0"/>
        <w:rPr>
          <w:rFonts w:ascii="宋体" w:hAnsi="宋体"/>
          <w:b/>
          <w:sz w:val="22"/>
          <w:szCs w:val="22"/>
          <w:lang w:val="zh-CN"/>
        </w:rPr>
      </w:pPr>
      <w:r>
        <w:rPr>
          <w:rFonts w:ascii="宋体" w:hAnsi="宋体" w:hint="eastAsia"/>
          <w:b/>
          <w:sz w:val="22"/>
          <w:szCs w:val="22"/>
          <w:lang w:val="zh-CN"/>
        </w:rPr>
        <w:lastRenderedPageBreak/>
        <w:t>客户确认栏</w:t>
      </w:r>
    </w:p>
    <w:p w:rsidR="0065182B" w:rsidRDefault="00F35FEB">
      <w:pPr>
        <w:adjustRightInd w:val="0"/>
        <w:snapToGrid w:val="0"/>
        <w:spacing w:line="300" w:lineRule="auto"/>
        <w:ind w:firstLine="420"/>
        <w:rPr>
          <w:rFonts w:ascii="Arial" w:hAnsi="Arial"/>
          <w:sz w:val="22"/>
          <w:szCs w:val="22"/>
        </w:rPr>
      </w:pPr>
      <w:r>
        <w:rPr>
          <w:rFonts w:ascii="Arial" w:hAnsi="Arial" w:hint="eastAsia"/>
          <w:sz w:val="22"/>
          <w:szCs w:val="22"/>
        </w:rPr>
        <w:t>本人</w:t>
      </w:r>
      <w:r>
        <w:rPr>
          <w:rFonts w:ascii="Arial" w:hAnsi="Arial" w:hint="eastAsia"/>
          <w:sz w:val="22"/>
          <w:szCs w:val="22"/>
        </w:rPr>
        <w:t>/</w:t>
      </w:r>
      <w:r>
        <w:rPr>
          <w:rFonts w:ascii="Arial" w:hAnsi="Arial" w:hint="eastAsia"/>
          <w:sz w:val="22"/>
          <w:szCs w:val="22"/>
        </w:rPr>
        <w:t>本机构确认本理财计划完全适合本人</w:t>
      </w:r>
      <w:r>
        <w:rPr>
          <w:rFonts w:ascii="Arial" w:hAnsi="Arial" w:hint="eastAsia"/>
          <w:sz w:val="22"/>
          <w:szCs w:val="22"/>
        </w:rPr>
        <w:t>/</w:t>
      </w:r>
      <w:r>
        <w:rPr>
          <w:rFonts w:ascii="Arial" w:hAnsi="Arial" w:hint="eastAsia"/>
          <w:sz w:val="22"/>
          <w:szCs w:val="22"/>
        </w:rPr>
        <w:t>本机构的投资目标，投资预期以及风险承受能力及投资经验。本人</w:t>
      </w:r>
      <w:r>
        <w:rPr>
          <w:rFonts w:ascii="Arial" w:hAnsi="Arial" w:hint="eastAsia"/>
          <w:sz w:val="22"/>
          <w:szCs w:val="22"/>
        </w:rPr>
        <w:t>/</w:t>
      </w:r>
      <w:r>
        <w:rPr>
          <w:rFonts w:ascii="Arial" w:hAnsi="Arial" w:hint="eastAsia"/>
          <w:sz w:val="22"/>
          <w:szCs w:val="22"/>
        </w:rPr>
        <w:t>本机构购买理财计划的资金为合法自有资金，不存在使用贷款、发行债券等筹集的非自有资金投资资产管理产品的情形，本人</w:t>
      </w:r>
      <w:r>
        <w:rPr>
          <w:rFonts w:ascii="Arial" w:hAnsi="Arial" w:hint="eastAsia"/>
          <w:sz w:val="22"/>
          <w:szCs w:val="22"/>
        </w:rPr>
        <w:t>/</w:t>
      </w:r>
      <w:r>
        <w:rPr>
          <w:rFonts w:ascii="Arial" w:hAnsi="Arial" w:hint="eastAsia"/>
          <w:sz w:val="22"/>
          <w:szCs w:val="22"/>
        </w:rPr>
        <w:t>本机构承诺投资理财产品使用的资金来源合法合</w:t>
      </w:r>
      <w:proofErr w:type="gramStart"/>
      <w:r>
        <w:rPr>
          <w:rFonts w:ascii="Arial" w:hAnsi="Arial" w:hint="eastAsia"/>
          <w:sz w:val="22"/>
          <w:szCs w:val="22"/>
        </w:rPr>
        <w:t>规</w:t>
      </w:r>
      <w:proofErr w:type="gramEnd"/>
      <w:r>
        <w:rPr>
          <w:rFonts w:ascii="Arial" w:hAnsi="Arial" w:hint="eastAsia"/>
          <w:sz w:val="22"/>
          <w:szCs w:val="22"/>
        </w:rPr>
        <w:t>，并且系为合法之目的投资本理财产品，而非为洗钱等违法犯罪之目的，本人</w:t>
      </w:r>
      <w:r>
        <w:rPr>
          <w:rFonts w:ascii="Arial" w:hAnsi="Arial" w:hint="eastAsia"/>
          <w:sz w:val="22"/>
          <w:szCs w:val="22"/>
        </w:rPr>
        <w:t>/</w:t>
      </w:r>
      <w:r>
        <w:rPr>
          <w:rFonts w:ascii="Arial" w:hAnsi="Arial" w:hint="eastAsia"/>
          <w:sz w:val="22"/>
          <w:szCs w:val="22"/>
        </w:rPr>
        <w:t>本机构将配合销售服务机构及理财产品管理人开展客户身份识别及尽职调查等反洗钱活动，及时、真实、准确、完整提供身份信息及资金来源等信息。本人</w:t>
      </w:r>
      <w:r>
        <w:rPr>
          <w:rFonts w:ascii="Arial" w:hAnsi="Arial" w:hint="eastAsia"/>
          <w:sz w:val="22"/>
          <w:szCs w:val="22"/>
        </w:rPr>
        <w:t>/</w:t>
      </w:r>
      <w:r>
        <w:rPr>
          <w:rFonts w:ascii="Arial" w:hAnsi="Arial" w:hint="eastAsia"/>
          <w:sz w:val="22"/>
          <w:szCs w:val="22"/>
        </w:rPr>
        <w:t>本机构具有购买本理财计划所必需的投资经验。本人</w:t>
      </w:r>
      <w:r>
        <w:rPr>
          <w:rFonts w:ascii="Arial" w:hAnsi="Arial" w:hint="eastAsia"/>
          <w:sz w:val="22"/>
          <w:szCs w:val="22"/>
        </w:rPr>
        <w:t>/</w:t>
      </w:r>
      <w:r>
        <w:rPr>
          <w:rFonts w:ascii="Arial" w:hAnsi="Arial" w:hint="eastAsia"/>
          <w:sz w:val="22"/>
          <w:szCs w:val="22"/>
        </w:rPr>
        <w:t>本机构确认销售服务机构相关业务人员对于说明书中有关免除、限制管理人责任的条款，和管理人单方面拥有某些权利的条款已向本人</w:t>
      </w:r>
      <w:r>
        <w:rPr>
          <w:rFonts w:ascii="Arial" w:hAnsi="Arial" w:hint="eastAsia"/>
          <w:sz w:val="22"/>
          <w:szCs w:val="22"/>
        </w:rPr>
        <w:t>/</w:t>
      </w:r>
      <w:r>
        <w:rPr>
          <w:rFonts w:ascii="Arial" w:hAnsi="Arial" w:hint="eastAsia"/>
          <w:sz w:val="22"/>
          <w:szCs w:val="22"/>
        </w:rPr>
        <w:t>本机构予以说明。</w:t>
      </w:r>
    </w:p>
    <w:p w:rsidR="0065182B" w:rsidRDefault="0065182B">
      <w:pPr>
        <w:autoSpaceDE w:val="0"/>
        <w:autoSpaceDN w:val="0"/>
        <w:adjustRightInd w:val="0"/>
        <w:snapToGrid w:val="0"/>
        <w:spacing w:line="300" w:lineRule="auto"/>
        <w:ind w:firstLineChars="200" w:firstLine="442"/>
        <w:rPr>
          <w:rFonts w:ascii="宋体" w:hAnsi="宋体" w:cs="Arial"/>
          <w:b/>
          <w:sz w:val="22"/>
          <w:szCs w:val="22"/>
        </w:rPr>
      </w:pPr>
    </w:p>
    <w:p w:rsidR="0065182B" w:rsidRDefault="00F35FEB">
      <w:pPr>
        <w:autoSpaceDE w:val="0"/>
        <w:autoSpaceDN w:val="0"/>
        <w:adjustRightInd w:val="0"/>
        <w:snapToGrid w:val="0"/>
        <w:spacing w:line="300" w:lineRule="auto"/>
        <w:ind w:firstLineChars="200" w:firstLine="440"/>
        <w:rPr>
          <w:rFonts w:ascii="宋体" w:hAnsi="宋体"/>
          <w:sz w:val="22"/>
          <w:szCs w:val="22"/>
          <w:lang w:val="zh-CN"/>
        </w:rPr>
      </w:pPr>
      <w:r>
        <w:rPr>
          <w:rFonts w:ascii="宋体" w:hAnsi="宋体" w:hint="eastAsia"/>
          <w:sz w:val="22"/>
          <w:szCs w:val="22"/>
          <w:lang w:val="zh-CN"/>
        </w:rPr>
        <w:t>本人</w:t>
      </w:r>
      <w:r>
        <w:rPr>
          <w:rFonts w:ascii="Arial" w:hAnsi="Arial" w:hint="eastAsia"/>
          <w:sz w:val="22"/>
          <w:szCs w:val="22"/>
        </w:rPr>
        <w:t>/</w:t>
      </w:r>
      <w:r>
        <w:rPr>
          <w:rFonts w:ascii="Arial" w:hAnsi="Arial" w:hint="eastAsia"/>
          <w:sz w:val="22"/>
          <w:szCs w:val="22"/>
        </w:rPr>
        <w:t>本机构</w:t>
      </w:r>
      <w:r>
        <w:rPr>
          <w:rFonts w:ascii="宋体" w:hAnsi="宋体" w:hint="eastAsia"/>
          <w:sz w:val="22"/>
          <w:szCs w:val="22"/>
          <w:lang w:val="zh-CN"/>
        </w:rPr>
        <w:t>同时确认如下：</w:t>
      </w:r>
    </w:p>
    <w:p w:rsidR="0065182B" w:rsidRDefault="00991371">
      <w:pPr>
        <w:autoSpaceDE w:val="0"/>
        <w:autoSpaceDN w:val="0"/>
        <w:adjustRightInd w:val="0"/>
        <w:snapToGrid w:val="0"/>
        <w:spacing w:line="300" w:lineRule="auto"/>
        <w:ind w:firstLineChars="200" w:firstLine="442"/>
        <w:outlineLvl w:val="0"/>
        <w:rPr>
          <w:rFonts w:ascii="宋体" w:hAnsi="宋体"/>
          <w:sz w:val="22"/>
          <w:szCs w:val="22"/>
          <w:lang w:val="zh-CN"/>
        </w:rPr>
      </w:pPr>
      <w:r w:rsidRPr="00925498">
        <w:rPr>
          <w:rFonts w:ascii="宋体" w:hAnsi="宋体" w:cs="Arial" w:hint="eastAsia"/>
          <w:b/>
          <w:sz w:val="22"/>
          <w:lang w:val="zh-CN"/>
        </w:rPr>
        <w:t>（仅适用于个人客户）经销售服务机构的风险承受能力评估，</w:t>
      </w:r>
      <w:r w:rsidRPr="00925498">
        <w:rPr>
          <w:rFonts w:ascii="宋体" w:hAnsi="宋体" w:cs="Arial" w:hint="eastAsia"/>
          <w:b/>
          <w:color w:val="000000"/>
          <w:sz w:val="22"/>
          <w:lang w:val="zh-CN"/>
        </w:rPr>
        <w:t>本人确认风险承受能力评估结果为</w:t>
      </w:r>
      <w:r w:rsidRPr="00925498">
        <w:rPr>
          <w:rFonts w:ascii="宋体" w:hAnsi="宋体" w:cs="Arial" w:hint="eastAsia"/>
          <w:color w:val="000000"/>
          <w:sz w:val="22"/>
          <w:lang w:val="zh-CN"/>
        </w:rPr>
        <w:t>：</w:t>
      </w:r>
      <w:r w:rsidRPr="005B190F">
        <w:rPr>
          <w:rFonts w:ascii="宋体" w:hAnsi="宋体" w:hint="eastAsia"/>
          <w:b/>
          <w:sz w:val="22"/>
          <w:szCs w:val="22"/>
          <w:lang w:val="zh-CN"/>
        </w:rPr>
        <w:t>□A1□A2□A3□A4□</w:t>
      </w:r>
      <w:r w:rsidRPr="005B190F">
        <w:rPr>
          <w:rFonts w:ascii="宋体" w:hAnsi="宋体"/>
          <w:b/>
          <w:sz w:val="22"/>
          <w:szCs w:val="22"/>
          <w:lang w:val="zh-CN"/>
        </w:rPr>
        <w:t xml:space="preserve">A5/【        </w:t>
      </w:r>
      <w:r w:rsidRPr="005B190F">
        <w:rPr>
          <w:rFonts w:ascii="宋体" w:hAnsi="宋体" w:hint="eastAsia"/>
          <w:b/>
          <w:sz w:val="22"/>
          <w:szCs w:val="22"/>
          <w:lang w:val="zh-CN"/>
        </w:rPr>
        <w:t>】（由客户自行填写）。</w:t>
      </w:r>
    </w:p>
    <w:p w:rsidR="0065182B" w:rsidRDefault="00F35FEB">
      <w:pPr>
        <w:autoSpaceDE w:val="0"/>
        <w:autoSpaceDN w:val="0"/>
        <w:adjustRightInd w:val="0"/>
        <w:snapToGrid w:val="0"/>
        <w:spacing w:line="300" w:lineRule="auto"/>
        <w:ind w:firstLine="440"/>
        <w:outlineLvl w:val="0"/>
        <w:rPr>
          <w:rFonts w:ascii="宋体" w:hAnsi="宋体"/>
          <w:sz w:val="22"/>
          <w:szCs w:val="22"/>
          <w:lang w:val="zh-CN"/>
        </w:rPr>
      </w:pPr>
      <w:r>
        <w:rPr>
          <w:rFonts w:ascii="宋体" w:hAnsi="宋体" w:hint="eastAsia"/>
          <w:sz w:val="22"/>
          <w:szCs w:val="22"/>
          <w:lang w:val="zh-CN"/>
        </w:rPr>
        <w:t>（客户需全文抄录以下文字以完成确认：</w:t>
      </w:r>
      <w:r>
        <w:rPr>
          <w:rFonts w:hint="eastAsia"/>
          <w:b/>
          <w:sz w:val="22"/>
          <w:szCs w:val="22"/>
        </w:rPr>
        <w:t>本人</w:t>
      </w:r>
      <w:r>
        <w:rPr>
          <w:rFonts w:ascii="Arial" w:hAnsi="Arial" w:hint="eastAsia"/>
          <w:b/>
          <w:sz w:val="22"/>
          <w:szCs w:val="22"/>
        </w:rPr>
        <w:t>/</w:t>
      </w:r>
      <w:r>
        <w:rPr>
          <w:rFonts w:ascii="Arial" w:hAnsi="Arial" w:hint="eastAsia"/>
          <w:b/>
          <w:sz w:val="22"/>
          <w:szCs w:val="22"/>
        </w:rPr>
        <w:t>本机构</w:t>
      </w:r>
      <w:r>
        <w:rPr>
          <w:rFonts w:hint="eastAsia"/>
          <w:b/>
          <w:sz w:val="22"/>
          <w:szCs w:val="22"/>
        </w:rPr>
        <w:t>已经阅读风险揭示，</w:t>
      </w:r>
      <w:r>
        <w:rPr>
          <w:rFonts w:ascii="宋体" w:hAnsi="宋体" w:hint="eastAsia"/>
          <w:b/>
          <w:sz w:val="22"/>
          <w:szCs w:val="22"/>
        </w:rPr>
        <w:t>充分了解并清楚知晓本理财计划的风险，</w:t>
      </w:r>
      <w:r>
        <w:rPr>
          <w:rFonts w:hint="eastAsia"/>
          <w:b/>
          <w:sz w:val="22"/>
          <w:szCs w:val="22"/>
        </w:rPr>
        <w:t>愿意承担投资风险</w:t>
      </w:r>
      <w:r>
        <w:rPr>
          <w:rFonts w:ascii="宋体" w:hAnsi="宋体" w:hint="eastAsia"/>
          <w:b/>
          <w:sz w:val="22"/>
          <w:szCs w:val="22"/>
          <w:lang w:val="zh-CN"/>
        </w:rPr>
        <w:t>。</w:t>
      </w:r>
      <w:r>
        <w:rPr>
          <w:rFonts w:ascii="宋体" w:hAnsi="宋体" w:hint="eastAsia"/>
          <w:sz w:val="22"/>
          <w:szCs w:val="22"/>
          <w:lang w:val="zh-CN"/>
        </w:rPr>
        <w:t>）</w:t>
      </w:r>
    </w:p>
    <w:p w:rsidR="0065182B" w:rsidRDefault="0065182B">
      <w:pPr>
        <w:autoSpaceDE w:val="0"/>
        <w:autoSpaceDN w:val="0"/>
        <w:adjustRightInd w:val="0"/>
        <w:snapToGrid w:val="0"/>
        <w:spacing w:line="300" w:lineRule="auto"/>
        <w:rPr>
          <w:rFonts w:ascii="宋体" w:hAnsi="宋体" w:cs="Arial"/>
          <w:sz w:val="22"/>
          <w:szCs w:val="22"/>
          <w:lang w:val="zh-CN"/>
        </w:rPr>
      </w:pPr>
    </w:p>
    <w:p w:rsidR="0065182B" w:rsidRDefault="0065182B">
      <w:pPr>
        <w:autoSpaceDE w:val="0"/>
        <w:autoSpaceDN w:val="0"/>
        <w:adjustRightInd w:val="0"/>
        <w:snapToGrid w:val="0"/>
        <w:spacing w:line="300" w:lineRule="auto"/>
        <w:rPr>
          <w:rFonts w:ascii="宋体" w:hAnsi="宋体" w:cs="Arial"/>
          <w:sz w:val="22"/>
          <w:szCs w:val="22"/>
          <w:u w:val="single"/>
          <w:lang w:val="zh-CN"/>
        </w:rPr>
      </w:pPr>
    </w:p>
    <w:p w:rsidR="0065182B" w:rsidRDefault="0065182B">
      <w:pPr>
        <w:autoSpaceDE w:val="0"/>
        <w:autoSpaceDN w:val="0"/>
        <w:adjustRightInd w:val="0"/>
        <w:snapToGrid w:val="0"/>
        <w:spacing w:line="300" w:lineRule="auto"/>
        <w:rPr>
          <w:rFonts w:ascii="宋体" w:hAnsi="宋体" w:cs="Arial"/>
          <w:sz w:val="22"/>
          <w:szCs w:val="22"/>
          <w:u w:val="single"/>
          <w:lang w:val="zh-CN"/>
        </w:rPr>
      </w:pPr>
    </w:p>
    <w:p w:rsidR="0065182B" w:rsidRDefault="0065182B">
      <w:pPr>
        <w:autoSpaceDE w:val="0"/>
        <w:autoSpaceDN w:val="0"/>
        <w:adjustRightInd w:val="0"/>
        <w:snapToGrid w:val="0"/>
        <w:spacing w:line="300" w:lineRule="auto"/>
        <w:rPr>
          <w:rFonts w:ascii="宋体" w:hAnsi="宋体" w:cs="Arial"/>
          <w:sz w:val="22"/>
          <w:szCs w:val="22"/>
          <w:u w:val="single"/>
          <w:lang w:val="zh-CN"/>
        </w:rPr>
      </w:pPr>
    </w:p>
    <w:p w:rsidR="0065182B" w:rsidRDefault="0065182B">
      <w:pPr>
        <w:autoSpaceDE w:val="0"/>
        <w:autoSpaceDN w:val="0"/>
        <w:adjustRightInd w:val="0"/>
        <w:snapToGrid w:val="0"/>
        <w:spacing w:line="300" w:lineRule="auto"/>
        <w:rPr>
          <w:rFonts w:ascii="宋体" w:hAnsi="宋体" w:cs="Arial"/>
          <w:sz w:val="22"/>
          <w:szCs w:val="22"/>
          <w:u w:val="single"/>
          <w:lang w:val="zh-CN"/>
        </w:rPr>
      </w:pPr>
    </w:p>
    <w:p w:rsidR="0065182B" w:rsidRDefault="0065182B">
      <w:pPr>
        <w:autoSpaceDE w:val="0"/>
        <w:autoSpaceDN w:val="0"/>
        <w:adjustRightInd w:val="0"/>
        <w:snapToGrid w:val="0"/>
        <w:spacing w:line="300" w:lineRule="auto"/>
        <w:jc w:val="right"/>
        <w:rPr>
          <w:rFonts w:ascii="宋体" w:hAnsi="宋体" w:cs="Arial"/>
          <w:sz w:val="22"/>
          <w:szCs w:val="22"/>
          <w:lang w:val="zh-CN"/>
        </w:rPr>
      </w:pPr>
    </w:p>
    <w:p w:rsidR="0065182B" w:rsidRDefault="00F35FEB">
      <w:pPr>
        <w:autoSpaceDE w:val="0"/>
        <w:autoSpaceDN w:val="0"/>
        <w:adjustRightInd w:val="0"/>
        <w:snapToGrid w:val="0"/>
        <w:spacing w:line="300" w:lineRule="auto"/>
        <w:ind w:right="1155"/>
        <w:jc w:val="right"/>
        <w:rPr>
          <w:rFonts w:ascii="宋体" w:hAnsi="宋体"/>
          <w:sz w:val="22"/>
          <w:szCs w:val="22"/>
          <w:lang w:val="zh-CN"/>
        </w:rPr>
      </w:pPr>
      <w:r>
        <w:rPr>
          <w:rFonts w:ascii="宋体" w:hAnsi="宋体" w:hint="eastAsia"/>
          <w:sz w:val="22"/>
          <w:szCs w:val="22"/>
          <w:lang w:val="zh-CN"/>
        </w:rPr>
        <w:t>确认人（签字）：</w:t>
      </w:r>
    </w:p>
    <w:p w:rsidR="0065182B" w:rsidRDefault="00F35FEB">
      <w:pPr>
        <w:autoSpaceDE w:val="0"/>
        <w:autoSpaceDN w:val="0"/>
        <w:adjustRightInd w:val="0"/>
        <w:snapToGrid w:val="0"/>
        <w:spacing w:line="300" w:lineRule="auto"/>
        <w:jc w:val="right"/>
        <w:rPr>
          <w:rFonts w:ascii="宋体" w:hAnsi="宋体"/>
          <w:sz w:val="22"/>
          <w:szCs w:val="22"/>
          <w:lang w:val="zh-CN"/>
        </w:rPr>
      </w:pPr>
      <w:r>
        <w:rPr>
          <w:rFonts w:ascii="宋体" w:hAnsi="宋体" w:hint="eastAsia"/>
          <w:sz w:val="22"/>
          <w:szCs w:val="22"/>
          <w:lang w:val="zh-CN"/>
        </w:rPr>
        <w:t>日期：</w:t>
      </w:r>
      <w:r w:rsidR="00F978C1">
        <w:rPr>
          <w:rFonts w:ascii="宋体" w:hAnsi="宋体" w:hint="eastAsia"/>
          <w:sz w:val="22"/>
          <w:szCs w:val="22"/>
          <w:lang w:val="zh-CN"/>
        </w:rPr>
        <w:t xml:space="preserve"> </w:t>
      </w:r>
      <w:r>
        <w:rPr>
          <w:rFonts w:ascii="宋体" w:hAnsi="宋体" w:hint="eastAsia"/>
          <w:sz w:val="22"/>
          <w:szCs w:val="22"/>
          <w:lang w:val="zh-CN"/>
        </w:rPr>
        <w:t>年</w:t>
      </w:r>
      <w:r w:rsidR="00F978C1">
        <w:rPr>
          <w:rFonts w:ascii="宋体" w:hAnsi="宋体" w:hint="eastAsia"/>
          <w:sz w:val="22"/>
          <w:szCs w:val="22"/>
          <w:lang w:val="zh-CN"/>
        </w:rPr>
        <w:t xml:space="preserve"> </w:t>
      </w:r>
      <w:r>
        <w:rPr>
          <w:rFonts w:ascii="宋体" w:hAnsi="宋体" w:hint="eastAsia"/>
          <w:sz w:val="22"/>
          <w:szCs w:val="22"/>
          <w:lang w:val="zh-CN"/>
        </w:rPr>
        <w:t>月</w:t>
      </w:r>
      <w:r w:rsidR="00F978C1">
        <w:rPr>
          <w:rFonts w:ascii="宋体" w:hAnsi="宋体" w:hint="eastAsia"/>
          <w:sz w:val="22"/>
          <w:szCs w:val="22"/>
          <w:lang w:val="zh-CN"/>
        </w:rPr>
        <w:t xml:space="preserve"> </w:t>
      </w:r>
      <w:r>
        <w:rPr>
          <w:rFonts w:ascii="宋体" w:hAnsi="宋体" w:hint="eastAsia"/>
          <w:sz w:val="22"/>
          <w:szCs w:val="22"/>
          <w:lang w:val="zh-CN"/>
        </w:rPr>
        <w:t>日</w:t>
      </w:r>
    </w:p>
    <w:p w:rsidR="0065182B" w:rsidRDefault="0065182B">
      <w:pPr>
        <w:wordWrap w:val="0"/>
        <w:ind w:right="220"/>
        <w:jc w:val="right"/>
        <w:rPr>
          <w:rFonts w:ascii="宋体" w:hAnsi="宋体"/>
          <w:sz w:val="22"/>
          <w:szCs w:val="22"/>
        </w:rPr>
      </w:pPr>
    </w:p>
    <w:sectPr w:rsidR="0065182B">
      <w:footerReference w:type="even" r:id="rId7"/>
      <w:footerReference w:type="default" r:id="rId8"/>
      <w:pgSz w:w="11906" w:h="16838"/>
      <w:pgMar w:top="1440" w:right="1760" w:bottom="1440" w:left="17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DFC" w:rsidRDefault="00D47DFC">
      <w:r>
        <w:separator/>
      </w:r>
    </w:p>
  </w:endnote>
  <w:endnote w:type="continuationSeparator" w:id="0">
    <w:p w:rsidR="00D47DFC" w:rsidRDefault="00D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ingLiU">
    <w:altName w:val="Microsoft JhengHei"/>
    <w:panose1 w:val="02010609000101010101"/>
    <w:charset w:val="88"/>
    <w:family w:val="modern"/>
    <w:pitch w:val="fixed"/>
    <w:sig w:usb0="00000000" w:usb1="28CFFCFA" w:usb2="00000016" w:usb3="00000000" w:csb0="00100001" w:csb1="00000000"/>
  </w:font>
  <w:font w:name="ˎ̥">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82B" w:rsidRDefault="00F35FEB">
    <w:pPr>
      <w:pStyle w:val="ab"/>
      <w:framePr w:wrap="around" w:vAnchor="text" w:hAnchor="margin" w:xAlign="center" w:y="1"/>
      <w:rPr>
        <w:rStyle w:val="af2"/>
      </w:rPr>
    </w:pPr>
    <w:r>
      <w:fldChar w:fldCharType="begin"/>
    </w:r>
    <w:r>
      <w:rPr>
        <w:rStyle w:val="af2"/>
      </w:rPr>
      <w:instrText xml:space="preserve">PAGE  </w:instrText>
    </w:r>
    <w:r>
      <w:fldChar w:fldCharType="end"/>
    </w:r>
  </w:p>
  <w:p w:rsidR="0065182B" w:rsidRDefault="0065182B">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82B" w:rsidRDefault="00F35FEB">
    <w:pPr>
      <w:pStyle w:val="ab"/>
      <w:framePr w:wrap="around" w:vAnchor="text" w:hAnchor="margin" w:xAlign="center" w:y="1"/>
      <w:rPr>
        <w:rStyle w:val="af2"/>
      </w:rPr>
    </w:pPr>
    <w:r>
      <w:fldChar w:fldCharType="begin"/>
    </w:r>
    <w:r>
      <w:rPr>
        <w:rStyle w:val="af2"/>
      </w:rPr>
      <w:instrText xml:space="preserve">PAGE  </w:instrText>
    </w:r>
    <w:r>
      <w:fldChar w:fldCharType="separate"/>
    </w:r>
    <w:r w:rsidR="00994277">
      <w:rPr>
        <w:rStyle w:val="af2"/>
        <w:noProof/>
      </w:rPr>
      <w:t>7</w:t>
    </w:r>
    <w:r>
      <w:fldChar w:fldCharType="end"/>
    </w:r>
  </w:p>
  <w:p w:rsidR="0065182B" w:rsidRDefault="0065182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DFC" w:rsidRDefault="00D47DFC">
      <w:r>
        <w:separator/>
      </w:r>
    </w:p>
  </w:footnote>
  <w:footnote w:type="continuationSeparator" w:id="0">
    <w:p w:rsidR="00D47DFC" w:rsidRDefault="00D47D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1959"/>
    <w:multiLevelType w:val="multilevel"/>
    <w:tmpl w:val="0DEE1959"/>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yYmY2YjU5ZDNmZTJkZTk1NTY1Mjk3MGFjMTAyNDMifQ=="/>
  </w:docVars>
  <w:rsids>
    <w:rsidRoot w:val="001E18E7"/>
    <w:rsid w:val="0000266F"/>
    <w:rsid w:val="0000286B"/>
    <w:rsid w:val="00002FDE"/>
    <w:rsid w:val="00003794"/>
    <w:rsid w:val="00004033"/>
    <w:rsid w:val="0000495F"/>
    <w:rsid w:val="000062FD"/>
    <w:rsid w:val="000066D9"/>
    <w:rsid w:val="000105D7"/>
    <w:rsid w:val="000128B9"/>
    <w:rsid w:val="00014709"/>
    <w:rsid w:val="00016675"/>
    <w:rsid w:val="00020200"/>
    <w:rsid w:val="00020C74"/>
    <w:rsid w:val="000224C9"/>
    <w:rsid w:val="000232D7"/>
    <w:rsid w:val="0002334D"/>
    <w:rsid w:val="00024593"/>
    <w:rsid w:val="00024EEC"/>
    <w:rsid w:val="000251A5"/>
    <w:rsid w:val="00026A58"/>
    <w:rsid w:val="00030166"/>
    <w:rsid w:val="000305A6"/>
    <w:rsid w:val="00030B43"/>
    <w:rsid w:val="000317B4"/>
    <w:rsid w:val="0003416D"/>
    <w:rsid w:val="00040023"/>
    <w:rsid w:val="000403A0"/>
    <w:rsid w:val="00040B74"/>
    <w:rsid w:val="00042880"/>
    <w:rsid w:val="00043C38"/>
    <w:rsid w:val="00044088"/>
    <w:rsid w:val="0004421C"/>
    <w:rsid w:val="00044420"/>
    <w:rsid w:val="00051CF4"/>
    <w:rsid w:val="000527FA"/>
    <w:rsid w:val="00053B0B"/>
    <w:rsid w:val="00056353"/>
    <w:rsid w:val="00057291"/>
    <w:rsid w:val="00060B5C"/>
    <w:rsid w:val="00060DD7"/>
    <w:rsid w:val="000610F5"/>
    <w:rsid w:val="00061A5B"/>
    <w:rsid w:val="00062FD5"/>
    <w:rsid w:val="000640F4"/>
    <w:rsid w:val="00064768"/>
    <w:rsid w:val="00064D56"/>
    <w:rsid w:val="00065096"/>
    <w:rsid w:val="00065599"/>
    <w:rsid w:val="000676AD"/>
    <w:rsid w:val="00067884"/>
    <w:rsid w:val="00070809"/>
    <w:rsid w:val="00071069"/>
    <w:rsid w:val="000712EF"/>
    <w:rsid w:val="00071E74"/>
    <w:rsid w:val="0007220F"/>
    <w:rsid w:val="00074E68"/>
    <w:rsid w:val="000757C0"/>
    <w:rsid w:val="00076134"/>
    <w:rsid w:val="000776D8"/>
    <w:rsid w:val="00085AAF"/>
    <w:rsid w:val="00086E72"/>
    <w:rsid w:val="000918A8"/>
    <w:rsid w:val="000919EE"/>
    <w:rsid w:val="00095463"/>
    <w:rsid w:val="000954B2"/>
    <w:rsid w:val="000969B9"/>
    <w:rsid w:val="00097319"/>
    <w:rsid w:val="000A047A"/>
    <w:rsid w:val="000A07A6"/>
    <w:rsid w:val="000A15DC"/>
    <w:rsid w:val="000A2A70"/>
    <w:rsid w:val="000A39BB"/>
    <w:rsid w:val="000A5AFA"/>
    <w:rsid w:val="000A6E3B"/>
    <w:rsid w:val="000B17E2"/>
    <w:rsid w:val="000B20BE"/>
    <w:rsid w:val="000B2768"/>
    <w:rsid w:val="000B2899"/>
    <w:rsid w:val="000B3E3E"/>
    <w:rsid w:val="000B3EB9"/>
    <w:rsid w:val="000B604E"/>
    <w:rsid w:val="000B7228"/>
    <w:rsid w:val="000C02C3"/>
    <w:rsid w:val="000C1DD2"/>
    <w:rsid w:val="000C30D8"/>
    <w:rsid w:val="000C39C2"/>
    <w:rsid w:val="000C3E51"/>
    <w:rsid w:val="000C5355"/>
    <w:rsid w:val="000C726E"/>
    <w:rsid w:val="000C788F"/>
    <w:rsid w:val="000D0DF8"/>
    <w:rsid w:val="000D4147"/>
    <w:rsid w:val="000D426D"/>
    <w:rsid w:val="000D6DBA"/>
    <w:rsid w:val="000D6E2D"/>
    <w:rsid w:val="000D738A"/>
    <w:rsid w:val="000E0834"/>
    <w:rsid w:val="000E2C62"/>
    <w:rsid w:val="000E3691"/>
    <w:rsid w:val="000E4909"/>
    <w:rsid w:val="000E4A7E"/>
    <w:rsid w:val="000E571E"/>
    <w:rsid w:val="000E5F56"/>
    <w:rsid w:val="000E6096"/>
    <w:rsid w:val="000E6222"/>
    <w:rsid w:val="000E6516"/>
    <w:rsid w:val="000E6CDC"/>
    <w:rsid w:val="000F0DDC"/>
    <w:rsid w:val="000F2756"/>
    <w:rsid w:val="000F48E9"/>
    <w:rsid w:val="000F6701"/>
    <w:rsid w:val="000F75D3"/>
    <w:rsid w:val="0010042D"/>
    <w:rsid w:val="0010082C"/>
    <w:rsid w:val="0010226A"/>
    <w:rsid w:val="00103F1D"/>
    <w:rsid w:val="00105B0D"/>
    <w:rsid w:val="0010666E"/>
    <w:rsid w:val="001076AD"/>
    <w:rsid w:val="00111634"/>
    <w:rsid w:val="00115FEA"/>
    <w:rsid w:val="001224DA"/>
    <w:rsid w:val="00122FAB"/>
    <w:rsid w:val="0012358B"/>
    <w:rsid w:val="001252F6"/>
    <w:rsid w:val="00126EBB"/>
    <w:rsid w:val="00127D41"/>
    <w:rsid w:val="00131E3C"/>
    <w:rsid w:val="00132202"/>
    <w:rsid w:val="001323CA"/>
    <w:rsid w:val="00132654"/>
    <w:rsid w:val="00133152"/>
    <w:rsid w:val="0013479B"/>
    <w:rsid w:val="0013526B"/>
    <w:rsid w:val="00140133"/>
    <w:rsid w:val="001403DD"/>
    <w:rsid w:val="00143361"/>
    <w:rsid w:val="00147A15"/>
    <w:rsid w:val="00150662"/>
    <w:rsid w:val="00150BC7"/>
    <w:rsid w:val="001519B4"/>
    <w:rsid w:val="0015307A"/>
    <w:rsid w:val="001557EC"/>
    <w:rsid w:val="00155A69"/>
    <w:rsid w:val="0015615D"/>
    <w:rsid w:val="00157806"/>
    <w:rsid w:val="00157826"/>
    <w:rsid w:val="00160168"/>
    <w:rsid w:val="0016092C"/>
    <w:rsid w:val="00160FB3"/>
    <w:rsid w:val="00163E5C"/>
    <w:rsid w:val="001667C9"/>
    <w:rsid w:val="00166816"/>
    <w:rsid w:val="00167CE4"/>
    <w:rsid w:val="0017031F"/>
    <w:rsid w:val="00170575"/>
    <w:rsid w:val="0017070F"/>
    <w:rsid w:val="0017194A"/>
    <w:rsid w:val="0017219D"/>
    <w:rsid w:val="0017267A"/>
    <w:rsid w:val="00172BA1"/>
    <w:rsid w:val="00172ED9"/>
    <w:rsid w:val="001737B1"/>
    <w:rsid w:val="00173A39"/>
    <w:rsid w:val="00175EC9"/>
    <w:rsid w:val="00176162"/>
    <w:rsid w:val="001775F2"/>
    <w:rsid w:val="00177D39"/>
    <w:rsid w:val="0018022E"/>
    <w:rsid w:val="00181502"/>
    <w:rsid w:val="001832AB"/>
    <w:rsid w:val="00183B84"/>
    <w:rsid w:val="001844E4"/>
    <w:rsid w:val="0018468B"/>
    <w:rsid w:val="00185FB2"/>
    <w:rsid w:val="00187799"/>
    <w:rsid w:val="00187D66"/>
    <w:rsid w:val="00191381"/>
    <w:rsid w:val="001A3409"/>
    <w:rsid w:val="001A47B9"/>
    <w:rsid w:val="001A5507"/>
    <w:rsid w:val="001B097E"/>
    <w:rsid w:val="001B1747"/>
    <w:rsid w:val="001B3A82"/>
    <w:rsid w:val="001B670A"/>
    <w:rsid w:val="001C0352"/>
    <w:rsid w:val="001C0520"/>
    <w:rsid w:val="001C2110"/>
    <w:rsid w:val="001C2D0F"/>
    <w:rsid w:val="001C323B"/>
    <w:rsid w:val="001C40EF"/>
    <w:rsid w:val="001C639E"/>
    <w:rsid w:val="001C79C1"/>
    <w:rsid w:val="001D1374"/>
    <w:rsid w:val="001D2870"/>
    <w:rsid w:val="001D33EC"/>
    <w:rsid w:val="001D416F"/>
    <w:rsid w:val="001D45B3"/>
    <w:rsid w:val="001D4FE0"/>
    <w:rsid w:val="001D55B0"/>
    <w:rsid w:val="001D621B"/>
    <w:rsid w:val="001D7DD3"/>
    <w:rsid w:val="001E17B1"/>
    <w:rsid w:val="001E18E7"/>
    <w:rsid w:val="001E2BFD"/>
    <w:rsid w:val="001E4980"/>
    <w:rsid w:val="001E4D25"/>
    <w:rsid w:val="001F0ED7"/>
    <w:rsid w:val="001F3B3F"/>
    <w:rsid w:val="001F584D"/>
    <w:rsid w:val="002006BF"/>
    <w:rsid w:val="002015DD"/>
    <w:rsid w:val="00203F09"/>
    <w:rsid w:val="00205E1F"/>
    <w:rsid w:val="00207A39"/>
    <w:rsid w:val="00211944"/>
    <w:rsid w:val="002124BF"/>
    <w:rsid w:val="00212655"/>
    <w:rsid w:val="00213D6B"/>
    <w:rsid w:val="00213F10"/>
    <w:rsid w:val="00215A25"/>
    <w:rsid w:val="00216A82"/>
    <w:rsid w:val="0022037E"/>
    <w:rsid w:val="002206AB"/>
    <w:rsid w:val="002210C1"/>
    <w:rsid w:val="00221DFE"/>
    <w:rsid w:val="00223332"/>
    <w:rsid w:val="00225202"/>
    <w:rsid w:val="00227E67"/>
    <w:rsid w:val="002327C9"/>
    <w:rsid w:val="00232E96"/>
    <w:rsid w:val="00234516"/>
    <w:rsid w:val="002351F3"/>
    <w:rsid w:val="00235B04"/>
    <w:rsid w:val="00235B74"/>
    <w:rsid w:val="00236EBE"/>
    <w:rsid w:val="00237749"/>
    <w:rsid w:val="00237E3A"/>
    <w:rsid w:val="00240A11"/>
    <w:rsid w:val="00240E2F"/>
    <w:rsid w:val="00242062"/>
    <w:rsid w:val="00242B7D"/>
    <w:rsid w:val="0024339F"/>
    <w:rsid w:val="0024497F"/>
    <w:rsid w:val="00245C4F"/>
    <w:rsid w:val="00247DD8"/>
    <w:rsid w:val="002508B6"/>
    <w:rsid w:val="00251407"/>
    <w:rsid w:val="0025157C"/>
    <w:rsid w:val="0025186A"/>
    <w:rsid w:val="0025215E"/>
    <w:rsid w:val="002534AE"/>
    <w:rsid w:val="00253AA5"/>
    <w:rsid w:val="00255AB1"/>
    <w:rsid w:val="00255B11"/>
    <w:rsid w:val="00255CFF"/>
    <w:rsid w:val="00260C46"/>
    <w:rsid w:val="00264B73"/>
    <w:rsid w:val="002660AE"/>
    <w:rsid w:val="00266775"/>
    <w:rsid w:val="00267388"/>
    <w:rsid w:val="00267BB8"/>
    <w:rsid w:val="00270CE2"/>
    <w:rsid w:val="002721A9"/>
    <w:rsid w:val="00272340"/>
    <w:rsid w:val="00272B64"/>
    <w:rsid w:val="002744EC"/>
    <w:rsid w:val="002763AB"/>
    <w:rsid w:val="00276A2E"/>
    <w:rsid w:val="00277FE4"/>
    <w:rsid w:val="00280DE6"/>
    <w:rsid w:val="0028152D"/>
    <w:rsid w:val="002818D6"/>
    <w:rsid w:val="00283C8F"/>
    <w:rsid w:val="0028493D"/>
    <w:rsid w:val="0028500D"/>
    <w:rsid w:val="00285016"/>
    <w:rsid w:val="00291F9C"/>
    <w:rsid w:val="00292C10"/>
    <w:rsid w:val="002A0C7C"/>
    <w:rsid w:val="002A1BD5"/>
    <w:rsid w:val="002A3964"/>
    <w:rsid w:val="002A4586"/>
    <w:rsid w:val="002A482B"/>
    <w:rsid w:val="002A561C"/>
    <w:rsid w:val="002A56AC"/>
    <w:rsid w:val="002A6FB2"/>
    <w:rsid w:val="002A787E"/>
    <w:rsid w:val="002B2AD5"/>
    <w:rsid w:val="002B409D"/>
    <w:rsid w:val="002B45FD"/>
    <w:rsid w:val="002B5B52"/>
    <w:rsid w:val="002B5D2E"/>
    <w:rsid w:val="002B7494"/>
    <w:rsid w:val="002B7EC8"/>
    <w:rsid w:val="002C1AA1"/>
    <w:rsid w:val="002C1D6F"/>
    <w:rsid w:val="002C2424"/>
    <w:rsid w:val="002C2C5B"/>
    <w:rsid w:val="002C6090"/>
    <w:rsid w:val="002C6199"/>
    <w:rsid w:val="002C643A"/>
    <w:rsid w:val="002C7279"/>
    <w:rsid w:val="002D0B6F"/>
    <w:rsid w:val="002D2732"/>
    <w:rsid w:val="002D2F97"/>
    <w:rsid w:val="002D3045"/>
    <w:rsid w:val="002D3879"/>
    <w:rsid w:val="002D517C"/>
    <w:rsid w:val="002D6664"/>
    <w:rsid w:val="002D695D"/>
    <w:rsid w:val="002D6DA2"/>
    <w:rsid w:val="002D6EED"/>
    <w:rsid w:val="002E2173"/>
    <w:rsid w:val="002E359D"/>
    <w:rsid w:val="002E3798"/>
    <w:rsid w:val="002E3948"/>
    <w:rsid w:val="002E3EFC"/>
    <w:rsid w:val="002E6411"/>
    <w:rsid w:val="002F093F"/>
    <w:rsid w:val="002F10BA"/>
    <w:rsid w:val="002F1B63"/>
    <w:rsid w:val="002F52BC"/>
    <w:rsid w:val="002F7259"/>
    <w:rsid w:val="002F7583"/>
    <w:rsid w:val="00300AEE"/>
    <w:rsid w:val="00300FC9"/>
    <w:rsid w:val="00301996"/>
    <w:rsid w:val="00304752"/>
    <w:rsid w:val="00305795"/>
    <w:rsid w:val="00306E9F"/>
    <w:rsid w:val="00310564"/>
    <w:rsid w:val="00311CE9"/>
    <w:rsid w:val="003126DC"/>
    <w:rsid w:val="00312ECE"/>
    <w:rsid w:val="00314634"/>
    <w:rsid w:val="00315994"/>
    <w:rsid w:val="003167B9"/>
    <w:rsid w:val="00317E87"/>
    <w:rsid w:val="003207C1"/>
    <w:rsid w:val="00322C42"/>
    <w:rsid w:val="00322CF7"/>
    <w:rsid w:val="003236F3"/>
    <w:rsid w:val="00323863"/>
    <w:rsid w:val="00324B5A"/>
    <w:rsid w:val="003269B1"/>
    <w:rsid w:val="003309BD"/>
    <w:rsid w:val="0033431C"/>
    <w:rsid w:val="0033479C"/>
    <w:rsid w:val="00334ACF"/>
    <w:rsid w:val="00334B3A"/>
    <w:rsid w:val="0033546A"/>
    <w:rsid w:val="0033570A"/>
    <w:rsid w:val="00335E68"/>
    <w:rsid w:val="00336922"/>
    <w:rsid w:val="00340F0B"/>
    <w:rsid w:val="003427C0"/>
    <w:rsid w:val="003428DB"/>
    <w:rsid w:val="00342D8E"/>
    <w:rsid w:val="00342E36"/>
    <w:rsid w:val="003439B5"/>
    <w:rsid w:val="0034510A"/>
    <w:rsid w:val="003453F5"/>
    <w:rsid w:val="003463BC"/>
    <w:rsid w:val="00346B96"/>
    <w:rsid w:val="00347B8B"/>
    <w:rsid w:val="00347E9D"/>
    <w:rsid w:val="0035322F"/>
    <w:rsid w:val="00355345"/>
    <w:rsid w:val="00355854"/>
    <w:rsid w:val="00355E32"/>
    <w:rsid w:val="00357275"/>
    <w:rsid w:val="0036075B"/>
    <w:rsid w:val="003633B9"/>
    <w:rsid w:val="00363412"/>
    <w:rsid w:val="00363A96"/>
    <w:rsid w:val="00363BA7"/>
    <w:rsid w:val="00367815"/>
    <w:rsid w:val="00367A83"/>
    <w:rsid w:val="00371966"/>
    <w:rsid w:val="00372607"/>
    <w:rsid w:val="00374143"/>
    <w:rsid w:val="00374598"/>
    <w:rsid w:val="00374855"/>
    <w:rsid w:val="00375DC0"/>
    <w:rsid w:val="00377341"/>
    <w:rsid w:val="0038060D"/>
    <w:rsid w:val="00381CFF"/>
    <w:rsid w:val="00382186"/>
    <w:rsid w:val="003826E2"/>
    <w:rsid w:val="0038338A"/>
    <w:rsid w:val="00386618"/>
    <w:rsid w:val="00386967"/>
    <w:rsid w:val="00387E33"/>
    <w:rsid w:val="00390F34"/>
    <w:rsid w:val="003920D8"/>
    <w:rsid w:val="00395C91"/>
    <w:rsid w:val="00395D7C"/>
    <w:rsid w:val="003965ED"/>
    <w:rsid w:val="0039725A"/>
    <w:rsid w:val="003A052F"/>
    <w:rsid w:val="003A2077"/>
    <w:rsid w:val="003A20A7"/>
    <w:rsid w:val="003A603C"/>
    <w:rsid w:val="003A6734"/>
    <w:rsid w:val="003A7995"/>
    <w:rsid w:val="003B1732"/>
    <w:rsid w:val="003B17FB"/>
    <w:rsid w:val="003B24BF"/>
    <w:rsid w:val="003B2989"/>
    <w:rsid w:val="003B38A3"/>
    <w:rsid w:val="003B6694"/>
    <w:rsid w:val="003B6827"/>
    <w:rsid w:val="003B6A63"/>
    <w:rsid w:val="003B76FA"/>
    <w:rsid w:val="003C03DA"/>
    <w:rsid w:val="003C160B"/>
    <w:rsid w:val="003C3FD7"/>
    <w:rsid w:val="003C4834"/>
    <w:rsid w:val="003C7F4D"/>
    <w:rsid w:val="003D0D57"/>
    <w:rsid w:val="003D0F16"/>
    <w:rsid w:val="003D1211"/>
    <w:rsid w:val="003D2A27"/>
    <w:rsid w:val="003D2B80"/>
    <w:rsid w:val="003D36DE"/>
    <w:rsid w:val="003E0801"/>
    <w:rsid w:val="003E084A"/>
    <w:rsid w:val="003E33DF"/>
    <w:rsid w:val="003E3BAF"/>
    <w:rsid w:val="003E3ED1"/>
    <w:rsid w:val="003E457C"/>
    <w:rsid w:val="003E5551"/>
    <w:rsid w:val="003F1083"/>
    <w:rsid w:val="003F6A5D"/>
    <w:rsid w:val="003F77B0"/>
    <w:rsid w:val="004028AC"/>
    <w:rsid w:val="00403C9F"/>
    <w:rsid w:val="004077BE"/>
    <w:rsid w:val="0040797C"/>
    <w:rsid w:val="004079B1"/>
    <w:rsid w:val="0041020B"/>
    <w:rsid w:val="00412D79"/>
    <w:rsid w:val="00415116"/>
    <w:rsid w:val="0041533F"/>
    <w:rsid w:val="00415422"/>
    <w:rsid w:val="004173F3"/>
    <w:rsid w:val="00420180"/>
    <w:rsid w:val="00421BD8"/>
    <w:rsid w:val="004254C5"/>
    <w:rsid w:val="00425605"/>
    <w:rsid w:val="00426D3E"/>
    <w:rsid w:val="004275CC"/>
    <w:rsid w:val="004308F3"/>
    <w:rsid w:val="004315FA"/>
    <w:rsid w:val="00431E79"/>
    <w:rsid w:val="00433482"/>
    <w:rsid w:val="00434083"/>
    <w:rsid w:val="004345FB"/>
    <w:rsid w:val="00435049"/>
    <w:rsid w:val="00435DA6"/>
    <w:rsid w:val="0043609B"/>
    <w:rsid w:val="00436443"/>
    <w:rsid w:val="00440D16"/>
    <w:rsid w:val="0044208B"/>
    <w:rsid w:val="00442E30"/>
    <w:rsid w:val="0044320D"/>
    <w:rsid w:val="00445BCC"/>
    <w:rsid w:val="00451244"/>
    <w:rsid w:val="00451A4C"/>
    <w:rsid w:val="00451FD7"/>
    <w:rsid w:val="00452561"/>
    <w:rsid w:val="0045284E"/>
    <w:rsid w:val="0045326A"/>
    <w:rsid w:val="00453796"/>
    <w:rsid w:val="0045381F"/>
    <w:rsid w:val="0045387F"/>
    <w:rsid w:val="00453E48"/>
    <w:rsid w:val="0046087E"/>
    <w:rsid w:val="00460B9B"/>
    <w:rsid w:val="00461409"/>
    <w:rsid w:val="00463424"/>
    <w:rsid w:val="004635CB"/>
    <w:rsid w:val="00463F54"/>
    <w:rsid w:val="00464E71"/>
    <w:rsid w:val="00465746"/>
    <w:rsid w:val="00465DF1"/>
    <w:rsid w:val="00467287"/>
    <w:rsid w:val="00467FCA"/>
    <w:rsid w:val="004726A4"/>
    <w:rsid w:val="00476A47"/>
    <w:rsid w:val="00476AFD"/>
    <w:rsid w:val="00477CA6"/>
    <w:rsid w:val="0048107C"/>
    <w:rsid w:val="00487A3E"/>
    <w:rsid w:val="004906DF"/>
    <w:rsid w:val="00491D39"/>
    <w:rsid w:val="00493A8D"/>
    <w:rsid w:val="0049676D"/>
    <w:rsid w:val="004A03F5"/>
    <w:rsid w:val="004A0A44"/>
    <w:rsid w:val="004A1D03"/>
    <w:rsid w:val="004A2DAD"/>
    <w:rsid w:val="004A3457"/>
    <w:rsid w:val="004A379B"/>
    <w:rsid w:val="004A3E0C"/>
    <w:rsid w:val="004A44AF"/>
    <w:rsid w:val="004A4883"/>
    <w:rsid w:val="004A4C11"/>
    <w:rsid w:val="004A7072"/>
    <w:rsid w:val="004B34CD"/>
    <w:rsid w:val="004B4BD4"/>
    <w:rsid w:val="004B6B13"/>
    <w:rsid w:val="004C0521"/>
    <w:rsid w:val="004C1208"/>
    <w:rsid w:val="004C2E64"/>
    <w:rsid w:val="004C480C"/>
    <w:rsid w:val="004C6339"/>
    <w:rsid w:val="004C75EF"/>
    <w:rsid w:val="004D0F45"/>
    <w:rsid w:val="004D2D45"/>
    <w:rsid w:val="004D3C47"/>
    <w:rsid w:val="004D598C"/>
    <w:rsid w:val="004D5FF2"/>
    <w:rsid w:val="004D631A"/>
    <w:rsid w:val="004D75AB"/>
    <w:rsid w:val="004E2CAD"/>
    <w:rsid w:val="004E2FBD"/>
    <w:rsid w:val="004E555C"/>
    <w:rsid w:val="004E6098"/>
    <w:rsid w:val="004E6F69"/>
    <w:rsid w:val="004F1316"/>
    <w:rsid w:val="004F19E7"/>
    <w:rsid w:val="004F42D1"/>
    <w:rsid w:val="004F4E03"/>
    <w:rsid w:val="004F68BF"/>
    <w:rsid w:val="004F7EAF"/>
    <w:rsid w:val="005022BF"/>
    <w:rsid w:val="00502B13"/>
    <w:rsid w:val="005055D1"/>
    <w:rsid w:val="00505983"/>
    <w:rsid w:val="00510265"/>
    <w:rsid w:val="00510893"/>
    <w:rsid w:val="00510AEF"/>
    <w:rsid w:val="00512765"/>
    <w:rsid w:val="0051357F"/>
    <w:rsid w:val="00514D49"/>
    <w:rsid w:val="0051592C"/>
    <w:rsid w:val="00520136"/>
    <w:rsid w:val="0052188A"/>
    <w:rsid w:val="00524C4D"/>
    <w:rsid w:val="00524E08"/>
    <w:rsid w:val="00531E29"/>
    <w:rsid w:val="00534BF7"/>
    <w:rsid w:val="005350D3"/>
    <w:rsid w:val="00535E1C"/>
    <w:rsid w:val="00537523"/>
    <w:rsid w:val="00542468"/>
    <w:rsid w:val="005428B3"/>
    <w:rsid w:val="0054494A"/>
    <w:rsid w:val="005449C7"/>
    <w:rsid w:val="00544EB3"/>
    <w:rsid w:val="005461C6"/>
    <w:rsid w:val="0054655A"/>
    <w:rsid w:val="00546B0A"/>
    <w:rsid w:val="005475C1"/>
    <w:rsid w:val="005532F3"/>
    <w:rsid w:val="005569AF"/>
    <w:rsid w:val="00556DA4"/>
    <w:rsid w:val="005574A1"/>
    <w:rsid w:val="005578D0"/>
    <w:rsid w:val="0056150E"/>
    <w:rsid w:val="00562A35"/>
    <w:rsid w:val="005635B0"/>
    <w:rsid w:val="005640B3"/>
    <w:rsid w:val="00565EF3"/>
    <w:rsid w:val="0056607B"/>
    <w:rsid w:val="00567132"/>
    <w:rsid w:val="00570B97"/>
    <w:rsid w:val="00571C60"/>
    <w:rsid w:val="00575336"/>
    <w:rsid w:val="005757EE"/>
    <w:rsid w:val="005761F1"/>
    <w:rsid w:val="00577B18"/>
    <w:rsid w:val="00580579"/>
    <w:rsid w:val="00581BEB"/>
    <w:rsid w:val="00581FCC"/>
    <w:rsid w:val="0058406D"/>
    <w:rsid w:val="00584A36"/>
    <w:rsid w:val="00585B26"/>
    <w:rsid w:val="00586105"/>
    <w:rsid w:val="0058651B"/>
    <w:rsid w:val="00587624"/>
    <w:rsid w:val="005877F1"/>
    <w:rsid w:val="0059013E"/>
    <w:rsid w:val="00590C5B"/>
    <w:rsid w:val="00591621"/>
    <w:rsid w:val="005917E7"/>
    <w:rsid w:val="00592182"/>
    <w:rsid w:val="00593945"/>
    <w:rsid w:val="00593E4F"/>
    <w:rsid w:val="005940A1"/>
    <w:rsid w:val="00595B8D"/>
    <w:rsid w:val="0059733E"/>
    <w:rsid w:val="005979FF"/>
    <w:rsid w:val="005A18D1"/>
    <w:rsid w:val="005A3316"/>
    <w:rsid w:val="005A5738"/>
    <w:rsid w:val="005A5BA9"/>
    <w:rsid w:val="005A6EF8"/>
    <w:rsid w:val="005B3952"/>
    <w:rsid w:val="005B48D5"/>
    <w:rsid w:val="005B572B"/>
    <w:rsid w:val="005B6950"/>
    <w:rsid w:val="005B765F"/>
    <w:rsid w:val="005B79CA"/>
    <w:rsid w:val="005C4BDA"/>
    <w:rsid w:val="005D015B"/>
    <w:rsid w:val="005D0292"/>
    <w:rsid w:val="005D0D01"/>
    <w:rsid w:val="005D0F4A"/>
    <w:rsid w:val="005D3BE2"/>
    <w:rsid w:val="005D5626"/>
    <w:rsid w:val="005D6326"/>
    <w:rsid w:val="005D7ABF"/>
    <w:rsid w:val="005D7CFB"/>
    <w:rsid w:val="005E00BA"/>
    <w:rsid w:val="005E0A0D"/>
    <w:rsid w:val="005E23FC"/>
    <w:rsid w:val="005E24FA"/>
    <w:rsid w:val="005E39F7"/>
    <w:rsid w:val="005E591A"/>
    <w:rsid w:val="005E5F78"/>
    <w:rsid w:val="005E68CB"/>
    <w:rsid w:val="005F0911"/>
    <w:rsid w:val="005F0A8D"/>
    <w:rsid w:val="005F1D05"/>
    <w:rsid w:val="005F5C00"/>
    <w:rsid w:val="005F5D06"/>
    <w:rsid w:val="005F7688"/>
    <w:rsid w:val="00600150"/>
    <w:rsid w:val="00602E3B"/>
    <w:rsid w:val="00603321"/>
    <w:rsid w:val="00607125"/>
    <w:rsid w:val="00607A43"/>
    <w:rsid w:val="00610B5A"/>
    <w:rsid w:val="006112B8"/>
    <w:rsid w:val="00611CF3"/>
    <w:rsid w:val="00612C73"/>
    <w:rsid w:val="00612E60"/>
    <w:rsid w:val="00613401"/>
    <w:rsid w:val="00617632"/>
    <w:rsid w:val="00620E4A"/>
    <w:rsid w:val="0062159C"/>
    <w:rsid w:val="00625069"/>
    <w:rsid w:val="00625AA4"/>
    <w:rsid w:val="0062654F"/>
    <w:rsid w:val="006268AC"/>
    <w:rsid w:val="00631357"/>
    <w:rsid w:val="006323FD"/>
    <w:rsid w:val="00636827"/>
    <w:rsid w:val="006377F6"/>
    <w:rsid w:val="00640EB5"/>
    <w:rsid w:val="00641BCB"/>
    <w:rsid w:val="00643360"/>
    <w:rsid w:val="0064345F"/>
    <w:rsid w:val="00644A24"/>
    <w:rsid w:val="0065182B"/>
    <w:rsid w:val="00651ADE"/>
    <w:rsid w:val="00651E67"/>
    <w:rsid w:val="0065304A"/>
    <w:rsid w:val="00653C1B"/>
    <w:rsid w:val="00662294"/>
    <w:rsid w:val="00663B8A"/>
    <w:rsid w:val="00666FAE"/>
    <w:rsid w:val="006672E0"/>
    <w:rsid w:val="00667739"/>
    <w:rsid w:val="00670702"/>
    <w:rsid w:val="006708A6"/>
    <w:rsid w:val="006721C7"/>
    <w:rsid w:val="00672F9A"/>
    <w:rsid w:val="006730BB"/>
    <w:rsid w:val="00674C1E"/>
    <w:rsid w:val="00675868"/>
    <w:rsid w:val="00676962"/>
    <w:rsid w:val="006808BC"/>
    <w:rsid w:val="0068103B"/>
    <w:rsid w:val="006830D0"/>
    <w:rsid w:val="006844CC"/>
    <w:rsid w:val="00684884"/>
    <w:rsid w:val="00684D2D"/>
    <w:rsid w:val="006858A1"/>
    <w:rsid w:val="0069284C"/>
    <w:rsid w:val="00697A87"/>
    <w:rsid w:val="006A0752"/>
    <w:rsid w:val="006A2277"/>
    <w:rsid w:val="006A36BC"/>
    <w:rsid w:val="006A463C"/>
    <w:rsid w:val="006A4F96"/>
    <w:rsid w:val="006A5AE6"/>
    <w:rsid w:val="006A7015"/>
    <w:rsid w:val="006B0B31"/>
    <w:rsid w:val="006B1C4C"/>
    <w:rsid w:val="006B209C"/>
    <w:rsid w:val="006B40E7"/>
    <w:rsid w:val="006B66FB"/>
    <w:rsid w:val="006C00FC"/>
    <w:rsid w:val="006C2D45"/>
    <w:rsid w:val="006C38DE"/>
    <w:rsid w:val="006C4C26"/>
    <w:rsid w:val="006C6884"/>
    <w:rsid w:val="006C6AAF"/>
    <w:rsid w:val="006D0941"/>
    <w:rsid w:val="006D0993"/>
    <w:rsid w:val="006D14D7"/>
    <w:rsid w:val="006D2BB0"/>
    <w:rsid w:val="006D2E97"/>
    <w:rsid w:val="006D4748"/>
    <w:rsid w:val="006D4ABF"/>
    <w:rsid w:val="006D781A"/>
    <w:rsid w:val="006D79D5"/>
    <w:rsid w:val="006E141F"/>
    <w:rsid w:val="006E2A8B"/>
    <w:rsid w:val="006E2AE0"/>
    <w:rsid w:val="006E7283"/>
    <w:rsid w:val="006F0D1A"/>
    <w:rsid w:val="006F390D"/>
    <w:rsid w:val="006F3A13"/>
    <w:rsid w:val="006F563C"/>
    <w:rsid w:val="007012F6"/>
    <w:rsid w:val="007018AD"/>
    <w:rsid w:val="00702853"/>
    <w:rsid w:val="007039CF"/>
    <w:rsid w:val="007040A9"/>
    <w:rsid w:val="00704361"/>
    <w:rsid w:val="0070472A"/>
    <w:rsid w:val="00704E6E"/>
    <w:rsid w:val="007053CE"/>
    <w:rsid w:val="0070669C"/>
    <w:rsid w:val="0070718D"/>
    <w:rsid w:val="0070764E"/>
    <w:rsid w:val="00707D5E"/>
    <w:rsid w:val="00710653"/>
    <w:rsid w:val="007125A2"/>
    <w:rsid w:val="007135A6"/>
    <w:rsid w:val="00713E81"/>
    <w:rsid w:val="007140A3"/>
    <w:rsid w:val="00714EA1"/>
    <w:rsid w:val="0071575A"/>
    <w:rsid w:val="007161A0"/>
    <w:rsid w:val="00717737"/>
    <w:rsid w:val="007206CE"/>
    <w:rsid w:val="00721049"/>
    <w:rsid w:val="007226A9"/>
    <w:rsid w:val="00725BFC"/>
    <w:rsid w:val="00725CDA"/>
    <w:rsid w:val="0072605E"/>
    <w:rsid w:val="00726552"/>
    <w:rsid w:val="0072671A"/>
    <w:rsid w:val="00727558"/>
    <w:rsid w:val="007277DF"/>
    <w:rsid w:val="00727FDE"/>
    <w:rsid w:val="00730226"/>
    <w:rsid w:val="00731832"/>
    <w:rsid w:val="0073302E"/>
    <w:rsid w:val="0073328C"/>
    <w:rsid w:val="00736541"/>
    <w:rsid w:val="007402ED"/>
    <w:rsid w:val="00742AEB"/>
    <w:rsid w:val="00744ACA"/>
    <w:rsid w:val="00745F30"/>
    <w:rsid w:val="00747F55"/>
    <w:rsid w:val="007508FE"/>
    <w:rsid w:val="00750CE5"/>
    <w:rsid w:val="007524D8"/>
    <w:rsid w:val="00753778"/>
    <w:rsid w:val="00756515"/>
    <w:rsid w:val="00761400"/>
    <w:rsid w:val="00761C8F"/>
    <w:rsid w:val="00762133"/>
    <w:rsid w:val="007639B7"/>
    <w:rsid w:val="00764031"/>
    <w:rsid w:val="007645CF"/>
    <w:rsid w:val="00765927"/>
    <w:rsid w:val="007664C0"/>
    <w:rsid w:val="007669E6"/>
    <w:rsid w:val="00766A13"/>
    <w:rsid w:val="007705FC"/>
    <w:rsid w:val="00771280"/>
    <w:rsid w:val="00771749"/>
    <w:rsid w:val="00771A9F"/>
    <w:rsid w:val="007769C1"/>
    <w:rsid w:val="00777E75"/>
    <w:rsid w:val="00781156"/>
    <w:rsid w:val="00782609"/>
    <w:rsid w:val="0078307E"/>
    <w:rsid w:val="007831AB"/>
    <w:rsid w:val="007833E8"/>
    <w:rsid w:val="00784FA9"/>
    <w:rsid w:val="0079183F"/>
    <w:rsid w:val="00793278"/>
    <w:rsid w:val="0079719A"/>
    <w:rsid w:val="00797E6B"/>
    <w:rsid w:val="007A1419"/>
    <w:rsid w:val="007A22E0"/>
    <w:rsid w:val="007A3CE9"/>
    <w:rsid w:val="007A5312"/>
    <w:rsid w:val="007A6233"/>
    <w:rsid w:val="007A65C4"/>
    <w:rsid w:val="007A6D85"/>
    <w:rsid w:val="007A7420"/>
    <w:rsid w:val="007B3162"/>
    <w:rsid w:val="007B445B"/>
    <w:rsid w:val="007B58AA"/>
    <w:rsid w:val="007B647A"/>
    <w:rsid w:val="007B7C95"/>
    <w:rsid w:val="007C15CE"/>
    <w:rsid w:val="007C1F23"/>
    <w:rsid w:val="007C235E"/>
    <w:rsid w:val="007C2DAF"/>
    <w:rsid w:val="007C33B8"/>
    <w:rsid w:val="007C3B79"/>
    <w:rsid w:val="007C520A"/>
    <w:rsid w:val="007C6031"/>
    <w:rsid w:val="007C7B24"/>
    <w:rsid w:val="007D0D0C"/>
    <w:rsid w:val="007D135C"/>
    <w:rsid w:val="007D2037"/>
    <w:rsid w:val="007D28EF"/>
    <w:rsid w:val="007D594F"/>
    <w:rsid w:val="007D714B"/>
    <w:rsid w:val="007D77D8"/>
    <w:rsid w:val="007D783A"/>
    <w:rsid w:val="007E00BE"/>
    <w:rsid w:val="007E14ED"/>
    <w:rsid w:val="007E16BC"/>
    <w:rsid w:val="007E1FA6"/>
    <w:rsid w:val="007E3A32"/>
    <w:rsid w:val="007E48EF"/>
    <w:rsid w:val="007E576A"/>
    <w:rsid w:val="007E5865"/>
    <w:rsid w:val="007E5E6B"/>
    <w:rsid w:val="007E70A0"/>
    <w:rsid w:val="007F217A"/>
    <w:rsid w:val="007F3DB8"/>
    <w:rsid w:val="007F4E17"/>
    <w:rsid w:val="007F566A"/>
    <w:rsid w:val="007F6C6F"/>
    <w:rsid w:val="0080099D"/>
    <w:rsid w:val="00801B1E"/>
    <w:rsid w:val="00802507"/>
    <w:rsid w:val="008031C8"/>
    <w:rsid w:val="00805829"/>
    <w:rsid w:val="00812C11"/>
    <w:rsid w:val="0081625D"/>
    <w:rsid w:val="00817421"/>
    <w:rsid w:val="00817CCE"/>
    <w:rsid w:val="00820971"/>
    <w:rsid w:val="00821AC9"/>
    <w:rsid w:val="00824C80"/>
    <w:rsid w:val="008253C8"/>
    <w:rsid w:val="00826773"/>
    <w:rsid w:val="00827C32"/>
    <w:rsid w:val="00827C44"/>
    <w:rsid w:val="00830C4F"/>
    <w:rsid w:val="008319DB"/>
    <w:rsid w:val="00831B26"/>
    <w:rsid w:val="00831C79"/>
    <w:rsid w:val="008333A6"/>
    <w:rsid w:val="0083439A"/>
    <w:rsid w:val="008344FF"/>
    <w:rsid w:val="0083461D"/>
    <w:rsid w:val="00835285"/>
    <w:rsid w:val="008358E3"/>
    <w:rsid w:val="00837093"/>
    <w:rsid w:val="00841F12"/>
    <w:rsid w:val="00844102"/>
    <w:rsid w:val="008450ED"/>
    <w:rsid w:val="00846B47"/>
    <w:rsid w:val="00850433"/>
    <w:rsid w:val="0085187C"/>
    <w:rsid w:val="00853F4B"/>
    <w:rsid w:val="008542AD"/>
    <w:rsid w:val="00854753"/>
    <w:rsid w:val="00854E01"/>
    <w:rsid w:val="0085646E"/>
    <w:rsid w:val="008565DA"/>
    <w:rsid w:val="008573BE"/>
    <w:rsid w:val="00860EB5"/>
    <w:rsid w:val="008627A2"/>
    <w:rsid w:val="0086309A"/>
    <w:rsid w:val="0086389D"/>
    <w:rsid w:val="00870978"/>
    <w:rsid w:val="00872AE1"/>
    <w:rsid w:val="00876351"/>
    <w:rsid w:val="0087718F"/>
    <w:rsid w:val="00877339"/>
    <w:rsid w:val="008806ED"/>
    <w:rsid w:val="00881DF6"/>
    <w:rsid w:val="00881F37"/>
    <w:rsid w:val="00883A41"/>
    <w:rsid w:val="00884754"/>
    <w:rsid w:val="008855FA"/>
    <w:rsid w:val="00885CCD"/>
    <w:rsid w:val="00887995"/>
    <w:rsid w:val="00892DA7"/>
    <w:rsid w:val="008937E8"/>
    <w:rsid w:val="00895A92"/>
    <w:rsid w:val="008967F8"/>
    <w:rsid w:val="00896A09"/>
    <w:rsid w:val="008971D2"/>
    <w:rsid w:val="00897B2E"/>
    <w:rsid w:val="008A05A9"/>
    <w:rsid w:val="008A0D0A"/>
    <w:rsid w:val="008A14A6"/>
    <w:rsid w:val="008A1AC7"/>
    <w:rsid w:val="008A67FA"/>
    <w:rsid w:val="008A685A"/>
    <w:rsid w:val="008A6D7E"/>
    <w:rsid w:val="008A7BFA"/>
    <w:rsid w:val="008A7F34"/>
    <w:rsid w:val="008B1134"/>
    <w:rsid w:val="008B1797"/>
    <w:rsid w:val="008B2637"/>
    <w:rsid w:val="008B51F2"/>
    <w:rsid w:val="008B5B8C"/>
    <w:rsid w:val="008B6602"/>
    <w:rsid w:val="008B714F"/>
    <w:rsid w:val="008C021C"/>
    <w:rsid w:val="008C07E0"/>
    <w:rsid w:val="008C1DAF"/>
    <w:rsid w:val="008C3C37"/>
    <w:rsid w:val="008C3F41"/>
    <w:rsid w:val="008C4CB3"/>
    <w:rsid w:val="008C5041"/>
    <w:rsid w:val="008C69D6"/>
    <w:rsid w:val="008D0050"/>
    <w:rsid w:val="008D068F"/>
    <w:rsid w:val="008D3818"/>
    <w:rsid w:val="008D38C9"/>
    <w:rsid w:val="008D3D3D"/>
    <w:rsid w:val="008D469A"/>
    <w:rsid w:val="008D48FD"/>
    <w:rsid w:val="008D59EE"/>
    <w:rsid w:val="008D74DC"/>
    <w:rsid w:val="008E1860"/>
    <w:rsid w:val="008E2464"/>
    <w:rsid w:val="008E3512"/>
    <w:rsid w:val="008E35A6"/>
    <w:rsid w:val="008E42EA"/>
    <w:rsid w:val="008E508A"/>
    <w:rsid w:val="008E5217"/>
    <w:rsid w:val="008F16D2"/>
    <w:rsid w:val="008F1996"/>
    <w:rsid w:val="008F1F28"/>
    <w:rsid w:val="008F4777"/>
    <w:rsid w:val="008F5DC9"/>
    <w:rsid w:val="008F5F6B"/>
    <w:rsid w:val="008F617A"/>
    <w:rsid w:val="008F66F0"/>
    <w:rsid w:val="008F7DA2"/>
    <w:rsid w:val="00900605"/>
    <w:rsid w:val="00900640"/>
    <w:rsid w:val="00902199"/>
    <w:rsid w:val="009032C3"/>
    <w:rsid w:val="00903D04"/>
    <w:rsid w:val="00904E34"/>
    <w:rsid w:val="00905053"/>
    <w:rsid w:val="009103B4"/>
    <w:rsid w:val="00910B00"/>
    <w:rsid w:val="00912E42"/>
    <w:rsid w:val="00916C7C"/>
    <w:rsid w:val="0092033B"/>
    <w:rsid w:val="00921D72"/>
    <w:rsid w:val="00924B0E"/>
    <w:rsid w:val="00925BB9"/>
    <w:rsid w:val="00934591"/>
    <w:rsid w:val="00934833"/>
    <w:rsid w:val="00934EBF"/>
    <w:rsid w:val="00936287"/>
    <w:rsid w:val="00937F82"/>
    <w:rsid w:val="00942330"/>
    <w:rsid w:val="00943B70"/>
    <w:rsid w:val="00945689"/>
    <w:rsid w:val="00946F17"/>
    <w:rsid w:val="009471CF"/>
    <w:rsid w:val="00947776"/>
    <w:rsid w:val="00947FC4"/>
    <w:rsid w:val="00950311"/>
    <w:rsid w:val="009503CD"/>
    <w:rsid w:val="00950AC0"/>
    <w:rsid w:val="009523DF"/>
    <w:rsid w:val="0095258F"/>
    <w:rsid w:val="00954246"/>
    <w:rsid w:val="00954280"/>
    <w:rsid w:val="009546B9"/>
    <w:rsid w:val="00955C64"/>
    <w:rsid w:val="00955E6B"/>
    <w:rsid w:val="009572EC"/>
    <w:rsid w:val="00960C1F"/>
    <w:rsid w:val="00961195"/>
    <w:rsid w:val="0096247D"/>
    <w:rsid w:val="00962EFA"/>
    <w:rsid w:val="009639BD"/>
    <w:rsid w:val="00966223"/>
    <w:rsid w:val="00970E6C"/>
    <w:rsid w:val="00980A18"/>
    <w:rsid w:val="009816B7"/>
    <w:rsid w:val="00981AD0"/>
    <w:rsid w:val="00981DDA"/>
    <w:rsid w:val="0098273D"/>
    <w:rsid w:val="009836FB"/>
    <w:rsid w:val="00983AEB"/>
    <w:rsid w:val="00991371"/>
    <w:rsid w:val="009915AC"/>
    <w:rsid w:val="0099335E"/>
    <w:rsid w:val="00994277"/>
    <w:rsid w:val="00995591"/>
    <w:rsid w:val="00996E12"/>
    <w:rsid w:val="00997088"/>
    <w:rsid w:val="009979E8"/>
    <w:rsid w:val="009A033F"/>
    <w:rsid w:val="009A0C02"/>
    <w:rsid w:val="009A0D67"/>
    <w:rsid w:val="009A4F51"/>
    <w:rsid w:val="009A653C"/>
    <w:rsid w:val="009A65B9"/>
    <w:rsid w:val="009A7732"/>
    <w:rsid w:val="009B1D4B"/>
    <w:rsid w:val="009B1E42"/>
    <w:rsid w:val="009B2CA6"/>
    <w:rsid w:val="009B33B9"/>
    <w:rsid w:val="009B792A"/>
    <w:rsid w:val="009C1CF7"/>
    <w:rsid w:val="009C1EB5"/>
    <w:rsid w:val="009C3184"/>
    <w:rsid w:val="009C3E02"/>
    <w:rsid w:val="009C3FD7"/>
    <w:rsid w:val="009C4B1A"/>
    <w:rsid w:val="009D1253"/>
    <w:rsid w:val="009D43BB"/>
    <w:rsid w:val="009D52A9"/>
    <w:rsid w:val="009D595F"/>
    <w:rsid w:val="009E1D89"/>
    <w:rsid w:val="009F2A6A"/>
    <w:rsid w:val="009F5F26"/>
    <w:rsid w:val="009F75F2"/>
    <w:rsid w:val="009F7DA9"/>
    <w:rsid w:val="00A01E84"/>
    <w:rsid w:val="00A01F35"/>
    <w:rsid w:val="00A02080"/>
    <w:rsid w:val="00A0274F"/>
    <w:rsid w:val="00A02C96"/>
    <w:rsid w:val="00A0432C"/>
    <w:rsid w:val="00A045F4"/>
    <w:rsid w:val="00A0616B"/>
    <w:rsid w:val="00A0630C"/>
    <w:rsid w:val="00A065E4"/>
    <w:rsid w:val="00A06C1B"/>
    <w:rsid w:val="00A079B8"/>
    <w:rsid w:val="00A07A07"/>
    <w:rsid w:val="00A10BD1"/>
    <w:rsid w:val="00A153DC"/>
    <w:rsid w:val="00A2090B"/>
    <w:rsid w:val="00A2133B"/>
    <w:rsid w:val="00A25AC1"/>
    <w:rsid w:val="00A26EBC"/>
    <w:rsid w:val="00A26FEE"/>
    <w:rsid w:val="00A307C0"/>
    <w:rsid w:val="00A317DF"/>
    <w:rsid w:val="00A33BCF"/>
    <w:rsid w:val="00A33C5F"/>
    <w:rsid w:val="00A37CB0"/>
    <w:rsid w:val="00A40A4D"/>
    <w:rsid w:val="00A42ED5"/>
    <w:rsid w:val="00A4468A"/>
    <w:rsid w:val="00A450F4"/>
    <w:rsid w:val="00A45158"/>
    <w:rsid w:val="00A469AB"/>
    <w:rsid w:val="00A51E16"/>
    <w:rsid w:val="00A53BD2"/>
    <w:rsid w:val="00A547DE"/>
    <w:rsid w:val="00A5480E"/>
    <w:rsid w:val="00A5492C"/>
    <w:rsid w:val="00A63137"/>
    <w:rsid w:val="00A6462F"/>
    <w:rsid w:val="00A71B7E"/>
    <w:rsid w:val="00A7200C"/>
    <w:rsid w:val="00A7489D"/>
    <w:rsid w:val="00A7554C"/>
    <w:rsid w:val="00A75987"/>
    <w:rsid w:val="00A82BEF"/>
    <w:rsid w:val="00A83B07"/>
    <w:rsid w:val="00A850FF"/>
    <w:rsid w:val="00A86BAC"/>
    <w:rsid w:val="00A86F98"/>
    <w:rsid w:val="00A879E1"/>
    <w:rsid w:val="00A92538"/>
    <w:rsid w:val="00A92DAB"/>
    <w:rsid w:val="00A941FC"/>
    <w:rsid w:val="00A9488A"/>
    <w:rsid w:val="00A96606"/>
    <w:rsid w:val="00A9695B"/>
    <w:rsid w:val="00A96A9B"/>
    <w:rsid w:val="00A978D4"/>
    <w:rsid w:val="00AA0D5D"/>
    <w:rsid w:val="00AA3C2A"/>
    <w:rsid w:val="00AA638A"/>
    <w:rsid w:val="00AA662B"/>
    <w:rsid w:val="00AA7943"/>
    <w:rsid w:val="00AB08F2"/>
    <w:rsid w:val="00AB1982"/>
    <w:rsid w:val="00AB35C1"/>
    <w:rsid w:val="00AB42F3"/>
    <w:rsid w:val="00AB5347"/>
    <w:rsid w:val="00AB540A"/>
    <w:rsid w:val="00AC0D1A"/>
    <w:rsid w:val="00AC1178"/>
    <w:rsid w:val="00AC2A97"/>
    <w:rsid w:val="00AC3C35"/>
    <w:rsid w:val="00AC565B"/>
    <w:rsid w:val="00AC58B4"/>
    <w:rsid w:val="00AC6145"/>
    <w:rsid w:val="00AC6174"/>
    <w:rsid w:val="00AC69A9"/>
    <w:rsid w:val="00AC7BCF"/>
    <w:rsid w:val="00AD0718"/>
    <w:rsid w:val="00AD0F70"/>
    <w:rsid w:val="00AD1879"/>
    <w:rsid w:val="00AD1E00"/>
    <w:rsid w:val="00AD2114"/>
    <w:rsid w:val="00AD3549"/>
    <w:rsid w:val="00AD526D"/>
    <w:rsid w:val="00AD551A"/>
    <w:rsid w:val="00AE0A06"/>
    <w:rsid w:val="00AE18B6"/>
    <w:rsid w:val="00AE70D7"/>
    <w:rsid w:val="00AE7770"/>
    <w:rsid w:val="00AE7EA0"/>
    <w:rsid w:val="00AF42B8"/>
    <w:rsid w:val="00AF5AAD"/>
    <w:rsid w:val="00AF6288"/>
    <w:rsid w:val="00B005BC"/>
    <w:rsid w:val="00B01C44"/>
    <w:rsid w:val="00B04F3F"/>
    <w:rsid w:val="00B0575C"/>
    <w:rsid w:val="00B06104"/>
    <w:rsid w:val="00B0664D"/>
    <w:rsid w:val="00B07B4E"/>
    <w:rsid w:val="00B07D9C"/>
    <w:rsid w:val="00B10630"/>
    <w:rsid w:val="00B10760"/>
    <w:rsid w:val="00B12267"/>
    <w:rsid w:val="00B12806"/>
    <w:rsid w:val="00B156C4"/>
    <w:rsid w:val="00B167EE"/>
    <w:rsid w:val="00B17778"/>
    <w:rsid w:val="00B17E6D"/>
    <w:rsid w:val="00B17FD0"/>
    <w:rsid w:val="00B21953"/>
    <w:rsid w:val="00B22DB2"/>
    <w:rsid w:val="00B2311E"/>
    <w:rsid w:val="00B26279"/>
    <w:rsid w:val="00B264F6"/>
    <w:rsid w:val="00B35153"/>
    <w:rsid w:val="00B36024"/>
    <w:rsid w:val="00B40CB8"/>
    <w:rsid w:val="00B41600"/>
    <w:rsid w:val="00B41F91"/>
    <w:rsid w:val="00B42ADA"/>
    <w:rsid w:val="00B450F0"/>
    <w:rsid w:val="00B45953"/>
    <w:rsid w:val="00B460B9"/>
    <w:rsid w:val="00B46F13"/>
    <w:rsid w:val="00B470AA"/>
    <w:rsid w:val="00B47BFD"/>
    <w:rsid w:val="00B5085B"/>
    <w:rsid w:val="00B51001"/>
    <w:rsid w:val="00B51972"/>
    <w:rsid w:val="00B5363E"/>
    <w:rsid w:val="00B54233"/>
    <w:rsid w:val="00B55DF5"/>
    <w:rsid w:val="00B571DE"/>
    <w:rsid w:val="00B57604"/>
    <w:rsid w:val="00B57C0D"/>
    <w:rsid w:val="00B617A9"/>
    <w:rsid w:val="00B62821"/>
    <w:rsid w:val="00B65A98"/>
    <w:rsid w:val="00B66F83"/>
    <w:rsid w:val="00B67C8D"/>
    <w:rsid w:val="00B718AB"/>
    <w:rsid w:val="00B7199D"/>
    <w:rsid w:val="00B724F0"/>
    <w:rsid w:val="00B7475B"/>
    <w:rsid w:val="00B75009"/>
    <w:rsid w:val="00B76047"/>
    <w:rsid w:val="00B779F2"/>
    <w:rsid w:val="00B80052"/>
    <w:rsid w:val="00B81780"/>
    <w:rsid w:val="00B81F00"/>
    <w:rsid w:val="00B834F5"/>
    <w:rsid w:val="00B8373A"/>
    <w:rsid w:val="00B83B23"/>
    <w:rsid w:val="00B840EA"/>
    <w:rsid w:val="00B86786"/>
    <w:rsid w:val="00B87068"/>
    <w:rsid w:val="00B920CF"/>
    <w:rsid w:val="00B92300"/>
    <w:rsid w:val="00B93534"/>
    <w:rsid w:val="00B93F73"/>
    <w:rsid w:val="00B97560"/>
    <w:rsid w:val="00BA013B"/>
    <w:rsid w:val="00BA3161"/>
    <w:rsid w:val="00BA5D0E"/>
    <w:rsid w:val="00BA74C8"/>
    <w:rsid w:val="00BB0507"/>
    <w:rsid w:val="00BB261B"/>
    <w:rsid w:val="00BB2B5B"/>
    <w:rsid w:val="00BB357C"/>
    <w:rsid w:val="00BB3A1D"/>
    <w:rsid w:val="00BB3D71"/>
    <w:rsid w:val="00BB7EE3"/>
    <w:rsid w:val="00BC1189"/>
    <w:rsid w:val="00BC11D4"/>
    <w:rsid w:val="00BC17F7"/>
    <w:rsid w:val="00BC2829"/>
    <w:rsid w:val="00BC4133"/>
    <w:rsid w:val="00BC50AB"/>
    <w:rsid w:val="00BC53F8"/>
    <w:rsid w:val="00BC61E1"/>
    <w:rsid w:val="00BC666A"/>
    <w:rsid w:val="00BC692A"/>
    <w:rsid w:val="00BD0B9B"/>
    <w:rsid w:val="00BD17B7"/>
    <w:rsid w:val="00BD18A2"/>
    <w:rsid w:val="00BD3D47"/>
    <w:rsid w:val="00BD3F98"/>
    <w:rsid w:val="00BD76E5"/>
    <w:rsid w:val="00BD7E2D"/>
    <w:rsid w:val="00BE0453"/>
    <w:rsid w:val="00BE05F9"/>
    <w:rsid w:val="00BE3332"/>
    <w:rsid w:val="00BE6024"/>
    <w:rsid w:val="00BE7314"/>
    <w:rsid w:val="00BE7417"/>
    <w:rsid w:val="00BE7FBB"/>
    <w:rsid w:val="00BF018F"/>
    <w:rsid w:val="00BF06A4"/>
    <w:rsid w:val="00BF0D43"/>
    <w:rsid w:val="00BF3B17"/>
    <w:rsid w:val="00BF4195"/>
    <w:rsid w:val="00BF444C"/>
    <w:rsid w:val="00BF7BC9"/>
    <w:rsid w:val="00C014EA"/>
    <w:rsid w:val="00C02E9E"/>
    <w:rsid w:val="00C0647A"/>
    <w:rsid w:val="00C10313"/>
    <w:rsid w:val="00C10AAB"/>
    <w:rsid w:val="00C10E53"/>
    <w:rsid w:val="00C110C3"/>
    <w:rsid w:val="00C1442B"/>
    <w:rsid w:val="00C15BCC"/>
    <w:rsid w:val="00C20EF1"/>
    <w:rsid w:val="00C21295"/>
    <w:rsid w:val="00C2486F"/>
    <w:rsid w:val="00C25F96"/>
    <w:rsid w:val="00C32203"/>
    <w:rsid w:val="00C32CB9"/>
    <w:rsid w:val="00C334A4"/>
    <w:rsid w:val="00C36855"/>
    <w:rsid w:val="00C3725D"/>
    <w:rsid w:val="00C40D85"/>
    <w:rsid w:val="00C43027"/>
    <w:rsid w:val="00C44733"/>
    <w:rsid w:val="00C464CB"/>
    <w:rsid w:val="00C4654B"/>
    <w:rsid w:val="00C506E2"/>
    <w:rsid w:val="00C50AC8"/>
    <w:rsid w:val="00C51C18"/>
    <w:rsid w:val="00C543A6"/>
    <w:rsid w:val="00C55378"/>
    <w:rsid w:val="00C606FD"/>
    <w:rsid w:val="00C6113E"/>
    <w:rsid w:val="00C62C1A"/>
    <w:rsid w:val="00C6323C"/>
    <w:rsid w:val="00C658A5"/>
    <w:rsid w:val="00C67D5B"/>
    <w:rsid w:val="00C701E5"/>
    <w:rsid w:val="00C74A28"/>
    <w:rsid w:val="00C75EC8"/>
    <w:rsid w:val="00C76160"/>
    <w:rsid w:val="00C77201"/>
    <w:rsid w:val="00C80C05"/>
    <w:rsid w:val="00C8119A"/>
    <w:rsid w:val="00C8137E"/>
    <w:rsid w:val="00C8187F"/>
    <w:rsid w:val="00C82927"/>
    <w:rsid w:val="00C85816"/>
    <w:rsid w:val="00C863F8"/>
    <w:rsid w:val="00C87CCC"/>
    <w:rsid w:val="00C9006B"/>
    <w:rsid w:val="00C90249"/>
    <w:rsid w:val="00C90FA7"/>
    <w:rsid w:val="00C92E4E"/>
    <w:rsid w:val="00C92EDA"/>
    <w:rsid w:val="00C95463"/>
    <w:rsid w:val="00C95DBB"/>
    <w:rsid w:val="00CA017C"/>
    <w:rsid w:val="00CA18D7"/>
    <w:rsid w:val="00CA21CE"/>
    <w:rsid w:val="00CA3307"/>
    <w:rsid w:val="00CA3F43"/>
    <w:rsid w:val="00CA6653"/>
    <w:rsid w:val="00CA7703"/>
    <w:rsid w:val="00CA7991"/>
    <w:rsid w:val="00CB006D"/>
    <w:rsid w:val="00CB2B44"/>
    <w:rsid w:val="00CB5E65"/>
    <w:rsid w:val="00CB5FFB"/>
    <w:rsid w:val="00CC16E2"/>
    <w:rsid w:val="00CC1C1A"/>
    <w:rsid w:val="00CC1F61"/>
    <w:rsid w:val="00CC31E2"/>
    <w:rsid w:val="00CC3CBB"/>
    <w:rsid w:val="00CC4BA8"/>
    <w:rsid w:val="00CC5CA7"/>
    <w:rsid w:val="00CC75A4"/>
    <w:rsid w:val="00CC7DFE"/>
    <w:rsid w:val="00CD0B99"/>
    <w:rsid w:val="00CD1132"/>
    <w:rsid w:val="00CD1238"/>
    <w:rsid w:val="00CD2F7B"/>
    <w:rsid w:val="00CD35AA"/>
    <w:rsid w:val="00CD3B53"/>
    <w:rsid w:val="00CD561C"/>
    <w:rsid w:val="00CD5987"/>
    <w:rsid w:val="00CD69A3"/>
    <w:rsid w:val="00CD7AD5"/>
    <w:rsid w:val="00CE3877"/>
    <w:rsid w:val="00CE48BF"/>
    <w:rsid w:val="00CF09B0"/>
    <w:rsid w:val="00CF18AD"/>
    <w:rsid w:val="00CF24C8"/>
    <w:rsid w:val="00CF2812"/>
    <w:rsid w:val="00CF4856"/>
    <w:rsid w:val="00CF4F15"/>
    <w:rsid w:val="00D02A88"/>
    <w:rsid w:val="00D0381A"/>
    <w:rsid w:val="00D03F64"/>
    <w:rsid w:val="00D05230"/>
    <w:rsid w:val="00D05D71"/>
    <w:rsid w:val="00D05E41"/>
    <w:rsid w:val="00D066B7"/>
    <w:rsid w:val="00D10D91"/>
    <w:rsid w:val="00D11529"/>
    <w:rsid w:val="00D11AB8"/>
    <w:rsid w:val="00D12FE0"/>
    <w:rsid w:val="00D14FF6"/>
    <w:rsid w:val="00D175AE"/>
    <w:rsid w:val="00D20986"/>
    <w:rsid w:val="00D20B5C"/>
    <w:rsid w:val="00D219AB"/>
    <w:rsid w:val="00D2376F"/>
    <w:rsid w:val="00D23770"/>
    <w:rsid w:val="00D2722D"/>
    <w:rsid w:val="00D30CF1"/>
    <w:rsid w:val="00D31ED6"/>
    <w:rsid w:val="00D32F6F"/>
    <w:rsid w:val="00D37E49"/>
    <w:rsid w:val="00D4164D"/>
    <w:rsid w:val="00D41808"/>
    <w:rsid w:val="00D42FB2"/>
    <w:rsid w:val="00D43A66"/>
    <w:rsid w:val="00D43ED7"/>
    <w:rsid w:val="00D4430F"/>
    <w:rsid w:val="00D443C6"/>
    <w:rsid w:val="00D4515C"/>
    <w:rsid w:val="00D462A6"/>
    <w:rsid w:val="00D46903"/>
    <w:rsid w:val="00D47271"/>
    <w:rsid w:val="00D47DFC"/>
    <w:rsid w:val="00D507A7"/>
    <w:rsid w:val="00D51A44"/>
    <w:rsid w:val="00D51E92"/>
    <w:rsid w:val="00D52E36"/>
    <w:rsid w:val="00D5328F"/>
    <w:rsid w:val="00D536D3"/>
    <w:rsid w:val="00D53D8D"/>
    <w:rsid w:val="00D56E36"/>
    <w:rsid w:val="00D60FAB"/>
    <w:rsid w:val="00D61533"/>
    <w:rsid w:val="00D6190F"/>
    <w:rsid w:val="00D625A3"/>
    <w:rsid w:val="00D62FEA"/>
    <w:rsid w:val="00D63365"/>
    <w:rsid w:val="00D656B1"/>
    <w:rsid w:val="00D6754B"/>
    <w:rsid w:val="00D67B21"/>
    <w:rsid w:val="00D7230A"/>
    <w:rsid w:val="00D75403"/>
    <w:rsid w:val="00D7602C"/>
    <w:rsid w:val="00D7653C"/>
    <w:rsid w:val="00D77281"/>
    <w:rsid w:val="00D772DF"/>
    <w:rsid w:val="00D77A68"/>
    <w:rsid w:val="00D83360"/>
    <w:rsid w:val="00D83FAB"/>
    <w:rsid w:val="00D91926"/>
    <w:rsid w:val="00D91A0D"/>
    <w:rsid w:val="00D92665"/>
    <w:rsid w:val="00D95A2D"/>
    <w:rsid w:val="00D95FE6"/>
    <w:rsid w:val="00D97C9C"/>
    <w:rsid w:val="00DA0DE5"/>
    <w:rsid w:val="00DA1D3A"/>
    <w:rsid w:val="00DA1F0D"/>
    <w:rsid w:val="00DA3CDA"/>
    <w:rsid w:val="00DA428A"/>
    <w:rsid w:val="00DA4C5B"/>
    <w:rsid w:val="00DB041C"/>
    <w:rsid w:val="00DB12DA"/>
    <w:rsid w:val="00DB13F9"/>
    <w:rsid w:val="00DB19ED"/>
    <w:rsid w:val="00DB226E"/>
    <w:rsid w:val="00DB2436"/>
    <w:rsid w:val="00DB53CB"/>
    <w:rsid w:val="00DB5F4E"/>
    <w:rsid w:val="00DB75CC"/>
    <w:rsid w:val="00DC366F"/>
    <w:rsid w:val="00DC4CFC"/>
    <w:rsid w:val="00DC4E9D"/>
    <w:rsid w:val="00DC7B16"/>
    <w:rsid w:val="00DD1467"/>
    <w:rsid w:val="00DD2144"/>
    <w:rsid w:val="00DD2FB9"/>
    <w:rsid w:val="00DD38C4"/>
    <w:rsid w:val="00DD41B9"/>
    <w:rsid w:val="00DD70F0"/>
    <w:rsid w:val="00DE15C9"/>
    <w:rsid w:val="00DE19CE"/>
    <w:rsid w:val="00DE2B7A"/>
    <w:rsid w:val="00DE3B31"/>
    <w:rsid w:val="00DE4825"/>
    <w:rsid w:val="00DF2C06"/>
    <w:rsid w:val="00DF4BED"/>
    <w:rsid w:val="00DF505F"/>
    <w:rsid w:val="00DF5B66"/>
    <w:rsid w:val="00DF7EFC"/>
    <w:rsid w:val="00E0021C"/>
    <w:rsid w:val="00E01C67"/>
    <w:rsid w:val="00E02084"/>
    <w:rsid w:val="00E02678"/>
    <w:rsid w:val="00E026E8"/>
    <w:rsid w:val="00E02A97"/>
    <w:rsid w:val="00E039B6"/>
    <w:rsid w:val="00E052B0"/>
    <w:rsid w:val="00E05653"/>
    <w:rsid w:val="00E075F4"/>
    <w:rsid w:val="00E10E02"/>
    <w:rsid w:val="00E11A88"/>
    <w:rsid w:val="00E12042"/>
    <w:rsid w:val="00E132AD"/>
    <w:rsid w:val="00E15B53"/>
    <w:rsid w:val="00E23556"/>
    <w:rsid w:val="00E23633"/>
    <w:rsid w:val="00E253DD"/>
    <w:rsid w:val="00E256DE"/>
    <w:rsid w:val="00E32169"/>
    <w:rsid w:val="00E334C0"/>
    <w:rsid w:val="00E35ECB"/>
    <w:rsid w:val="00E36457"/>
    <w:rsid w:val="00E36841"/>
    <w:rsid w:val="00E404B8"/>
    <w:rsid w:val="00E40F2C"/>
    <w:rsid w:val="00E42EB1"/>
    <w:rsid w:val="00E439C0"/>
    <w:rsid w:val="00E4629B"/>
    <w:rsid w:val="00E46CD8"/>
    <w:rsid w:val="00E47761"/>
    <w:rsid w:val="00E47B18"/>
    <w:rsid w:val="00E53BF8"/>
    <w:rsid w:val="00E550FE"/>
    <w:rsid w:val="00E5671F"/>
    <w:rsid w:val="00E57289"/>
    <w:rsid w:val="00E57C7C"/>
    <w:rsid w:val="00E61311"/>
    <w:rsid w:val="00E61D67"/>
    <w:rsid w:val="00E63DE4"/>
    <w:rsid w:val="00E66B9A"/>
    <w:rsid w:val="00E66FE2"/>
    <w:rsid w:val="00E708A9"/>
    <w:rsid w:val="00E70FFE"/>
    <w:rsid w:val="00E711DB"/>
    <w:rsid w:val="00E717AC"/>
    <w:rsid w:val="00E72D14"/>
    <w:rsid w:val="00E746A6"/>
    <w:rsid w:val="00E75124"/>
    <w:rsid w:val="00E761B1"/>
    <w:rsid w:val="00E778CA"/>
    <w:rsid w:val="00E80836"/>
    <w:rsid w:val="00E80E63"/>
    <w:rsid w:val="00E81F11"/>
    <w:rsid w:val="00E825EA"/>
    <w:rsid w:val="00E825FA"/>
    <w:rsid w:val="00E829F8"/>
    <w:rsid w:val="00E870F7"/>
    <w:rsid w:val="00E875AF"/>
    <w:rsid w:val="00E910F4"/>
    <w:rsid w:val="00E94114"/>
    <w:rsid w:val="00EA03FE"/>
    <w:rsid w:val="00EA1702"/>
    <w:rsid w:val="00EA1945"/>
    <w:rsid w:val="00EA7294"/>
    <w:rsid w:val="00EA7C2E"/>
    <w:rsid w:val="00EB5948"/>
    <w:rsid w:val="00EB774B"/>
    <w:rsid w:val="00EB7EEC"/>
    <w:rsid w:val="00EC04A8"/>
    <w:rsid w:val="00EC1DF0"/>
    <w:rsid w:val="00EC26E7"/>
    <w:rsid w:val="00EC4D74"/>
    <w:rsid w:val="00EC5381"/>
    <w:rsid w:val="00EC55F9"/>
    <w:rsid w:val="00EC5986"/>
    <w:rsid w:val="00ED032C"/>
    <w:rsid w:val="00ED1584"/>
    <w:rsid w:val="00ED342B"/>
    <w:rsid w:val="00ED3A95"/>
    <w:rsid w:val="00ED3D99"/>
    <w:rsid w:val="00ED4C90"/>
    <w:rsid w:val="00EE3058"/>
    <w:rsid w:val="00EE3EB1"/>
    <w:rsid w:val="00EE4654"/>
    <w:rsid w:val="00EF11E9"/>
    <w:rsid w:val="00EF1773"/>
    <w:rsid w:val="00EF19EA"/>
    <w:rsid w:val="00EF2D45"/>
    <w:rsid w:val="00EF3B8D"/>
    <w:rsid w:val="00EF4E51"/>
    <w:rsid w:val="00EF679D"/>
    <w:rsid w:val="00EF68D2"/>
    <w:rsid w:val="00EF6E97"/>
    <w:rsid w:val="00F000A5"/>
    <w:rsid w:val="00F00FD2"/>
    <w:rsid w:val="00F0184A"/>
    <w:rsid w:val="00F02C63"/>
    <w:rsid w:val="00F02CF7"/>
    <w:rsid w:val="00F045F5"/>
    <w:rsid w:val="00F04CDC"/>
    <w:rsid w:val="00F0624E"/>
    <w:rsid w:val="00F06586"/>
    <w:rsid w:val="00F07053"/>
    <w:rsid w:val="00F075AF"/>
    <w:rsid w:val="00F15E24"/>
    <w:rsid w:val="00F21018"/>
    <w:rsid w:val="00F2205F"/>
    <w:rsid w:val="00F25690"/>
    <w:rsid w:val="00F256A5"/>
    <w:rsid w:val="00F26E05"/>
    <w:rsid w:val="00F3133F"/>
    <w:rsid w:val="00F316A2"/>
    <w:rsid w:val="00F319DD"/>
    <w:rsid w:val="00F32613"/>
    <w:rsid w:val="00F34EB2"/>
    <w:rsid w:val="00F35357"/>
    <w:rsid w:val="00F35892"/>
    <w:rsid w:val="00F35CBD"/>
    <w:rsid w:val="00F35FEB"/>
    <w:rsid w:val="00F36956"/>
    <w:rsid w:val="00F40337"/>
    <w:rsid w:val="00F40757"/>
    <w:rsid w:val="00F410FD"/>
    <w:rsid w:val="00F415DF"/>
    <w:rsid w:val="00F4472B"/>
    <w:rsid w:val="00F47920"/>
    <w:rsid w:val="00F505D1"/>
    <w:rsid w:val="00F50E63"/>
    <w:rsid w:val="00F50F0C"/>
    <w:rsid w:val="00F530C0"/>
    <w:rsid w:val="00F5341A"/>
    <w:rsid w:val="00F55A4A"/>
    <w:rsid w:val="00F55A4F"/>
    <w:rsid w:val="00F57B65"/>
    <w:rsid w:val="00F6042F"/>
    <w:rsid w:val="00F60C52"/>
    <w:rsid w:val="00F6123B"/>
    <w:rsid w:val="00F61644"/>
    <w:rsid w:val="00F61FDB"/>
    <w:rsid w:val="00F62A55"/>
    <w:rsid w:val="00F63205"/>
    <w:rsid w:val="00F64E99"/>
    <w:rsid w:val="00F665A8"/>
    <w:rsid w:val="00F66A7A"/>
    <w:rsid w:val="00F66D35"/>
    <w:rsid w:val="00F67646"/>
    <w:rsid w:val="00F71264"/>
    <w:rsid w:val="00F725E2"/>
    <w:rsid w:val="00F72A56"/>
    <w:rsid w:val="00F73655"/>
    <w:rsid w:val="00F73CDA"/>
    <w:rsid w:val="00F75E21"/>
    <w:rsid w:val="00F80C2E"/>
    <w:rsid w:val="00F80C38"/>
    <w:rsid w:val="00F80D03"/>
    <w:rsid w:val="00F824A7"/>
    <w:rsid w:val="00F82A0A"/>
    <w:rsid w:val="00F83BCE"/>
    <w:rsid w:val="00F844ED"/>
    <w:rsid w:val="00F84EEC"/>
    <w:rsid w:val="00F854AE"/>
    <w:rsid w:val="00F85F8A"/>
    <w:rsid w:val="00F87052"/>
    <w:rsid w:val="00F87460"/>
    <w:rsid w:val="00F9134D"/>
    <w:rsid w:val="00F9463F"/>
    <w:rsid w:val="00F95758"/>
    <w:rsid w:val="00F95FF3"/>
    <w:rsid w:val="00F963DF"/>
    <w:rsid w:val="00F9667A"/>
    <w:rsid w:val="00F978C1"/>
    <w:rsid w:val="00FA18B4"/>
    <w:rsid w:val="00FA30DA"/>
    <w:rsid w:val="00FA3551"/>
    <w:rsid w:val="00FA3D25"/>
    <w:rsid w:val="00FA584C"/>
    <w:rsid w:val="00FB159C"/>
    <w:rsid w:val="00FB1DD0"/>
    <w:rsid w:val="00FB25D5"/>
    <w:rsid w:val="00FB277A"/>
    <w:rsid w:val="00FB2E81"/>
    <w:rsid w:val="00FB6646"/>
    <w:rsid w:val="00FB6E31"/>
    <w:rsid w:val="00FB70B5"/>
    <w:rsid w:val="00FB73DC"/>
    <w:rsid w:val="00FB7F76"/>
    <w:rsid w:val="00FC0C07"/>
    <w:rsid w:val="00FC1823"/>
    <w:rsid w:val="00FC26C8"/>
    <w:rsid w:val="00FC29E5"/>
    <w:rsid w:val="00FC2EE0"/>
    <w:rsid w:val="00FC3534"/>
    <w:rsid w:val="00FC425E"/>
    <w:rsid w:val="00FC4B0B"/>
    <w:rsid w:val="00FC52FC"/>
    <w:rsid w:val="00FC63C7"/>
    <w:rsid w:val="00FC656D"/>
    <w:rsid w:val="00FC7E5F"/>
    <w:rsid w:val="00FD0FCA"/>
    <w:rsid w:val="00FD20CB"/>
    <w:rsid w:val="00FD2447"/>
    <w:rsid w:val="00FD2DD9"/>
    <w:rsid w:val="00FD3508"/>
    <w:rsid w:val="00FD58B6"/>
    <w:rsid w:val="00FD60C9"/>
    <w:rsid w:val="00FD64CE"/>
    <w:rsid w:val="00FD6DBF"/>
    <w:rsid w:val="00FE1FC7"/>
    <w:rsid w:val="00FE262B"/>
    <w:rsid w:val="00FE293E"/>
    <w:rsid w:val="00FE30B1"/>
    <w:rsid w:val="00FE5A66"/>
    <w:rsid w:val="00FE5B06"/>
    <w:rsid w:val="00FF2968"/>
    <w:rsid w:val="00FF328F"/>
    <w:rsid w:val="00FF3C60"/>
    <w:rsid w:val="00FF4652"/>
    <w:rsid w:val="00FF520D"/>
    <w:rsid w:val="00FF5260"/>
    <w:rsid w:val="00FF65DF"/>
    <w:rsid w:val="00FF670D"/>
    <w:rsid w:val="00FF72BF"/>
    <w:rsid w:val="0FB907E2"/>
    <w:rsid w:val="1A245C4F"/>
    <w:rsid w:val="1BD1213E"/>
    <w:rsid w:val="1CD06432"/>
    <w:rsid w:val="2130655B"/>
    <w:rsid w:val="329D2B15"/>
    <w:rsid w:val="3766648E"/>
    <w:rsid w:val="3A243CF2"/>
    <w:rsid w:val="3A8956D0"/>
    <w:rsid w:val="5D9B6464"/>
    <w:rsid w:val="630F33DD"/>
    <w:rsid w:val="6B42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408975A-1AC6-48FC-BCB2-10D0EBF1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ind w:firstLine="288"/>
      <w:jc w:val="center"/>
      <w:outlineLvl w:val="1"/>
    </w:pPr>
    <w:rPr>
      <w:rFonts w:ascii="宋体" w:hAnsi="Arial"/>
      <w:b/>
      <w:bCs/>
      <w:szCs w:val="20"/>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autoSpaceDE w:val="0"/>
      <w:autoSpaceDN w:val="0"/>
      <w:adjustRightInd w:val="0"/>
      <w:jc w:val="left"/>
      <w:outlineLvl w:val="3"/>
    </w:pPr>
    <w:rPr>
      <w:rFonts w:ascii="Tahoma"/>
      <w:color w:val="000000"/>
      <w:kern w:val="0"/>
      <w:sz w:val="24"/>
      <w:lang w:val="zh-CN"/>
    </w:rPr>
  </w:style>
  <w:style w:type="paragraph" w:styleId="5">
    <w:name w:val="heading 5"/>
    <w:basedOn w:val="a"/>
    <w:next w:val="a0"/>
    <w:qFormat/>
    <w:pPr>
      <w:keepNext/>
      <w:keepLines/>
      <w:spacing w:before="280" w:after="290" w:line="376" w:lineRule="auto"/>
      <w:outlineLvl w:val="4"/>
    </w:pPr>
    <w:rPr>
      <w:b/>
      <w:sz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paragraph" w:styleId="7">
    <w:name w:val="heading 7"/>
    <w:basedOn w:val="a"/>
    <w:next w:val="a0"/>
    <w:qFormat/>
    <w:pPr>
      <w:keepNext/>
      <w:keepLines/>
      <w:spacing w:before="240" w:after="64" w:line="320" w:lineRule="auto"/>
      <w:outlineLvl w:val="6"/>
    </w:pPr>
    <w:rPr>
      <w:b/>
      <w:sz w:val="24"/>
    </w:rPr>
  </w:style>
  <w:style w:type="paragraph" w:styleId="8">
    <w:name w:val="heading 8"/>
    <w:basedOn w:val="a"/>
    <w:next w:val="a0"/>
    <w:qFormat/>
    <w:pPr>
      <w:keepNext/>
      <w:keepLines/>
      <w:spacing w:before="240" w:after="64" w:line="320" w:lineRule="auto"/>
      <w:outlineLvl w:val="7"/>
    </w:pPr>
    <w:rPr>
      <w:rFonts w:ascii="Arial" w:eastAsia="黑体" w:hAnsi="Arial"/>
      <w:sz w:val="24"/>
    </w:rPr>
  </w:style>
  <w:style w:type="paragraph" w:styleId="9">
    <w:name w:val="heading 9"/>
    <w:basedOn w:val="a"/>
    <w:next w:val="a0"/>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a5"/>
    <w:uiPriority w:val="99"/>
    <w:qFormat/>
    <w:pPr>
      <w:jc w:val="left"/>
    </w:pPr>
  </w:style>
  <w:style w:type="paragraph" w:styleId="a6">
    <w:name w:val="Body Text"/>
    <w:basedOn w:val="a"/>
    <w:link w:val="a7"/>
    <w:qFormat/>
    <w:pPr>
      <w:spacing w:after="120"/>
    </w:pPr>
  </w:style>
  <w:style w:type="paragraph" w:styleId="a8">
    <w:name w:val="Body Text Indent"/>
    <w:basedOn w:val="a"/>
    <w:qFormat/>
    <w:pPr>
      <w:adjustRightInd w:val="0"/>
      <w:snapToGrid w:val="0"/>
      <w:ind w:firstLineChars="150" w:firstLine="360"/>
      <w:jc w:val="left"/>
    </w:pPr>
    <w:rPr>
      <w:sz w:val="24"/>
    </w:rPr>
  </w:style>
  <w:style w:type="paragraph" w:styleId="a9">
    <w:name w:val="Plain Text"/>
    <w:basedOn w:val="a"/>
    <w:qFormat/>
    <w:pPr>
      <w:adjustRightInd w:val="0"/>
      <w:spacing w:line="312" w:lineRule="atLeast"/>
      <w:textAlignment w:val="baseline"/>
    </w:pPr>
    <w:rPr>
      <w:rFonts w:ascii="宋体" w:hAnsi="Courier New"/>
      <w:kern w:val="0"/>
      <w:szCs w:val="20"/>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autoSpaceDE w:val="0"/>
      <w:autoSpaceDN w:val="0"/>
      <w:adjustRightInd w:val="0"/>
      <w:spacing w:line="312" w:lineRule="auto"/>
    </w:pPr>
    <w:rPr>
      <w:rFonts w:ascii="仿宋_GB2312" w:eastAsia="仿宋_GB2312"/>
      <w:szCs w:val="20"/>
    </w:rPr>
  </w:style>
  <w:style w:type="paragraph" w:styleId="ae">
    <w:name w:val="Normal (Web)"/>
    <w:basedOn w:val="a"/>
    <w:qFormat/>
    <w:pPr>
      <w:widowControl/>
      <w:spacing w:before="100" w:beforeAutospacing="1" w:after="100" w:afterAutospacing="1"/>
      <w:jc w:val="left"/>
    </w:pPr>
    <w:rPr>
      <w:rFonts w:ascii="宋体" w:hAnsi="宋体"/>
      <w:kern w:val="0"/>
      <w:sz w:val="24"/>
    </w:rPr>
  </w:style>
  <w:style w:type="paragraph" w:styleId="af">
    <w:name w:val="annotation subject"/>
    <w:basedOn w:val="a4"/>
    <w:next w:val="a4"/>
    <w:link w:val="af0"/>
    <w:qFormat/>
    <w:rPr>
      <w:b/>
      <w:bCs/>
    </w:rPr>
  </w:style>
  <w:style w:type="paragraph" w:styleId="20">
    <w:name w:val="Body Text First Indent 2"/>
    <w:basedOn w:val="a8"/>
    <w:qFormat/>
    <w:pPr>
      <w:adjustRightInd/>
      <w:snapToGrid/>
      <w:spacing w:after="120"/>
      <w:ind w:leftChars="200" w:left="420" w:firstLineChars="200" w:firstLine="420"/>
      <w:jc w:val="both"/>
    </w:pPr>
    <w:rPr>
      <w:sz w:val="21"/>
    </w:rPr>
  </w:style>
  <w:style w:type="table" w:styleId="af1">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page number"/>
    <w:basedOn w:val="a1"/>
    <w:qFormat/>
  </w:style>
  <w:style w:type="character" w:styleId="af3">
    <w:name w:val="FollowedHyperlink"/>
    <w:basedOn w:val="a1"/>
    <w:qFormat/>
    <w:rPr>
      <w:color w:val="800080"/>
      <w:u w:val="single"/>
    </w:rPr>
  </w:style>
  <w:style w:type="character" w:styleId="af4">
    <w:name w:val="Hyperlink"/>
    <w:basedOn w:val="a1"/>
    <w:qFormat/>
    <w:rPr>
      <w:color w:val="0000FF"/>
      <w:u w:val="single"/>
    </w:rPr>
  </w:style>
  <w:style w:type="character" w:styleId="af5">
    <w:name w:val="annotation reference"/>
    <w:basedOn w:val="a1"/>
    <w:uiPriority w:val="99"/>
    <w:qFormat/>
    <w:rPr>
      <w:sz w:val="21"/>
      <w:szCs w:val="21"/>
    </w:rPr>
  </w:style>
  <w:style w:type="paragraph" w:customStyle="1" w:styleId="CharCharCharChar">
    <w:name w:val="Char Char Char Char"/>
    <w:qFormat/>
    <w:pPr>
      <w:spacing w:after="160" w:line="240" w:lineRule="exact"/>
    </w:pPr>
    <w:rPr>
      <w:rFonts w:ascii="Verdana" w:eastAsia="Times New Roman" w:hAnsi="Verdana"/>
      <w:lang w:eastAsia="en-US"/>
    </w:rPr>
  </w:style>
  <w:style w:type="paragraph" w:customStyle="1" w:styleId="11">
    <w:name w:val="列出段落1"/>
    <w:basedOn w:val="a"/>
    <w:link w:val="Char"/>
    <w:uiPriority w:val="99"/>
    <w:qFormat/>
    <w:pPr>
      <w:tabs>
        <w:tab w:val="left" w:pos="1980"/>
        <w:tab w:val="left" w:pos="2880"/>
      </w:tabs>
      <w:adjustRightInd w:val="0"/>
      <w:spacing w:line="360" w:lineRule="atLeast"/>
      <w:ind w:left="720" w:hanging="360"/>
      <w:textAlignment w:val="baseline"/>
    </w:pPr>
    <w:rPr>
      <w:rFonts w:ascii="MingLiU" w:eastAsia="MingLiU"/>
      <w:kern w:val="0"/>
      <w:sz w:val="24"/>
      <w:szCs w:val="20"/>
      <w:lang w:eastAsia="zh-TW"/>
    </w:rPr>
  </w:style>
  <w:style w:type="paragraph" w:customStyle="1" w:styleId="GB2312">
    <w:name w:val="正文 + 仿宋_GB2312"/>
    <w:basedOn w:val="a"/>
    <w:qFormat/>
    <w:rPr>
      <w:rFonts w:ascii="仿宋_GB2312" w:eastAsia="仿宋_GB2312" w:hAnsi="ˎ̥" w:cs="宋体"/>
      <w:color w:val="333333"/>
      <w:kern w:val="0"/>
      <w:sz w:val="24"/>
    </w:rPr>
  </w:style>
  <w:style w:type="paragraph" w:customStyle="1" w:styleId="CharCharCharCharCharCharCharCharCharCharChar">
    <w:name w:val="Char Char Char Char Char Char Char Char Char Char Char"/>
    <w:qFormat/>
    <w:pPr>
      <w:spacing w:after="160" w:line="240" w:lineRule="exact"/>
    </w:pPr>
    <w:rPr>
      <w:rFonts w:ascii="Verdana" w:eastAsia="Times New Roman" w:hAnsi="Verdana"/>
      <w:lang w:eastAsia="en-US"/>
    </w:rPr>
  </w:style>
  <w:style w:type="paragraph" w:customStyle="1" w:styleId="-">
    <w:name w:val="中信研究报告-正文"/>
    <w:qFormat/>
    <w:pPr>
      <w:spacing w:before="40" w:after="60" w:line="300" w:lineRule="auto"/>
      <w:ind w:left="2552" w:right="130" w:firstLineChars="200" w:firstLine="420"/>
      <w:jc w:val="both"/>
    </w:pPr>
    <w:rPr>
      <w:rFonts w:ascii="宋体" w:hAnsi="宋体"/>
      <w:bCs/>
      <w:color w:val="333333"/>
      <w:sz w:val="21"/>
      <w:szCs w:val="21"/>
    </w:rPr>
  </w:style>
  <w:style w:type="paragraph" w:customStyle="1" w:styleId="CharCharCharCharCharCharCharCharCharCharCharCharCharCharChar1Char">
    <w:name w:val="Char Char Char Char Char Char Char Char Char Char Char Char Char Char Char1 Char"/>
    <w:qFormat/>
    <w:pPr>
      <w:spacing w:after="160" w:line="240" w:lineRule="exact"/>
    </w:pPr>
    <w:rPr>
      <w:rFonts w:ascii="Verdana" w:eastAsia="Times New Roman" w:hAnsi="Verdana"/>
      <w:lang w:eastAsia="en-US"/>
    </w:rPr>
  </w:style>
  <w:style w:type="paragraph" w:customStyle="1" w:styleId="NormalMingLiU">
    <w:name w:val="Normal + MingLiU"/>
    <w:basedOn w:val="a"/>
    <w:qFormat/>
    <w:pPr>
      <w:snapToGrid w:val="0"/>
      <w:spacing w:line="312" w:lineRule="auto"/>
    </w:pPr>
    <w:rPr>
      <w:rFonts w:ascii="MingLiU" w:eastAsia="MingLiU" w:hAnsi="MingLiU"/>
      <w:sz w:val="22"/>
      <w:szCs w:val="22"/>
    </w:rPr>
  </w:style>
  <w:style w:type="paragraph" w:customStyle="1" w:styleId="af6">
    <w:name w:val="表格文字"/>
    <w:basedOn w:val="a6"/>
    <w:qFormat/>
    <w:pPr>
      <w:spacing w:after="0"/>
      <w:jc w:val="left"/>
    </w:pPr>
    <w:rPr>
      <w:rFonts w:ascii="宋体" w:hAnsi="宋体" w:cs="Arial"/>
      <w:bCs/>
      <w:sz w:val="22"/>
      <w:szCs w:val="20"/>
      <w:lang w:val="zh-CN"/>
    </w:rPr>
  </w:style>
  <w:style w:type="paragraph" w:customStyle="1" w:styleId="af7">
    <w:name w:val="正文所"/>
    <w:basedOn w:val="a"/>
    <w:qFormat/>
    <w:pPr>
      <w:spacing w:line="360" w:lineRule="auto"/>
      <w:ind w:firstLineChars="200" w:firstLine="420"/>
    </w:pPr>
    <w:rPr>
      <w:rFonts w:ascii="宋体"/>
      <w:szCs w:val="20"/>
    </w:rPr>
  </w:style>
  <w:style w:type="paragraph" w:customStyle="1" w:styleId="12">
    <w:name w:val="段落1"/>
    <w:basedOn w:val="a"/>
    <w:qFormat/>
    <w:pPr>
      <w:spacing w:line="300" w:lineRule="auto"/>
      <w:ind w:firstLine="420"/>
    </w:pPr>
    <w:rPr>
      <w:rFonts w:ascii="宋体" w:hAnsi="宋体"/>
      <w:sz w:val="24"/>
    </w:rPr>
  </w:style>
  <w:style w:type="paragraph" w:customStyle="1" w:styleId="Char0">
    <w:name w:val="Char"/>
    <w:basedOn w:val="a"/>
    <w:qFormat/>
    <w:pPr>
      <w:tabs>
        <w:tab w:val="left" w:pos="360"/>
      </w:tabs>
    </w:pPr>
    <w:rPr>
      <w:sz w:val="24"/>
    </w:rPr>
  </w:style>
  <w:style w:type="character" w:customStyle="1" w:styleId="a5">
    <w:name w:val="批注文字 字符"/>
    <w:basedOn w:val="a1"/>
    <w:link w:val="a4"/>
    <w:uiPriority w:val="99"/>
    <w:qFormat/>
    <w:rPr>
      <w:kern w:val="2"/>
      <w:sz w:val="21"/>
      <w:szCs w:val="24"/>
    </w:rPr>
  </w:style>
  <w:style w:type="character" w:customStyle="1" w:styleId="ad">
    <w:name w:val="页眉 字符"/>
    <w:basedOn w:val="a1"/>
    <w:link w:val="ac"/>
    <w:qFormat/>
    <w:rPr>
      <w:kern w:val="2"/>
      <w:sz w:val="18"/>
      <w:szCs w:val="18"/>
    </w:rPr>
  </w:style>
  <w:style w:type="character" w:customStyle="1" w:styleId="a7">
    <w:name w:val="正文文本 字符"/>
    <w:basedOn w:val="a1"/>
    <w:link w:val="a6"/>
    <w:qFormat/>
    <w:rPr>
      <w:kern w:val="2"/>
      <w:sz w:val="21"/>
      <w:szCs w:val="24"/>
    </w:rPr>
  </w:style>
  <w:style w:type="character" w:customStyle="1" w:styleId="NormalMingLiUChar">
    <w:name w:val="Normal + MingLiU Char"/>
    <w:basedOn w:val="a1"/>
    <w:qFormat/>
    <w:rPr>
      <w:rFonts w:ascii="MingLiU" w:eastAsia="MingLiU" w:hAnsi="MingLiU"/>
      <w:kern w:val="2"/>
      <w:sz w:val="22"/>
      <w:szCs w:val="22"/>
      <w:lang w:val="en-US" w:eastAsia="zh-CN" w:bidi="ar-SA"/>
    </w:rPr>
  </w:style>
  <w:style w:type="character" w:customStyle="1" w:styleId="af0">
    <w:name w:val="批注主题 字符"/>
    <w:basedOn w:val="a5"/>
    <w:link w:val="af"/>
    <w:qFormat/>
    <w:rPr>
      <w:b/>
      <w:bCs/>
      <w:kern w:val="2"/>
      <w:sz w:val="21"/>
      <w:szCs w:val="24"/>
    </w:rPr>
  </w:style>
  <w:style w:type="paragraph" w:styleId="af8">
    <w:name w:val="List Paragraph"/>
    <w:basedOn w:val="a"/>
    <w:link w:val="af9"/>
    <w:uiPriority w:val="34"/>
    <w:qFormat/>
    <w:pPr>
      <w:ind w:firstLineChars="200" w:firstLine="420"/>
    </w:pPr>
  </w:style>
  <w:style w:type="character" w:customStyle="1" w:styleId="Char">
    <w:name w:val="列出段落 Char"/>
    <w:basedOn w:val="a1"/>
    <w:link w:val="11"/>
    <w:uiPriority w:val="99"/>
    <w:qFormat/>
    <w:locked/>
    <w:rPr>
      <w:rFonts w:ascii="MingLiU" w:eastAsia="MingLiU"/>
      <w:sz w:val="24"/>
      <w:lang w:eastAsia="zh-TW"/>
    </w:rPr>
  </w:style>
  <w:style w:type="character" w:customStyle="1" w:styleId="af9">
    <w:name w:val="列出段落 字符"/>
    <w:link w:val="af8"/>
    <w:uiPriority w:val="1"/>
    <w:qFormat/>
    <w:rPr>
      <w:kern w:val="2"/>
      <w:sz w:val="21"/>
      <w:szCs w:val="24"/>
    </w:rPr>
  </w:style>
  <w:style w:type="paragraph" w:customStyle="1" w:styleId="13">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1075</Words>
  <Characters>6130</Characters>
  <Application>Microsoft Office Word</Application>
  <DocSecurity>0</DocSecurity>
  <Lines>51</Lines>
  <Paragraphs>14</Paragraphs>
  <ScaleCrop>false</ScaleCrop>
  <Company>a</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80345906/陈彩红</cp:lastModifiedBy>
  <cp:revision>68</cp:revision>
  <cp:lastPrinted>2012-07-20T01:29:00Z</cp:lastPrinted>
  <dcterms:created xsi:type="dcterms:W3CDTF">2023-05-26T07:59:00Z</dcterms:created>
  <dcterms:modified xsi:type="dcterms:W3CDTF">2025-05-28T02:14:00Z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E764F69F50454099A437BFD1D41D8174</vt:lpwstr>
  </property>
</Properties>
</file>