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FZSSK--GBK1-0"/>
          <w:b/>
          <w:bCs/>
          <w:kern w:val="0"/>
          <w:sz w:val="28"/>
          <w:szCs w:val="28"/>
          <w:highlight w:val="none"/>
        </w:rPr>
      </w:pPr>
      <w:r>
        <w:rPr>
          <w:rFonts w:hint="eastAsia" w:ascii="仿宋" w:hAnsi="仿宋" w:eastAsia="仿宋" w:cs="FZSSK--GBK1-0"/>
          <w:b/>
          <w:bCs/>
          <w:kern w:val="0"/>
          <w:sz w:val="28"/>
          <w:szCs w:val="28"/>
          <w:highlight w:val="none"/>
        </w:rPr>
        <w:t>招银理财有限责任公司理财产品投资者权益须知</w:t>
      </w:r>
    </w:p>
    <w:p>
      <w:pPr>
        <w:jc w:val="center"/>
        <w:rPr>
          <w:rFonts w:ascii="仿宋" w:hAnsi="仿宋" w:eastAsia="仿宋" w:cs="FZSSK--GBK1-0"/>
          <w:bCs/>
          <w:kern w:val="0"/>
          <w:sz w:val="28"/>
          <w:szCs w:val="28"/>
          <w:highlight w:val="none"/>
        </w:rPr>
      </w:pPr>
      <w:r>
        <w:rPr>
          <w:rFonts w:hint="eastAsia" w:ascii="仿宋" w:hAnsi="仿宋" w:eastAsia="仿宋" w:cs="FZSSK--GBK1-0"/>
          <w:bCs/>
          <w:kern w:val="0"/>
          <w:sz w:val="28"/>
          <w:szCs w:val="28"/>
          <w:highlight w:val="none"/>
        </w:rPr>
        <w:t>（适用于湖南银行股份有限公司代理销售的个人投资者）</w:t>
      </w:r>
    </w:p>
    <w:p>
      <w:pPr>
        <w:spacing w:line="300" w:lineRule="auto"/>
        <w:ind w:right="688"/>
        <w:rPr>
          <w:rFonts w:hint="eastAsia" w:ascii="仿宋" w:hAnsi="仿宋" w:eastAsia="仿宋"/>
          <w:sz w:val="28"/>
          <w:szCs w:val="28"/>
          <w:highlight w:val="none"/>
        </w:rPr>
      </w:pPr>
    </w:p>
    <w:p>
      <w:pPr>
        <w:spacing w:line="300" w:lineRule="auto"/>
        <w:ind w:right="688"/>
        <w:rPr>
          <w:rFonts w:ascii="仿宋" w:hAnsi="仿宋" w:eastAsia="仿宋"/>
          <w:sz w:val="28"/>
          <w:szCs w:val="28"/>
          <w:highlight w:val="none"/>
        </w:rPr>
      </w:pPr>
      <w:r>
        <w:rPr>
          <w:rFonts w:hint="eastAsia" w:ascii="仿宋" w:hAnsi="仿宋" w:eastAsia="仿宋"/>
          <w:sz w:val="28"/>
          <w:szCs w:val="28"/>
          <w:highlight w:val="none"/>
        </w:rPr>
        <w:t>尊敬的投资者：</w:t>
      </w:r>
    </w:p>
    <w:p>
      <w:pPr>
        <w:spacing w:line="297" w:lineRule="auto"/>
        <w:ind w:left="105" w:leftChars="50" w:right="688" w:firstLine="562" w:firstLineChars="200"/>
        <w:rPr>
          <w:rFonts w:ascii="仿宋" w:hAnsi="仿宋" w:eastAsia="仿宋"/>
          <w:b/>
          <w:sz w:val="28"/>
          <w:szCs w:val="28"/>
          <w:highlight w:val="none"/>
        </w:rPr>
      </w:pPr>
      <w:r>
        <w:rPr>
          <w:rFonts w:hint="eastAsia" w:ascii="仿宋" w:hAnsi="仿宋" w:eastAsia="仿宋"/>
          <w:b/>
          <w:sz w:val="28"/>
          <w:szCs w:val="28"/>
          <w:highlight w:val="none"/>
        </w:rPr>
        <w:t>理财非存款、产品有风险、投资须谨慎。</w:t>
      </w:r>
    </w:p>
    <w:p>
      <w:pPr>
        <w:spacing w:line="30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招银理财有限责任公司发行的理财产品与存款存在明显区别，在获取收益的同时存在一定的风险。为了保护您的合法权益，请在投资前认真阅读以下内容：</w:t>
      </w:r>
    </w:p>
    <w:p>
      <w:pPr>
        <w:widowControl/>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本投资者权益须知适用于</w:t>
      </w:r>
      <w:r>
        <w:rPr>
          <w:rFonts w:hint="eastAsia" w:ascii="仿宋" w:hAnsi="仿宋" w:eastAsia="仿宋"/>
          <w:b/>
          <w:sz w:val="28"/>
          <w:szCs w:val="28"/>
          <w:highlight w:val="none"/>
        </w:rPr>
        <w:t>销售服务机构湖南银行股份有限公司</w:t>
      </w:r>
      <w:r>
        <w:rPr>
          <w:rFonts w:ascii="仿宋" w:hAnsi="仿宋" w:eastAsia="仿宋"/>
          <w:b/>
          <w:sz w:val="28"/>
          <w:szCs w:val="28"/>
          <w:highlight w:val="none"/>
        </w:rPr>
        <w:t>（</w:t>
      </w:r>
      <w:r>
        <w:rPr>
          <w:rFonts w:hint="eastAsia" w:ascii="仿宋" w:hAnsi="仿宋" w:eastAsia="仿宋"/>
          <w:b/>
          <w:sz w:val="28"/>
          <w:szCs w:val="28"/>
          <w:highlight w:val="none"/>
        </w:rPr>
        <w:t>以下</w:t>
      </w:r>
      <w:r>
        <w:rPr>
          <w:rFonts w:ascii="仿宋" w:hAnsi="仿宋" w:eastAsia="仿宋"/>
          <w:b/>
          <w:sz w:val="28"/>
          <w:szCs w:val="28"/>
          <w:highlight w:val="none"/>
        </w:rPr>
        <w:t>简称“</w:t>
      </w:r>
      <w:r>
        <w:rPr>
          <w:rFonts w:hint="eastAsia" w:ascii="仿宋" w:hAnsi="仿宋" w:eastAsia="仿宋" w:cs="FZSSK--GBK1-0"/>
          <w:b/>
          <w:kern w:val="0"/>
          <w:sz w:val="28"/>
          <w:szCs w:val="28"/>
          <w:highlight w:val="none"/>
          <w:lang w:val="en-US" w:eastAsia="zh-CN"/>
        </w:rPr>
        <w:t>湖南银行</w:t>
      </w:r>
      <w:r>
        <w:rPr>
          <w:rFonts w:ascii="仿宋" w:hAnsi="仿宋" w:eastAsia="仿宋"/>
          <w:b/>
          <w:sz w:val="28"/>
          <w:szCs w:val="28"/>
          <w:highlight w:val="none"/>
        </w:rPr>
        <w:t>”）</w:t>
      </w:r>
      <w:r>
        <w:rPr>
          <w:rFonts w:hint="eastAsia" w:ascii="仿宋" w:hAnsi="仿宋" w:eastAsia="仿宋"/>
          <w:b/>
          <w:sz w:val="28"/>
          <w:szCs w:val="28"/>
          <w:highlight w:val="none"/>
        </w:rPr>
        <w:t>代理销售招银理财有限责任公司（以下</w:t>
      </w:r>
      <w:r>
        <w:rPr>
          <w:rFonts w:ascii="仿宋" w:hAnsi="仿宋" w:eastAsia="仿宋"/>
          <w:b/>
          <w:sz w:val="28"/>
          <w:szCs w:val="28"/>
          <w:highlight w:val="none"/>
        </w:rPr>
        <w:t>简称“</w:t>
      </w:r>
      <w:r>
        <w:rPr>
          <w:rFonts w:hint="eastAsia" w:ascii="仿宋" w:hAnsi="仿宋" w:eastAsia="仿宋"/>
          <w:b/>
          <w:sz w:val="28"/>
          <w:szCs w:val="28"/>
          <w:highlight w:val="none"/>
        </w:rPr>
        <w:t>招银理财</w:t>
      </w:r>
      <w:r>
        <w:rPr>
          <w:rFonts w:ascii="仿宋" w:hAnsi="仿宋" w:eastAsia="仿宋"/>
          <w:b/>
          <w:sz w:val="28"/>
          <w:szCs w:val="28"/>
          <w:highlight w:val="none"/>
        </w:rPr>
        <w:t>”</w:t>
      </w:r>
      <w:r>
        <w:rPr>
          <w:rFonts w:hint="eastAsia" w:ascii="仿宋" w:hAnsi="仿宋" w:eastAsia="仿宋"/>
          <w:b/>
          <w:sz w:val="28"/>
          <w:szCs w:val="28"/>
          <w:highlight w:val="none"/>
        </w:rPr>
        <w:t>）发行的理财产品</w:t>
      </w:r>
      <w:r>
        <w:rPr>
          <w:rFonts w:hint="eastAsia" w:ascii="仿宋" w:hAnsi="仿宋" w:eastAsia="仿宋"/>
          <w:sz w:val="28"/>
          <w:szCs w:val="28"/>
          <w:highlight w:val="none"/>
        </w:rPr>
        <w:t>。为了保护您的合法权益，建议您：首先，请在投资理财产品前，通过</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为您设计的个人风险承受能力评估流程，了解您的投资目标，风险偏好和产品需求。首次购买理财产品前必须在</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的网点、网上银行或手机银行等销售渠道进行风险承受能力评估。其次，请认真阅读理财产品的相关销售文件，具体为《销售协议书》、《产品说明书》、《风险揭示书》、《投资协议书》和本《投资者权益须知》等，</w:t>
      </w:r>
      <w:r>
        <w:rPr>
          <w:rFonts w:hint="eastAsia" w:ascii="仿宋" w:hAnsi="仿宋" w:eastAsia="仿宋"/>
          <w:b/>
          <w:sz w:val="28"/>
          <w:szCs w:val="28"/>
          <w:highlight w:val="none"/>
          <w:u w:val="single"/>
        </w:rPr>
        <w:t>然后选择购买与您自身风险承受能力相匹配的产品</w:t>
      </w:r>
      <w:r>
        <w:rPr>
          <w:rFonts w:hint="eastAsia" w:ascii="仿宋" w:hAnsi="仿宋" w:eastAsia="仿宋"/>
          <w:sz w:val="28"/>
          <w:szCs w:val="28"/>
          <w:highlight w:val="none"/>
        </w:rPr>
        <w:t>。您在阅读时如有不明之处，可及时向</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理财人员进行咨询。最后，请关注</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或招银理财对理财产品的信息披露方式、渠道与频率以及相关联络方式，当您对所购买的理财产品有任何异议或意见时请及时反馈。我们将以诚实守信、勤勉尽责的态度竭诚为您提供专业的服务。</w:t>
      </w:r>
    </w:p>
    <w:p>
      <w:pPr>
        <w:widowControl/>
        <w:spacing w:line="360" w:lineRule="auto"/>
        <w:ind w:firstLine="600"/>
        <w:rPr>
          <w:rFonts w:ascii="仿宋" w:hAnsi="仿宋" w:eastAsia="仿宋"/>
          <w:b/>
          <w:bCs/>
          <w:sz w:val="28"/>
          <w:szCs w:val="28"/>
          <w:highlight w:val="none"/>
        </w:rPr>
      </w:pPr>
      <w:r>
        <w:rPr>
          <w:rFonts w:hint="eastAsia" w:ascii="仿宋" w:hAnsi="仿宋" w:eastAsia="仿宋"/>
          <w:b/>
          <w:bCs/>
          <w:sz w:val="28"/>
          <w:szCs w:val="28"/>
          <w:highlight w:val="none"/>
        </w:rPr>
        <w:t>一、购买理财产品三部曲：</w:t>
      </w:r>
    </w:p>
    <w:p>
      <w:pPr>
        <w:widowControl/>
        <w:spacing w:line="360" w:lineRule="auto"/>
        <w:ind w:firstLine="600"/>
        <w:rPr>
          <w:rFonts w:ascii="仿宋" w:hAnsi="仿宋" w:eastAsia="仿宋"/>
          <w:b/>
          <w:sz w:val="28"/>
          <w:szCs w:val="28"/>
          <w:highlight w:val="none"/>
        </w:rPr>
      </w:pPr>
      <w:r>
        <w:rPr>
          <w:rFonts w:hint="eastAsia" w:ascii="仿宋" w:hAnsi="仿宋" w:eastAsia="仿宋"/>
          <w:b/>
          <w:sz w:val="28"/>
          <w:szCs w:val="28"/>
          <w:highlight w:val="none"/>
        </w:rPr>
        <w:t>第一部</w:t>
      </w:r>
      <w:r>
        <w:rPr>
          <w:rFonts w:ascii="仿宋" w:hAnsi="仿宋" w:eastAsia="仿宋"/>
          <w:b/>
          <w:sz w:val="28"/>
          <w:szCs w:val="28"/>
          <w:highlight w:val="none"/>
        </w:rPr>
        <w:t xml:space="preserve"> </w:t>
      </w:r>
      <w:r>
        <w:rPr>
          <w:rFonts w:hint="eastAsia" w:ascii="仿宋" w:hAnsi="仿宋" w:eastAsia="仿宋"/>
          <w:b/>
          <w:sz w:val="28"/>
          <w:szCs w:val="28"/>
          <w:highlight w:val="none"/>
        </w:rPr>
        <w:t>了解您的投资需求和风险承受能力</w:t>
      </w:r>
    </w:p>
    <w:p>
      <w:pPr>
        <w:widowControl/>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根据《商业</w:t>
      </w:r>
      <w:r>
        <w:rPr>
          <w:rFonts w:ascii="仿宋" w:hAnsi="仿宋" w:eastAsia="仿宋"/>
          <w:sz w:val="28"/>
          <w:szCs w:val="28"/>
          <w:highlight w:val="none"/>
        </w:rPr>
        <w:t>银行理财子公司管理办法</w:t>
      </w:r>
      <w:r>
        <w:rPr>
          <w:rFonts w:hint="eastAsia" w:ascii="仿宋" w:hAnsi="仿宋" w:eastAsia="仿宋"/>
          <w:sz w:val="28"/>
          <w:szCs w:val="28"/>
          <w:highlight w:val="none"/>
        </w:rPr>
        <w:t>》、《商业银行理财业务监督管理办法》、</w:t>
      </w:r>
      <w:r>
        <w:rPr>
          <w:rFonts w:ascii="仿宋" w:hAnsi="仿宋" w:eastAsia="仿宋"/>
          <w:sz w:val="28"/>
          <w:szCs w:val="28"/>
          <w:highlight w:val="none"/>
        </w:rPr>
        <w:t>《理财公司理财产品销售管理暂行办法》等</w:t>
      </w:r>
      <w:r>
        <w:rPr>
          <w:rFonts w:hint="eastAsia" w:ascii="仿宋" w:hAnsi="仿宋" w:eastAsia="仿宋"/>
          <w:sz w:val="28"/>
          <w:szCs w:val="28"/>
          <w:highlight w:val="none"/>
        </w:rPr>
        <w:t>要求，</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在非机构客户投资理财产品前，必须对非机构客户的风险承受能力进行评估，以保障非机构客户购买的理财产品与其风险承受能力相匹配。</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将从非机构客户年龄、财务状况、投资经验、投资目的、收益预期、风险偏好、流动性要求、风险认识以及风险损失承受程度等方面，协助您全面了解您的投资需求和您的风险承受能力，帮助您选择适合自己风险承受能力的理财产品。</w:t>
      </w:r>
    </w:p>
    <w:p>
      <w:pPr>
        <w:widowControl/>
        <w:spacing w:line="360" w:lineRule="auto"/>
        <w:ind w:firstLine="560" w:firstLineChars="200"/>
        <w:rPr>
          <w:rFonts w:ascii="仿宋" w:hAnsi="仿宋" w:eastAsia="仿宋"/>
          <w:b/>
          <w:sz w:val="28"/>
          <w:szCs w:val="28"/>
          <w:highlight w:val="none"/>
        </w:rPr>
      </w:pPr>
      <w:r>
        <w:rPr>
          <w:rFonts w:hint="eastAsia" w:ascii="仿宋" w:hAnsi="仿宋" w:eastAsia="仿宋"/>
          <w:sz w:val="28"/>
          <w:szCs w:val="28"/>
          <w:highlight w:val="none"/>
        </w:rPr>
        <w:t>招银理财的理财产品分为公募理财产品和私募理财产品，根据理财产品投资范围、风险收益特点、流动性等不同因素，</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将招银理财发行的理财产品分为低风险产品（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R1）、中低风险产品（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R2）、中风险产品（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R3）、中高风险产品（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R4）、高风险产品（</w:t>
      </w:r>
      <w:r>
        <w:rPr>
          <w:rFonts w:hint="eastAsia" w:ascii="仿宋" w:hAnsi="仿宋" w:eastAsia="仿宋"/>
          <w:sz w:val="28"/>
          <w:szCs w:val="28"/>
          <w:highlight w:val="none"/>
          <w:lang w:val="en-US" w:eastAsia="zh-CN"/>
        </w:rPr>
        <w:t>P</w:t>
      </w:r>
      <w:r>
        <w:rPr>
          <w:rFonts w:hint="eastAsia" w:ascii="仿宋" w:hAnsi="仿宋" w:eastAsia="仿宋"/>
          <w:sz w:val="28"/>
          <w:szCs w:val="28"/>
          <w:highlight w:val="none"/>
        </w:rPr>
        <w:t>R5）等五个风险等级。根据客户的不同情况</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将客户风险承受能力分为保守型（R1）、稳健型（R</w:t>
      </w:r>
      <w:r>
        <w:rPr>
          <w:rFonts w:ascii="仿宋" w:hAnsi="仿宋" w:eastAsia="仿宋"/>
          <w:sz w:val="28"/>
          <w:szCs w:val="28"/>
          <w:highlight w:val="none"/>
        </w:rPr>
        <w:t>2</w:t>
      </w:r>
      <w:r>
        <w:rPr>
          <w:rFonts w:hint="eastAsia" w:ascii="仿宋" w:hAnsi="仿宋" w:eastAsia="仿宋"/>
          <w:sz w:val="28"/>
          <w:szCs w:val="28"/>
          <w:highlight w:val="none"/>
        </w:rPr>
        <w:t>）、平衡型（R3）、进取型（R</w:t>
      </w:r>
      <w:r>
        <w:rPr>
          <w:rFonts w:ascii="仿宋" w:hAnsi="仿宋" w:eastAsia="仿宋"/>
          <w:sz w:val="28"/>
          <w:szCs w:val="28"/>
          <w:highlight w:val="none"/>
        </w:rPr>
        <w:t>4</w:t>
      </w:r>
      <w:r>
        <w:rPr>
          <w:rFonts w:hint="eastAsia" w:ascii="仿宋" w:hAnsi="仿宋" w:eastAsia="仿宋"/>
          <w:sz w:val="28"/>
          <w:szCs w:val="28"/>
          <w:highlight w:val="none"/>
        </w:rPr>
        <w:t>）、激进型（R5）五个等级。与此同时，</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根据风险匹配原则，在客户风险承受能力等级和产品风险等级之间建立如下对应关系，请您根据您的风险承受能力评估结果选择与您风险承受能力相匹配的理财产品。您的风险承受能力评估结果应以您在购买理财产品前的最近一次有效评估结果为准，请您参考该次评估结果来选择与您风险承受能力相匹配的理财产品。如果您在理财产品持有期间发生风险承受能力变化，导致您购买的理财产品与您自身风险承受能力不匹配的，建议您在购买的理财产品最近一个开放期尽快赎回，对于您依据产品说明书约定没有权利提前赎回的理财产品，您将无权以风险承受能力不再匹配为由进行赎回，所以，请您在投资前审慎决策。详见下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183"/>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b/>
                <w:bCs/>
                <w:kern w:val="0"/>
                <w:sz w:val="20"/>
                <w:szCs w:val="20"/>
                <w:highlight w:val="none"/>
              </w:rPr>
            </w:pPr>
            <w:r>
              <w:rPr>
                <w:rFonts w:hint="eastAsia" w:ascii="彩虹粗仿宋" w:eastAsia="彩虹粗仿宋"/>
                <w:b/>
                <w:bCs/>
                <w:kern w:val="0"/>
                <w:sz w:val="20"/>
                <w:szCs w:val="20"/>
                <w:highlight w:val="none"/>
              </w:rPr>
              <w:t>风险标识</w:t>
            </w:r>
          </w:p>
        </w:tc>
        <w:tc>
          <w:tcPr>
            <w:tcW w:w="2183" w:type="dxa"/>
          </w:tcPr>
          <w:p>
            <w:pPr>
              <w:spacing w:line="540" w:lineRule="exact"/>
              <w:jc w:val="center"/>
              <w:rPr>
                <w:rFonts w:ascii="彩虹粗仿宋" w:eastAsia="彩虹粗仿宋"/>
                <w:b/>
                <w:bCs/>
                <w:kern w:val="0"/>
                <w:sz w:val="20"/>
                <w:szCs w:val="20"/>
                <w:highlight w:val="none"/>
              </w:rPr>
            </w:pPr>
            <w:r>
              <w:rPr>
                <w:rFonts w:hint="eastAsia" w:ascii="彩虹粗仿宋" w:eastAsia="彩虹粗仿宋"/>
                <w:b/>
                <w:bCs/>
                <w:kern w:val="0"/>
                <w:sz w:val="20"/>
                <w:szCs w:val="20"/>
                <w:highlight w:val="none"/>
              </w:rPr>
              <w:t>风险等级说明</w:t>
            </w:r>
          </w:p>
        </w:tc>
        <w:tc>
          <w:tcPr>
            <w:tcW w:w="4157" w:type="dxa"/>
          </w:tcPr>
          <w:p>
            <w:pPr>
              <w:spacing w:line="540" w:lineRule="exact"/>
              <w:jc w:val="center"/>
              <w:rPr>
                <w:rFonts w:ascii="彩虹粗仿宋" w:eastAsia="彩虹粗仿宋"/>
                <w:b/>
                <w:bCs/>
                <w:kern w:val="0"/>
                <w:sz w:val="20"/>
                <w:szCs w:val="20"/>
                <w:highlight w:val="none"/>
              </w:rPr>
            </w:pPr>
            <w:r>
              <w:rPr>
                <w:rFonts w:hint="eastAsia" w:ascii="彩虹粗仿宋" w:eastAsia="彩虹粗仿宋"/>
                <w:b/>
                <w:bCs/>
                <w:kern w:val="0"/>
                <w:sz w:val="20"/>
                <w:szCs w:val="20"/>
                <w:highlight w:val="none"/>
              </w:rPr>
              <w:t>适用群体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R1</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低风险</w:t>
            </w:r>
          </w:p>
        </w:tc>
        <w:tc>
          <w:tcPr>
            <w:tcW w:w="4157" w:type="dxa"/>
          </w:tcPr>
          <w:p>
            <w:pPr>
              <w:spacing w:line="540" w:lineRule="exact"/>
              <w:jc w:val="center"/>
              <w:rPr>
                <w:rFonts w:ascii="彩虹粗仿宋" w:eastAsia="彩虹粗仿宋"/>
                <w:kern w:val="0"/>
                <w:sz w:val="20"/>
                <w:szCs w:val="20"/>
                <w:highlight w:val="none"/>
              </w:rPr>
            </w:pPr>
            <w:r>
              <w:rPr>
                <w:rFonts w:ascii="彩虹粗仿宋" w:eastAsia="彩虹粗仿宋"/>
                <w:kern w:val="0"/>
                <w:sz w:val="20"/>
                <w:szCs w:val="20"/>
                <w:highlight w:val="none"/>
              </w:rPr>
              <w:t>保守型</w:t>
            </w:r>
            <w:r>
              <w:rPr>
                <w:rFonts w:hint="eastAsia" w:ascii="彩虹粗仿宋" w:eastAsia="彩虹粗仿宋"/>
                <w:kern w:val="0"/>
                <w:sz w:val="20"/>
                <w:szCs w:val="20"/>
                <w:highlight w:val="none"/>
              </w:rPr>
              <w:t>、稳健</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、平衡</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R2</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中低风险</w:t>
            </w:r>
          </w:p>
        </w:tc>
        <w:tc>
          <w:tcPr>
            <w:tcW w:w="4157"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稳健</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、平衡</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R3</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中风险</w:t>
            </w:r>
          </w:p>
        </w:tc>
        <w:tc>
          <w:tcPr>
            <w:tcW w:w="4157" w:type="dxa"/>
          </w:tcPr>
          <w:p>
            <w:pPr>
              <w:tabs>
                <w:tab w:val="left" w:pos="988"/>
              </w:tabs>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平衡</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lang w:val="en-US" w:eastAsia="zh-CN"/>
              </w:rPr>
              <w:t>P</w:t>
            </w:r>
            <w:r>
              <w:rPr>
                <w:rFonts w:hint="eastAsia" w:ascii="彩虹粗仿宋" w:eastAsia="彩虹粗仿宋"/>
                <w:kern w:val="0"/>
                <w:sz w:val="20"/>
                <w:szCs w:val="20"/>
                <w:highlight w:val="none"/>
              </w:rPr>
              <w:t>R4</w:t>
            </w:r>
          </w:p>
        </w:tc>
        <w:tc>
          <w:tcPr>
            <w:tcW w:w="2183"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中高风险</w:t>
            </w:r>
          </w:p>
        </w:tc>
        <w:tc>
          <w:tcPr>
            <w:tcW w:w="4157" w:type="dxa"/>
          </w:tcPr>
          <w:p>
            <w:pPr>
              <w:spacing w:line="540" w:lineRule="exact"/>
              <w:jc w:val="center"/>
              <w:rPr>
                <w:rFonts w:ascii="彩虹粗仿宋" w:eastAsia="彩虹粗仿宋"/>
                <w:kern w:val="0"/>
                <w:sz w:val="20"/>
                <w:szCs w:val="20"/>
                <w:highlight w:val="none"/>
              </w:rPr>
            </w:pPr>
            <w:r>
              <w:rPr>
                <w:rFonts w:hint="eastAsia" w:ascii="彩虹粗仿宋" w:eastAsia="彩虹粗仿宋"/>
                <w:kern w:val="0"/>
                <w:sz w:val="20"/>
                <w:szCs w:val="20"/>
                <w:highlight w:val="none"/>
              </w:rPr>
              <w:t>进取</w:t>
            </w:r>
            <w:r>
              <w:rPr>
                <w:rFonts w:ascii="彩虹粗仿宋" w:eastAsia="彩虹粗仿宋"/>
                <w:kern w:val="0"/>
                <w:sz w:val="20"/>
                <w:szCs w:val="20"/>
                <w:highlight w:val="none"/>
              </w:rPr>
              <w:t>型</w:t>
            </w:r>
            <w:r>
              <w:rPr>
                <w:rFonts w:hint="eastAsia" w:ascii="彩虹粗仿宋" w:eastAsia="彩虹粗仿宋"/>
                <w:kern w:val="0"/>
                <w:sz w:val="20"/>
                <w:szCs w:val="20"/>
                <w:highlight w:val="none"/>
              </w:rPr>
              <w:t>、激进型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2" w:type="dxa"/>
          </w:tcPr>
          <w:p>
            <w:pPr>
              <w:spacing w:line="540" w:lineRule="exact"/>
              <w:jc w:val="center"/>
              <w:rPr>
                <w:rFonts w:ascii="彩虹粗仿宋" w:eastAsia="彩虹粗仿宋"/>
                <w:kern w:val="0"/>
                <w:sz w:val="20"/>
                <w:szCs w:val="21"/>
                <w:highlight w:val="none"/>
              </w:rPr>
            </w:pPr>
            <w:r>
              <w:rPr>
                <w:rFonts w:hint="eastAsia" w:ascii="彩虹粗仿宋" w:eastAsia="彩虹粗仿宋"/>
                <w:kern w:val="0"/>
                <w:sz w:val="20"/>
                <w:szCs w:val="21"/>
                <w:highlight w:val="none"/>
                <w:lang w:val="en-US" w:eastAsia="zh-CN"/>
              </w:rPr>
              <w:t>P</w:t>
            </w:r>
            <w:r>
              <w:rPr>
                <w:rFonts w:hint="eastAsia" w:ascii="彩虹粗仿宋" w:eastAsia="彩虹粗仿宋"/>
                <w:kern w:val="0"/>
                <w:sz w:val="20"/>
                <w:szCs w:val="21"/>
                <w:highlight w:val="none"/>
              </w:rPr>
              <w:t>R5</w:t>
            </w:r>
          </w:p>
        </w:tc>
        <w:tc>
          <w:tcPr>
            <w:tcW w:w="2183" w:type="dxa"/>
          </w:tcPr>
          <w:p>
            <w:pPr>
              <w:spacing w:line="540" w:lineRule="exact"/>
              <w:jc w:val="center"/>
              <w:rPr>
                <w:rFonts w:ascii="彩虹粗仿宋" w:eastAsia="彩虹粗仿宋"/>
                <w:kern w:val="0"/>
                <w:sz w:val="20"/>
                <w:szCs w:val="21"/>
                <w:highlight w:val="none"/>
              </w:rPr>
            </w:pPr>
            <w:r>
              <w:rPr>
                <w:rFonts w:hint="eastAsia" w:ascii="彩虹粗仿宋" w:eastAsia="彩虹粗仿宋"/>
                <w:kern w:val="0"/>
                <w:sz w:val="20"/>
                <w:szCs w:val="21"/>
                <w:highlight w:val="none"/>
              </w:rPr>
              <w:t>高风险</w:t>
            </w:r>
          </w:p>
        </w:tc>
        <w:tc>
          <w:tcPr>
            <w:tcW w:w="4157" w:type="dxa"/>
          </w:tcPr>
          <w:p>
            <w:pPr>
              <w:spacing w:line="540" w:lineRule="exact"/>
              <w:jc w:val="center"/>
              <w:rPr>
                <w:rFonts w:ascii="彩虹粗仿宋" w:eastAsia="彩虹粗仿宋"/>
                <w:kern w:val="0"/>
                <w:sz w:val="20"/>
                <w:szCs w:val="21"/>
                <w:highlight w:val="none"/>
              </w:rPr>
            </w:pPr>
            <w:r>
              <w:rPr>
                <w:rFonts w:hint="eastAsia" w:ascii="彩虹粗仿宋" w:eastAsia="彩虹粗仿宋"/>
                <w:kern w:val="0"/>
                <w:sz w:val="20"/>
                <w:szCs w:val="20"/>
                <w:highlight w:val="none"/>
              </w:rPr>
              <w:t>激进型</w:t>
            </w:r>
          </w:p>
        </w:tc>
      </w:tr>
    </w:tbl>
    <w:p>
      <w:pPr>
        <w:spacing w:line="298" w:lineRule="auto"/>
        <w:ind w:right="338" w:firstLine="560" w:firstLineChars="200"/>
        <w:rPr>
          <w:rFonts w:ascii="仿宋" w:hAnsi="仿宋" w:eastAsia="仿宋"/>
          <w:sz w:val="28"/>
          <w:szCs w:val="28"/>
          <w:highlight w:val="none"/>
        </w:rPr>
      </w:pPr>
    </w:p>
    <w:p>
      <w:pPr>
        <w:spacing w:line="298" w:lineRule="auto"/>
        <w:ind w:right="338" w:firstLine="560" w:firstLineChars="200"/>
        <w:rPr>
          <w:rFonts w:ascii="仿宋" w:hAnsi="仿宋" w:eastAsia="仿宋"/>
          <w:sz w:val="28"/>
          <w:szCs w:val="28"/>
          <w:highlight w:val="none"/>
        </w:rPr>
      </w:pPr>
      <w:r>
        <w:rPr>
          <w:rFonts w:hint="eastAsia" w:ascii="仿宋" w:hAnsi="仿宋" w:eastAsia="仿宋"/>
          <w:sz w:val="28"/>
          <w:szCs w:val="28"/>
          <w:highlight w:val="none"/>
        </w:rPr>
        <w:t>为了准确地了解和评估您的投资需求，请您在首次购买理财产品前，通过</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的营业网点或适用的电子渠道进行有效风险承受能力的评估。</w:t>
      </w:r>
    </w:p>
    <w:p>
      <w:pPr>
        <w:spacing w:line="298" w:lineRule="auto"/>
        <w:ind w:left="102" w:right="161" w:firstLine="422"/>
        <w:rPr>
          <w:rFonts w:ascii="仿宋" w:hAnsi="仿宋" w:eastAsia="仿宋"/>
          <w:sz w:val="28"/>
          <w:szCs w:val="28"/>
          <w:highlight w:val="none"/>
        </w:rPr>
      </w:pPr>
      <w:r>
        <w:rPr>
          <w:rFonts w:hint="eastAsia" w:ascii="仿宋" w:hAnsi="仿宋" w:eastAsia="仿宋"/>
          <w:sz w:val="28"/>
          <w:szCs w:val="28"/>
          <w:highlight w:val="none"/>
        </w:rPr>
        <w:t>为了及时更新您的财务状况，明确您的投资目标，个人投资风险承受能力评估结果的有效期为一年期，若您的风险承受能力评估结果已过有效期或者在评级结果有效期内发生了可能影响您自身风险承受能力的情形，请您在再次购买理财产品前，通过销售服务机构</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的营业网点或适用的电子渠道重新进行风险承受能力评估。</w:t>
      </w:r>
    </w:p>
    <w:p>
      <w:pPr>
        <w:spacing w:line="298" w:lineRule="auto"/>
        <w:ind w:left="521" w:firstLine="2"/>
        <w:rPr>
          <w:rFonts w:ascii="仿宋" w:hAnsi="仿宋" w:eastAsia="仿宋"/>
          <w:b/>
          <w:bCs/>
          <w:sz w:val="28"/>
          <w:szCs w:val="28"/>
          <w:highlight w:val="none"/>
        </w:rPr>
      </w:pPr>
      <w:r>
        <w:rPr>
          <w:rFonts w:hint="eastAsia" w:ascii="仿宋" w:hAnsi="仿宋" w:eastAsia="仿宋"/>
          <w:b/>
          <w:bCs/>
          <w:sz w:val="28"/>
          <w:szCs w:val="28"/>
          <w:highlight w:val="none"/>
        </w:rPr>
        <w:t>第二部</w:t>
      </w:r>
      <w:r>
        <w:rPr>
          <w:rFonts w:ascii="仿宋" w:hAnsi="仿宋" w:eastAsia="仿宋"/>
          <w:b/>
          <w:bCs/>
          <w:sz w:val="28"/>
          <w:szCs w:val="28"/>
          <w:highlight w:val="none"/>
        </w:rPr>
        <w:t xml:space="preserve"> </w:t>
      </w:r>
      <w:r>
        <w:rPr>
          <w:rFonts w:hint="eastAsia" w:ascii="仿宋" w:hAnsi="仿宋" w:eastAsia="仿宋"/>
          <w:b/>
          <w:bCs/>
          <w:sz w:val="28"/>
          <w:szCs w:val="28"/>
          <w:highlight w:val="none"/>
        </w:rPr>
        <w:t>购买您选择的理财产品</w:t>
      </w:r>
    </w:p>
    <w:p>
      <w:pPr>
        <w:spacing w:line="298" w:lineRule="auto"/>
        <w:ind w:left="142" w:right="153" w:rightChars="73" w:firstLine="381"/>
        <w:rPr>
          <w:rFonts w:ascii="仿宋" w:hAnsi="仿宋" w:eastAsia="仿宋"/>
          <w:sz w:val="28"/>
          <w:szCs w:val="28"/>
          <w:highlight w:val="none"/>
        </w:rPr>
      </w:pPr>
      <w:r>
        <w:rPr>
          <w:rFonts w:hint="eastAsia" w:ascii="仿宋" w:hAnsi="仿宋" w:eastAsia="仿宋"/>
          <w:sz w:val="28"/>
          <w:szCs w:val="28"/>
          <w:highlight w:val="none"/>
        </w:rPr>
        <w:t>您在完成风险承受能力评估后，选择适合您风险承受能力的理财产品，可通过销售服务机构</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适用的电子渠道等方式进行购买。电子渠道方式有：</w:t>
      </w:r>
    </w:p>
    <w:p>
      <w:pPr>
        <w:ind w:firstLine="602"/>
        <w:rPr>
          <w:rFonts w:ascii="仿宋_GB2312" w:hAnsi="ˎ̥" w:eastAsia="仿宋_GB2312" w:cs="宋体"/>
          <w:kern w:val="0"/>
          <w:sz w:val="30"/>
          <w:szCs w:val="30"/>
          <w:highlight w:val="none"/>
        </w:rPr>
      </w:pPr>
      <w:r>
        <w:rPr>
          <w:rFonts w:hint="eastAsia" w:ascii="仿宋" w:hAnsi="仿宋" w:eastAsia="仿宋"/>
          <w:sz w:val="28"/>
          <w:szCs w:val="28"/>
          <w:highlight w:val="none"/>
        </w:rPr>
        <w:t>1、</w:t>
      </w:r>
      <w:r>
        <w:rPr>
          <w:rFonts w:ascii="仿宋_GB2312" w:hAnsi="ˎ̥" w:eastAsia="仿宋_GB2312" w:cs="宋体"/>
          <w:kern w:val="0"/>
          <w:sz w:val="30"/>
          <w:szCs w:val="30"/>
          <w:highlight w:val="none"/>
        </w:rPr>
        <w:t>网上银行</w:t>
      </w:r>
    </w:p>
    <w:p>
      <w:pPr>
        <w:ind w:firstLine="602"/>
        <w:rPr>
          <w:rFonts w:ascii="仿宋_GB2312" w:hAnsi="ˎ̥" w:eastAsia="仿宋_GB2312" w:cs="宋体"/>
          <w:kern w:val="0"/>
          <w:sz w:val="30"/>
          <w:szCs w:val="30"/>
          <w:highlight w:val="none"/>
        </w:rPr>
      </w:pPr>
      <w:r>
        <w:rPr>
          <w:rFonts w:ascii="仿宋_GB2312" w:hAnsi="ˎ̥" w:eastAsia="仿宋_GB2312" w:cs="宋体"/>
          <w:kern w:val="0"/>
          <w:sz w:val="30"/>
          <w:szCs w:val="30"/>
          <w:highlight w:val="none"/>
        </w:rPr>
        <w:t>投资人签约我行网上银行后即可通过互联网登录</w:t>
      </w:r>
      <w:r>
        <w:rPr>
          <w:rFonts w:hint="eastAsia" w:ascii="仿宋_GB2312" w:hAnsi="ˎ̥" w:eastAsia="仿宋_GB2312" w:cs="宋体"/>
          <w:kern w:val="0"/>
          <w:sz w:val="30"/>
          <w:szCs w:val="30"/>
          <w:highlight w:val="none"/>
        </w:rPr>
        <w:t>我</w:t>
      </w:r>
      <w:r>
        <w:rPr>
          <w:rFonts w:ascii="仿宋_GB2312" w:hAnsi="ˎ̥" w:eastAsia="仿宋_GB2312" w:cs="宋体"/>
          <w:kern w:val="0"/>
          <w:sz w:val="30"/>
          <w:szCs w:val="30"/>
          <w:highlight w:val="none"/>
        </w:rPr>
        <w:t>行个人网上银行进行</w:t>
      </w:r>
      <w:r>
        <w:rPr>
          <w:rFonts w:hint="eastAsia" w:ascii="仿宋_GB2312" w:hAnsi="ˎ̥" w:eastAsia="仿宋_GB2312" w:cs="宋体"/>
          <w:kern w:val="0"/>
          <w:sz w:val="30"/>
          <w:szCs w:val="30"/>
          <w:highlight w:val="none"/>
        </w:rPr>
        <w:t>理财购买</w:t>
      </w:r>
      <w:r>
        <w:rPr>
          <w:rFonts w:ascii="仿宋_GB2312" w:hAnsi="ˎ̥" w:eastAsia="仿宋_GB2312" w:cs="宋体"/>
          <w:kern w:val="0"/>
          <w:sz w:val="30"/>
          <w:szCs w:val="30"/>
          <w:highlight w:val="none"/>
        </w:rPr>
        <w:t>和赎回等业务。</w:t>
      </w:r>
    </w:p>
    <w:p>
      <w:pPr>
        <w:ind w:firstLine="602"/>
        <w:rPr>
          <w:rFonts w:ascii="仿宋_GB2312" w:hAnsi="ˎ̥" w:eastAsia="仿宋_GB2312" w:cs="宋体"/>
          <w:kern w:val="0"/>
          <w:sz w:val="30"/>
          <w:szCs w:val="30"/>
          <w:highlight w:val="none"/>
        </w:rPr>
      </w:pPr>
      <w:r>
        <w:rPr>
          <w:rFonts w:hint="eastAsia" w:ascii="仿宋_GB2312" w:hAnsi="ˎ̥" w:eastAsia="仿宋_GB2312" w:cs="宋体"/>
          <w:kern w:val="0"/>
          <w:sz w:val="30"/>
          <w:szCs w:val="30"/>
          <w:highlight w:val="none"/>
        </w:rPr>
        <w:t>2</w:t>
      </w:r>
      <w:r>
        <w:rPr>
          <w:rFonts w:ascii="仿宋_GB2312" w:hAnsi="ˎ̥" w:eastAsia="仿宋_GB2312" w:cs="宋体"/>
          <w:kern w:val="0"/>
          <w:sz w:val="30"/>
          <w:szCs w:val="30"/>
          <w:highlight w:val="none"/>
        </w:rPr>
        <w:t>、手机银行</w:t>
      </w:r>
    </w:p>
    <w:p>
      <w:pPr>
        <w:ind w:firstLine="602"/>
        <w:rPr>
          <w:rFonts w:ascii="仿宋_GB2312" w:hAnsi="ˎ̥" w:eastAsia="仿宋_GB2312" w:cs="宋体"/>
          <w:kern w:val="0"/>
          <w:sz w:val="30"/>
          <w:szCs w:val="30"/>
          <w:highlight w:val="none"/>
        </w:rPr>
      </w:pPr>
      <w:r>
        <w:rPr>
          <w:rFonts w:ascii="仿宋_GB2312" w:hAnsi="ˎ̥" w:eastAsia="仿宋_GB2312" w:cs="宋体"/>
          <w:kern w:val="0"/>
          <w:sz w:val="30"/>
          <w:szCs w:val="30"/>
          <w:highlight w:val="none"/>
        </w:rPr>
        <w:t>投资人登录手机银行，可进行</w:t>
      </w:r>
      <w:r>
        <w:rPr>
          <w:rFonts w:hint="eastAsia" w:ascii="仿宋_GB2312" w:hAnsi="ˎ̥" w:eastAsia="仿宋_GB2312" w:cs="宋体"/>
          <w:kern w:val="0"/>
          <w:sz w:val="30"/>
          <w:szCs w:val="30"/>
          <w:highlight w:val="none"/>
        </w:rPr>
        <w:t>理财购买</w:t>
      </w:r>
      <w:r>
        <w:rPr>
          <w:rFonts w:ascii="仿宋_GB2312" w:hAnsi="ˎ̥" w:eastAsia="仿宋_GB2312" w:cs="宋体"/>
          <w:kern w:val="0"/>
          <w:sz w:val="30"/>
          <w:szCs w:val="30"/>
          <w:highlight w:val="none"/>
        </w:rPr>
        <w:t>和赎回等业务。</w:t>
      </w:r>
    </w:p>
    <w:p>
      <w:pPr>
        <w:spacing w:line="298" w:lineRule="auto"/>
        <w:ind w:left="142" w:right="153" w:rightChars="73" w:firstLine="381"/>
        <w:rPr>
          <w:rFonts w:ascii="仿宋" w:hAnsi="仿宋" w:eastAsia="仿宋"/>
          <w:sz w:val="28"/>
          <w:szCs w:val="28"/>
          <w:highlight w:val="none"/>
        </w:rPr>
      </w:pPr>
    </w:p>
    <w:p>
      <w:pPr>
        <w:spacing w:line="298" w:lineRule="auto"/>
        <w:ind w:left="142" w:right="153" w:rightChars="73" w:firstLine="381"/>
        <w:rPr>
          <w:rFonts w:ascii="仿宋" w:hAnsi="仿宋" w:eastAsia="仿宋"/>
          <w:sz w:val="28"/>
          <w:szCs w:val="28"/>
          <w:highlight w:val="none"/>
        </w:rPr>
      </w:pPr>
      <w:r>
        <w:rPr>
          <w:rFonts w:hint="eastAsia" w:ascii="仿宋" w:hAnsi="仿宋" w:eastAsia="仿宋"/>
          <w:b/>
          <w:bCs/>
          <w:sz w:val="28"/>
          <w:szCs w:val="28"/>
          <w:highlight w:val="none"/>
        </w:rPr>
        <w:t>第三部</w:t>
      </w:r>
      <w:r>
        <w:rPr>
          <w:rFonts w:ascii="仿宋" w:hAnsi="仿宋" w:eastAsia="仿宋"/>
          <w:b/>
          <w:bCs/>
          <w:sz w:val="28"/>
          <w:szCs w:val="28"/>
          <w:highlight w:val="none"/>
        </w:rPr>
        <w:t xml:space="preserve"> </w:t>
      </w:r>
      <w:r>
        <w:rPr>
          <w:rFonts w:hint="eastAsia" w:ascii="仿宋" w:hAnsi="仿宋" w:eastAsia="仿宋"/>
          <w:b/>
          <w:bCs/>
          <w:sz w:val="28"/>
          <w:szCs w:val="28"/>
          <w:highlight w:val="none"/>
        </w:rPr>
        <w:t>了解理财产品的信息披露方式、渠道和频率</w:t>
      </w:r>
    </w:p>
    <w:p>
      <w:pPr>
        <w:spacing w:line="298" w:lineRule="auto"/>
        <w:ind w:left="142" w:right="161" w:firstLine="560" w:firstLineChars="200"/>
        <w:rPr>
          <w:rFonts w:ascii="仿宋" w:hAnsi="仿宋" w:eastAsia="仿宋"/>
          <w:b/>
          <w:sz w:val="28"/>
          <w:szCs w:val="28"/>
          <w:highlight w:val="none"/>
        </w:rPr>
      </w:pPr>
      <w:r>
        <w:rPr>
          <w:rFonts w:hint="eastAsia" w:ascii="仿宋" w:hAnsi="仿宋" w:eastAsia="仿宋"/>
          <w:sz w:val="28"/>
          <w:szCs w:val="28"/>
          <w:highlight w:val="none"/>
        </w:rPr>
        <w:t>有关产品相关信息的披露方式、渠道和频率，您可根据《产品说明书》中所载明的</w:t>
      </w:r>
      <w:r>
        <w:rPr>
          <w:rFonts w:ascii="仿宋" w:hAnsi="仿宋" w:eastAsia="仿宋"/>
          <w:sz w:val="28"/>
          <w:szCs w:val="28"/>
          <w:highlight w:val="none"/>
        </w:rPr>
        <w:t>“</w:t>
      </w:r>
      <w:r>
        <w:rPr>
          <w:rFonts w:hint="eastAsia" w:ascii="仿宋" w:hAnsi="仿宋" w:eastAsia="仿宋"/>
          <w:sz w:val="28"/>
          <w:szCs w:val="28"/>
          <w:highlight w:val="none"/>
        </w:rPr>
        <w:t>信息公告</w:t>
      </w:r>
      <w:r>
        <w:rPr>
          <w:rFonts w:ascii="仿宋" w:hAnsi="仿宋" w:eastAsia="仿宋"/>
          <w:sz w:val="28"/>
          <w:szCs w:val="28"/>
          <w:highlight w:val="none"/>
        </w:rPr>
        <w:t>”</w:t>
      </w:r>
      <w:r>
        <w:rPr>
          <w:rFonts w:hint="eastAsia" w:ascii="仿宋" w:hAnsi="仿宋" w:eastAsia="仿宋"/>
          <w:sz w:val="28"/>
          <w:szCs w:val="28"/>
          <w:highlight w:val="none"/>
        </w:rPr>
        <w:t>约定，</w:t>
      </w:r>
      <w:r>
        <w:rPr>
          <w:rFonts w:hint="eastAsia" w:ascii="仿宋" w:hAnsi="仿宋" w:eastAsia="仿宋"/>
          <w:b/>
          <w:sz w:val="28"/>
          <w:szCs w:val="28"/>
          <w:highlight w:val="none"/>
        </w:rPr>
        <w:t>及时登录销售服务</w:t>
      </w:r>
      <w:r>
        <w:rPr>
          <w:rFonts w:ascii="仿宋" w:hAnsi="仿宋" w:eastAsia="仿宋"/>
          <w:b/>
          <w:sz w:val="28"/>
          <w:szCs w:val="28"/>
          <w:highlight w:val="none"/>
        </w:rPr>
        <w:t>机构</w:t>
      </w:r>
      <w:r>
        <w:rPr>
          <w:rFonts w:hint="eastAsia" w:ascii="仿宋" w:hAnsi="仿宋" w:eastAsia="仿宋"/>
          <w:b/>
          <w:sz w:val="28"/>
          <w:szCs w:val="28"/>
          <w:highlight w:val="none"/>
        </w:rPr>
        <w:t>【</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网站或致电</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全国统一客户服务热线（0731-96599）或到</w:t>
      </w:r>
      <w:r>
        <w:rPr>
          <w:rFonts w:hint="eastAsia" w:ascii="仿宋" w:hAnsi="仿宋" w:eastAsia="仿宋" w:cs="FZSSK--GBK1-0"/>
          <w:b/>
          <w:kern w:val="0"/>
          <w:sz w:val="28"/>
          <w:szCs w:val="28"/>
          <w:highlight w:val="none"/>
          <w:lang w:eastAsia="zh-CN"/>
        </w:rPr>
        <w:t>湖南银行</w:t>
      </w:r>
      <w:r>
        <w:rPr>
          <w:rFonts w:hint="eastAsia" w:ascii="仿宋" w:hAnsi="仿宋" w:eastAsia="仿宋"/>
          <w:b/>
          <w:sz w:val="28"/>
          <w:szCs w:val="28"/>
          <w:highlight w:val="none"/>
        </w:rPr>
        <w:t>营业网点进行查询】。</w:t>
      </w:r>
    </w:p>
    <w:p>
      <w:pPr>
        <w:pStyle w:val="19"/>
        <w:numPr>
          <w:ilvl w:val="0"/>
          <w:numId w:val="1"/>
        </w:numPr>
        <w:spacing w:before="30" w:line="298" w:lineRule="auto"/>
        <w:ind w:right="1503" w:firstLineChars="0"/>
        <w:rPr>
          <w:rFonts w:ascii="仿宋" w:hAnsi="仿宋" w:eastAsia="仿宋"/>
          <w:b/>
          <w:bCs/>
          <w:sz w:val="28"/>
          <w:szCs w:val="28"/>
          <w:highlight w:val="none"/>
        </w:rPr>
      </w:pPr>
      <w:r>
        <w:rPr>
          <w:rFonts w:hint="eastAsia" w:ascii="仿宋" w:hAnsi="仿宋" w:eastAsia="仿宋"/>
          <w:b/>
          <w:bCs/>
          <w:sz w:val="28"/>
          <w:szCs w:val="28"/>
          <w:highlight w:val="none"/>
        </w:rPr>
        <w:t>客户对银行理财产品的投诉方式和程序</w:t>
      </w:r>
    </w:p>
    <w:p>
      <w:pPr>
        <w:spacing w:line="300" w:lineRule="auto"/>
        <w:ind w:right="688" w:firstLine="560" w:firstLineChars="200"/>
        <w:rPr>
          <w:rStyle w:val="11"/>
          <w:rFonts w:ascii="仿宋" w:hAnsi="仿宋" w:eastAsia="仿宋"/>
          <w:sz w:val="28"/>
          <w:szCs w:val="28"/>
          <w:highlight w:val="none"/>
        </w:rPr>
      </w:pPr>
      <w:r>
        <w:rPr>
          <w:rFonts w:hint="eastAsia" w:ascii="仿宋" w:hAnsi="仿宋" w:eastAsia="仿宋"/>
          <w:sz w:val="28"/>
          <w:szCs w:val="28"/>
          <w:highlight w:val="none"/>
        </w:rPr>
        <w:t>如您对本理财产品、招银理财以及</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服务有任何</w:t>
      </w:r>
      <w:bookmarkStart w:id="0" w:name="_GoBack"/>
      <w:bookmarkEnd w:id="0"/>
      <w:r>
        <w:rPr>
          <w:rFonts w:hint="eastAsia" w:ascii="仿宋" w:hAnsi="仿宋" w:eastAsia="仿宋"/>
          <w:sz w:val="28"/>
          <w:szCs w:val="28"/>
          <w:highlight w:val="none"/>
        </w:rPr>
        <w:t>意见和建议，可通过【</w:t>
      </w:r>
      <w:r>
        <w:rPr>
          <w:rFonts w:hint="eastAsia" w:ascii="仿宋" w:hAnsi="仿宋" w:eastAsia="仿宋" w:cs="FZSSK--GBK1-0"/>
          <w:bCs/>
          <w:kern w:val="0"/>
          <w:sz w:val="28"/>
          <w:szCs w:val="28"/>
          <w:highlight w:val="none"/>
          <w:lang w:eastAsia="zh-CN"/>
        </w:rPr>
        <w:t>湖南银行</w:t>
      </w:r>
      <w:r>
        <w:rPr>
          <w:rFonts w:hint="eastAsia" w:ascii="仿宋" w:hAnsi="仿宋" w:eastAsia="仿宋"/>
          <w:sz w:val="28"/>
          <w:szCs w:val="28"/>
          <w:highlight w:val="none"/>
        </w:rPr>
        <w:t>营业网点工作人员、</w:t>
      </w:r>
      <w:r>
        <w:rPr>
          <w:rFonts w:hint="eastAsia" w:ascii="仿宋" w:hAnsi="仿宋" w:eastAsia="仿宋"/>
          <w:sz w:val="28"/>
          <w:szCs w:val="28"/>
          <w:highlight w:val="none"/>
          <w:lang w:eastAsia="zh-CN"/>
        </w:rPr>
        <w:t>0731-96599</w:t>
      </w:r>
      <w:r>
        <w:rPr>
          <w:rFonts w:hint="eastAsia" w:ascii="仿宋" w:hAnsi="仿宋" w:eastAsia="仿宋"/>
          <w:sz w:val="28"/>
          <w:szCs w:val="28"/>
          <w:highlight w:val="none"/>
        </w:rPr>
        <w:t>客户服务电话以及官网https://www.hunan-bank.com</w:t>
      </w:r>
      <w:r>
        <w:rPr>
          <w:rStyle w:val="11"/>
          <w:rFonts w:hint="eastAsia" w:ascii="仿宋" w:hAnsi="仿宋" w:eastAsia="仿宋"/>
          <w:sz w:val="28"/>
          <w:szCs w:val="28"/>
          <w:highlight w:val="none"/>
        </w:rPr>
        <w:t>】进行反映，</w:t>
      </w:r>
      <w:r>
        <w:rPr>
          <w:rStyle w:val="11"/>
          <w:rFonts w:hint="eastAsia" w:ascii="仿宋" w:hAnsi="仿宋" w:eastAsia="仿宋"/>
          <w:sz w:val="28"/>
          <w:szCs w:val="28"/>
          <w:highlight w:val="none"/>
          <w:lang w:eastAsia="zh-CN"/>
        </w:rPr>
        <w:t>湖南银行</w:t>
      </w:r>
      <w:r>
        <w:rPr>
          <w:rStyle w:val="11"/>
          <w:rFonts w:hint="eastAsia" w:ascii="仿宋" w:hAnsi="仿宋" w:eastAsia="仿宋"/>
          <w:sz w:val="28"/>
          <w:szCs w:val="28"/>
          <w:highlight w:val="none"/>
        </w:rPr>
        <w:t>将予以受理。</w:t>
      </w:r>
    </w:p>
    <w:p>
      <w:pPr>
        <w:snapToGrid w:val="0"/>
        <w:spacing w:before="156" w:beforeLines="50" w:line="360" w:lineRule="auto"/>
        <w:ind w:firstLine="560" w:firstLineChars="200"/>
        <w:rPr>
          <w:rFonts w:ascii="仿宋" w:hAnsi="仿宋" w:eastAsia="仿宋"/>
          <w:b/>
          <w:sz w:val="28"/>
          <w:szCs w:val="28"/>
          <w:highlight w:val="none"/>
        </w:rPr>
      </w:pPr>
      <w:r>
        <w:rPr>
          <w:rFonts w:ascii="仿宋" w:hAnsi="仿宋" w:eastAsia="仿宋"/>
          <w:sz w:val="28"/>
          <w:szCs w:val="28"/>
          <w:highlight w:val="none"/>
        </w:rPr>
        <w:t>如您对所购买的理财计划有任何意见或建议，还可以联系产品管理人</w:t>
      </w:r>
      <w:r>
        <w:rPr>
          <w:rFonts w:hint="eastAsia" w:ascii="仿宋" w:hAnsi="仿宋" w:eastAsia="仿宋"/>
          <w:sz w:val="28"/>
          <w:szCs w:val="28"/>
          <w:highlight w:val="none"/>
        </w:rPr>
        <w:t>，以下是</w:t>
      </w:r>
      <w:r>
        <w:rPr>
          <w:rFonts w:ascii="仿宋" w:hAnsi="仿宋" w:eastAsia="仿宋"/>
          <w:sz w:val="28"/>
          <w:szCs w:val="28"/>
          <w:highlight w:val="none"/>
        </w:rPr>
        <w:t>产品管理人</w:t>
      </w:r>
      <w:r>
        <w:rPr>
          <w:rFonts w:hint="eastAsia" w:ascii="仿宋" w:hAnsi="仿宋" w:eastAsia="仿宋"/>
          <w:sz w:val="28"/>
          <w:szCs w:val="28"/>
          <w:highlight w:val="none"/>
        </w:rPr>
        <w:t>投诉受理联系方式，</w:t>
      </w:r>
      <w:r>
        <w:rPr>
          <w:rFonts w:ascii="仿宋" w:hAnsi="仿宋" w:eastAsia="仿宋"/>
          <w:sz w:val="28"/>
          <w:szCs w:val="28"/>
          <w:highlight w:val="none"/>
        </w:rPr>
        <w:t>产品管理人将及时受理并给予答复。</w:t>
      </w:r>
    </w:p>
    <w:p>
      <w:pPr>
        <w:snapToGrid w:val="0"/>
        <w:spacing w:before="156" w:beforeLines="50"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招银理财投诉邮箱：</w:t>
      </w:r>
      <w:r>
        <w:rPr>
          <w:highlight w:val="none"/>
        </w:rPr>
        <w:fldChar w:fldCharType="begin"/>
      </w:r>
      <w:r>
        <w:rPr>
          <w:highlight w:val="none"/>
        </w:rPr>
        <w:instrText xml:space="preserve"> HYPERLINK "mailto:cmbwm_service@cmbchina.com" </w:instrText>
      </w:r>
      <w:r>
        <w:rPr>
          <w:highlight w:val="none"/>
        </w:rPr>
        <w:fldChar w:fldCharType="separate"/>
      </w:r>
      <w:r>
        <w:rPr>
          <w:rStyle w:val="11"/>
          <w:rFonts w:ascii="仿宋" w:hAnsi="仿宋" w:eastAsia="仿宋"/>
          <w:sz w:val="28"/>
          <w:szCs w:val="28"/>
          <w:highlight w:val="none"/>
        </w:rPr>
        <w:t>cmbwm_service@cmbchina.com</w:t>
      </w:r>
      <w:r>
        <w:rPr>
          <w:rStyle w:val="11"/>
          <w:rFonts w:ascii="仿宋" w:hAnsi="仿宋" w:eastAsia="仿宋"/>
          <w:sz w:val="28"/>
          <w:szCs w:val="28"/>
          <w:highlight w:val="none"/>
        </w:rPr>
        <w:fldChar w:fldCharType="end"/>
      </w:r>
    </w:p>
    <w:p>
      <w:pPr>
        <w:snapToGrid w:val="0"/>
        <w:spacing w:before="156" w:beforeLines="50"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投诉处理流程详见招银理财官网主页（</w:t>
      </w:r>
      <w:r>
        <w:rPr>
          <w:highlight w:val="none"/>
        </w:rPr>
        <w:fldChar w:fldCharType="begin"/>
      </w:r>
      <w:r>
        <w:rPr>
          <w:highlight w:val="none"/>
        </w:rPr>
        <w:instrText xml:space="preserve"> HYPERLINK "http://www.cmbchinawm.com" </w:instrText>
      </w:r>
      <w:r>
        <w:rPr>
          <w:highlight w:val="none"/>
        </w:rPr>
        <w:fldChar w:fldCharType="separate"/>
      </w:r>
      <w:r>
        <w:rPr>
          <w:rStyle w:val="11"/>
          <w:rFonts w:ascii="仿宋" w:hAnsi="仿宋" w:eastAsia="仿宋"/>
          <w:sz w:val="28"/>
          <w:szCs w:val="28"/>
          <w:highlight w:val="none"/>
        </w:rPr>
        <w:t>www.cmbchinawm.com</w:t>
      </w:r>
      <w:r>
        <w:rPr>
          <w:rStyle w:val="11"/>
          <w:rFonts w:ascii="仿宋" w:hAnsi="仿宋" w:eastAsia="仿宋"/>
          <w:sz w:val="28"/>
          <w:szCs w:val="28"/>
          <w:highlight w:val="none"/>
        </w:rPr>
        <w:fldChar w:fldCharType="end"/>
      </w:r>
      <w:r>
        <w:rPr>
          <w:rFonts w:ascii="仿宋" w:hAnsi="仿宋" w:eastAsia="仿宋"/>
          <w:sz w:val="28"/>
          <w:szCs w:val="28"/>
          <w:highlight w:val="none"/>
        </w:rPr>
        <w:t>）</w:t>
      </w:r>
      <w:r>
        <w:rPr>
          <w:rFonts w:hint="eastAsia" w:ascii="仿宋" w:hAnsi="仿宋" w:eastAsia="仿宋"/>
          <w:sz w:val="28"/>
          <w:szCs w:val="28"/>
          <w:highlight w:val="none"/>
        </w:rPr>
        <w:t>。</w:t>
      </w:r>
    </w:p>
    <w:p>
      <w:pPr>
        <w:spacing w:line="300" w:lineRule="auto"/>
        <w:ind w:right="688"/>
        <w:rPr>
          <w:rFonts w:ascii="仿宋" w:hAnsi="仿宋" w:eastAsia="仿宋"/>
          <w:b/>
          <w:bCs/>
          <w:sz w:val="28"/>
          <w:szCs w:val="28"/>
          <w:highlight w:val="none"/>
        </w:rPr>
      </w:pPr>
      <w:r>
        <w:rPr>
          <w:rFonts w:hint="eastAsia" w:ascii="仿宋" w:hAnsi="仿宋" w:eastAsia="仿宋"/>
          <w:b/>
          <w:bCs/>
          <w:sz w:val="28"/>
          <w:szCs w:val="28"/>
          <w:highlight w:val="none"/>
        </w:rPr>
        <w:t>三、参与主体：</w:t>
      </w:r>
    </w:p>
    <w:p>
      <w:pPr>
        <w:spacing w:line="300" w:lineRule="auto"/>
        <w:ind w:left="524" w:right="688" w:firstLine="324" w:firstLineChars="116"/>
        <w:rPr>
          <w:rFonts w:ascii="仿宋" w:hAnsi="仿宋" w:eastAsia="仿宋"/>
          <w:sz w:val="28"/>
          <w:szCs w:val="28"/>
          <w:highlight w:val="none"/>
        </w:rPr>
      </w:pPr>
      <w:r>
        <w:rPr>
          <w:rFonts w:hint="eastAsia" w:ascii="仿宋" w:hAnsi="仿宋" w:eastAsia="仿宋"/>
          <w:sz w:val="28"/>
          <w:szCs w:val="28"/>
          <w:highlight w:val="none"/>
        </w:rPr>
        <w:t>产品管理人：招银理财有限责任公司</w:t>
      </w:r>
    </w:p>
    <w:p>
      <w:pPr>
        <w:spacing w:line="300" w:lineRule="auto"/>
        <w:ind w:left="524" w:right="688" w:firstLine="324" w:firstLineChars="116"/>
        <w:rPr>
          <w:rFonts w:ascii="仿宋" w:hAnsi="仿宋" w:eastAsia="仿宋"/>
          <w:sz w:val="28"/>
          <w:szCs w:val="28"/>
          <w:highlight w:val="none"/>
        </w:rPr>
      </w:pPr>
      <w:r>
        <w:rPr>
          <w:rFonts w:hint="eastAsia" w:ascii="仿宋" w:hAnsi="仿宋" w:eastAsia="仿宋"/>
          <w:sz w:val="28"/>
          <w:szCs w:val="28"/>
          <w:highlight w:val="none"/>
        </w:rPr>
        <w:t>销售服务机构：湖南银行股份有限公司</w:t>
      </w:r>
      <w:r>
        <w:rPr>
          <w:rFonts w:hint="eastAsia" w:ascii="华文仿宋" w:hAnsi="华文仿宋" w:eastAsia="华文仿宋" w:cs="宋体"/>
          <w:bCs/>
          <w:color w:val="000000" w:themeColor="text1"/>
          <w:sz w:val="24"/>
          <w:szCs w:val="24"/>
          <w14:textFill>
            <w14:solidFill>
              <w14:schemeClr w14:val="tx1"/>
            </w14:solidFill>
          </w14:textFill>
        </w:rPr>
        <w:t>　</w:t>
      </w:r>
    </w:p>
    <w:p>
      <w:pPr>
        <w:pStyle w:val="19"/>
        <w:numPr>
          <w:ilvl w:val="0"/>
          <w:numId w:val="2"/>
        </w:numPr>
        <w:spacing w:line="300" w:lineRule="auto"/>
        <w:ind w:right="688" w:firstLineChars="0"/>
        <w:rPr>
          <w:rFonts w:ascii="仿宋" w:hAnsi="仿宋" w:eastAsia="仿宋"/>
          <w:b/>
          <w:bCs/>
          <w:sz w:val="28"/>
          <w:szCs w:val="28"/>
          <w:highlight w:val="none"/>
        </w:rPr>
      </w:pPr>
      <w:r>
        <w:rPr>
          <w:rFonts w:hint="eastAsia" w:ascii="仿宋" w:hAnsi="仿宋" w:eastAsia="仿宋"/>
          <w:b/>
          <w:bCs/>
          <w:sz w:val="28"/>
          <w:szCs w:val="28"/>
          <w:highlight w:val="none"/>
        </w:rPr>
        <w:t>联系方式：</w:t>
      </w:r>
    </w:p>
    <w:p>
      <w:pPr>
        <w:spacing w:line="300" w:lineRule="auto"/>
        <w:ind w:left="524" w:right="688" w:firstLine="467" w:firstLineChars="167"/>
        <w:rPr>
          <w:rFonts w:ascii="仿宋" w:hAnsi="仿宋" w:eastAsia="仿宋"/>
          <w:sz w:val="28"/>
          <w:szCs w:val="28"/>
          <w:highlight w:val="none"/>
        </w:rPr>
      </w:pPr>
      <w:r>
        <w:rPr>
          <w:rFonts w:hint="eastAsia" w:ascii="仿宋" w:hAnsi="仿宋" w:eastAsia="仿宋"/>
          <w:sz w:val="28"/>
          <w:szCs w:val="28"/>
          <w:highlight w:val="none"/>
        </w:rPr>
        <w:t>招银理财有限责任公司：</w:t>
      </w:r>
    </w:p>
    <w:p>
      <w:pPr>
        <w:spacing w:line="300" w:lineRule="auto"/>
        <w:ind w:left="524" w:right="688" w:firstLine="467" w:firstLineChars="167"/>
        <w:rPr>
          <w:rFonts w:ascii="仿宋" w:hAnsi="仿宋" w:eastAsia="仿宋"/>
          <w:sz w:val="28"/>
          <w:szCs w:val="28"/>
          <w:highlight w:val="none"/>
        </w:rPr>
      </w:pPr>
      <w:r>
        <w:rPr>
          <w:rFonts w:hint="eastAsia" w:ascii="仿宋" w:hAnsi="仿宋" w:eastAsia="仿宋"/>
          <w:sz w:val="28"/>
          <w:szCs w:val="28"/>
          <w:highlight w:val="none"/>
        </w:rPr>
        <w:t>地址：深圳市科苑南路2700号华润金融大厦17-20层</w:t>
      </w:r>
    </w:p>
    <w:p>
      <w:pPr>
        <w:spacing w:line="300" w:lineRule="auto"/>
        <w:ind w:left="524" w:right="688" w:firstLine="467" w:firstLineChars="167"/>
        <w:rPr>
          <w:rFonts w:ascii="仿宋" w:hAnsi="仿宋" w:eastAsia="仿宋"/>
          <w:sz w:val="28"/>
          <w:szCs w:val="28"/>
          <w:highlight w:val="none"/>
        </w:rPr>
      </w:pPr>
      <w:r>
        <w:rPr>
          <w:rFonts w:hint="eastAsia" w:ascii="仿宋" w:hAnsi="仿宋" w:eastAsia="仿宋"/>
          <w:sz w:val="28"/>
          <w:szCs w:val="28"/>
          <w:highlight w:val="none"/>
        </w:rPr>
        <w:t>湖南银行股份有限公司：</w:t>
      </w:r>
    </w:p>
    <w:p>
      <w:pPr>
        <w:spacing w:line="300" w:lineRule="auto"/>
        <w:ind w:left="524" w:right="688" w:firstLine="467" w:firstLineChars="167"/>
        <w:rPr>
          <w:rFonts w:hint="eastAsia" w:ascii="仿宋" w:hAnsi="仿宋" w:eastAsia="仿宋"/>
          <w:sz w:val="28"/>
          <w:szCs w:val="28"/>
          <w:highlight w:val="none"/>
        </w:rPr>
      </w:pPr>
      <w:r>
        <w:rPr>
          <w:rFonts w:hint="eastAsia" w:ascii="仿宋" w:hAnsi="仿宋" w:eastAsia="仿宋"/>
          <w:sz w:val="28"/>
          <w:szCs w:val="28"/>
          <w:highlight w:val="none"/>
        </w:rPr>
        <w:t xml:space="preserve">网址：https://www.hunan-bank.com </w:t>
      </w:r>
    </w:p>
    <w:p>
      <w:pPr>
        <w:spacing w:line="300" w:lineRule="auto"/>
        <w:ind w:left="524" w:right="688" w:firstLine="467" w:firstLineChars="167"/>
        <w:rPr>
          <w:rFonts w:hint="eastAsia" w:ascii="仿宋" w:hAnsi="仿宋" w:eastAsia="仿宋"/>
          <w:sz w:val="28"/>
          <w:szCs w:val="28"/>
          <w:highlight w:val="none"/>
          <w:lang w:val="en-US" w:eastAsia="zh-CN"/>
        </w:rPr>
      </w:pPr>
      <w:r>
        <w:rPr>
          <w:rFonts w:hint="eastAsia" w:ascii="仿宋" w:hAnsi="仿宋" w:eastAsia="仿宋"/>
          <w:sz w:val="28"/>
          <w:szCs w:val="28"/>
          <w:highlight w:val="none"/>
        </w:rPr>
        <w:t>全国统一客户服务热线：</w:t>
      </w:r>
      <w:r>
        <w:rPr>
          <w:rFonts w:hint="eastAsia" w:ascii="仿宋" w:hAnsi="仿宋" w:eastAsia="仿宋"/>
          <w:sz w:val="28"/>
          <w:szCs w:val="28"/>
          <w:highlight w:val="none"/>
          <w:lang w:eastAsia="zh-CN"/>
        </w:rPr>
        <w:t>0731-96599</w:t>
      </w:r>
    </w:p>
    <w:p>
      <w:pPr>
        <w:spacing w:before="66" w:line="300" w:lineRule="auto"/>
        <w:ind w:right="1503"/>
        <w:rPr>
          <w:rFonts w:ascii="仿宋" w:hAnsi="仿宋" w:eastAsia="仿宋"/>
          <w:sz w:val="28"/>
          <w:szCs w:val="28"/>
          <w:highlight w:val="none"/>
        </w:rPr>
      </w:pPr>
    </w:p>
    <w:p>
      <w:pPr>
        <w:jc w:val="right"/>
        <w:rPr>
          <w:rFonts w:ascii="仿宋" w:hAnsi="仿宋" w:eastAsia="仿宋" w:cs="FZSSK--GBK1-0"/>
          <w:b/>
          <w:bCs/>
          <w:kern w:val="0"/>
          <w:sz w:val="28"/>
          <w:szCs w:val="28"/>
          <w:highlight w:val="none"/>
        </w:rPr>
      </w:pPr>
    </w:p>
    <w:p>
      <w:pPr>
        <w:jc w:val="right"/>
        <w:rPr>
          <w:rFonts w:ascii="仿宋" w:hAnsi="仿宋" w:eastAsia="仿宋"/>
          <w:sz w:val="28"/>
          <w:szCs w:val="28"/>
          <w:highlight w:val="none"/>
        </w:rPr>
      </w:pPr>
      <w:r>
        <w:rPr>
          <w:rFonts w:hint="eastAsia" w:ascii="仿宋" w:hAnsi="仿宋" w:eastAsia="仿宋" w:cs="FZSSK--GBK1-0"/>
          <w:b/>
          <w:bCs/>
          <w:kern w:val="0"/>
          <w:sz w:val="28"/>
          <w:szCs w:val="28"/>
          <w:highlight w:val="none"/>
        </w:rPr>
        <w:t>招银理财有限责任公司</w:t>
      </w: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ZSSK--GBK1-0">
    <w:altName w:val="微软雅黑"/>
    <w:panose1 w:val="00000000000000000000"/>
    <w:charset w:val="86"/>
    <w:family w:val="auto"/>
    <w:pitch w:val="default"/>
    <w:sig w:usb0="00000000" w:usb1="00000000" w:usb2="00000010" w:usb3="00000000" w:csb0="00040000" w:csb1="00000000"/>
  </w:font>
  <w:font w:name="彩虹粗仿宋">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Segoe Print"/>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cs="FZSSK--GBK1-0"/>
        <w:kern w:val="0"/>
        <w:sz w:val="20"/>
        <w:szCs w:val="20"/>
      </w:rPr>
    </w:pPr>
    <w:r>
      <w:rPr>
        <w:rFonts w:hint="eastAsia" w:ascii="仿宋" w:hAnsi="仿宋" w:eastAsia="仿宋" w:cs="FZSSK--GBK1-0"/>
        <w:kern w:val="0"/>
        <w:sz w:val="20"/>
        <w:szCs w:val="20"/>
      </w:rPr>
      <w:t xml:space="preserve">招银理财有限责任公司理财产品投资者权益须知 </w:t>
    </w:r>
    <w:r>
      <w:rPr>
        <w:rFonts w:ascii="仿宋" w:hAnsi="仿宋" w:eastAsia="仿宋" w:cs="FZSSK--GBK1-0"/>
        <w:kern w:val="0"/>
        <w:sz w:val="20"/>
        <w:szCs w:val="20"/>
      </w:rPr>
      <w:t xml:space="preserve"> </w:t>
    </w:r>
    <w:r>
      <w:rPr>
        <w:rFonts w:hint="eastAsia" w:ascii="仿宋" w:hAnsi="仿宋" w:eastAsia="仿宋"/>
        <w:sz w:val="20"/>
        <w:szCs w:val="20"/>
      </w:rPr>
      <w:t>第</w:t>
    </w:r>
    <w:r>
      <w:rPr>
        <w:rFonts w:ascii="仿宋" w:hAnsi="仿宋" w:eastAsia="仿宋"/>
        <w:sz w:val="20"/>
        <w:szCs w:val="20"/>
      </w:rPr>
      <w:fldChar w:fldCharType="begin"/>
    </w:r>
    <w:r>
      <w:rPr>
        <w:rFonts w:ascii="仿宋" w:hAnsi="仿宋" w:eastAsia="仿宋"/>
        <w:sz w:val="20"/>
        <w:szCs w:val="20"/>
      </w:rPr>
      <w:instrText xml:space="preserve"> PAGE   \* MERGEFORMAT </w:instrText>
    </w:r>
    <w:r>
      <w:rPr>
        <w:rFonts w:ascii="仿宋" w:hAnsi="仿宋" w:eastAsia="仿宋"/>
        <w:sz w:val="20"/>
        <w:szCs w:val="20"/>
      </w:rPr>
      <w:fldChar w:fldCharType="separate"/>
    </w:r>
    <w:r>
      <w:rPr>
        <w:rFonts w:ascii="仿宋" w:hAnsi="仿宋" w:eastAsia="仿宋"/>
        <w:sz w:val="20"/>
        <w:szCs w:val="20"/>
      </w:rPr>
      <w:t>4</w:t>
    </w:r>
    <w:r>
      <w:rPr>
        <w:rFonts w:ascii="仿宋" w:hAnsi="仿宋" w:eastAsia="仿宋"/>
        <w:sz w:val="20"/>
        <w:szCs w:val="20"/>
      </w:rPr>
      <w:fldChar w:fldCharType="end"/>
    </w:r>
    <w:r>
      <w:rPr>
        <w:rFonts w:hint="eastAsia" w:ascii="仿宋" w:hAnsi="仿宋" w:eastAsia="仿宋"/>
        <w:sz w:val="20"/>
        <w:szCs w:val="20"/>
      </w:rPr>
      <w:t>页（共</w:t>
    </w:r>
    <w:r>
      <w:rPr>
        <w:rFonts w:ascii="仿宋" w:hAnsi="仿宋" w:eastAsia="仿宋"/>
        <w:sz w:val="20"/>
        <w:szCs w:val="20"/>
      </w:rPr>
      <w:t>5</w:t>
    </w:r>
    <w:r>
      <w:rPr>
        <w:rFonts w:hint="eastAsia" w:ascii="仿宋" w:hAnsi="仿宋" w:eastAsia="仿宋"/>
        <w:sz w:val="20"/>
        <w:szCs w:val="20"/>
      </w:rPr>
      <w:t>页）</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E6724"/>
    <w:multiLevelType w:val="multilevel"/>
    <w:tmpl w:val="1CAE6724"/>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5F4B4B"/>
    <w:multiLevelType w:val="multilevel"/>
    <w:tmpl w:val="7B5F4B4B"/>
    <w:lvl w:ilvl="0" w:tentative="0">
      <w:start w:val="2"/>
      <w:numFmt w:val="japaneseCounting"/>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4NTcyYWRlZmM4OGU1MDNhN2JjZWUxMWUxYmRlZDcifQ=="/>
  </w:docVars>
  <w:rsids>
    <w:rsidRoot w:val="00F94BBA"/>
    <w:rsid w:val="00015127"/>
    <w:rsid w:val="00021268"/>
    <w:rsid w:val="00043D81"/>
    <w:rsid w:val="00045019"/>
    <w:rsid w:val="000637A3"/>
    <w:rsid w:val="00074BDC"/>
    <w:rsid w:val="0008068C"/>
    <w:rsid w:val="000B7E70"/>
    <w:rsid w:val="00141E8A"/>
    <w:rsid w:val="00184593"/>
    <w:rsid w:val="00194E4C"/>
    <w:rsid w:val="001A6DE3"/>
    <w:rsid w:val="001B1D7D"/>
    <w:rsid w:val="001F69BF"/>
    <w:rsid w:val="00200417"/>
    <w:rsid w:val="002144C0"/>
    <w:rsid w:val="00223EB6"/>
    <w:rsid w:val="002459FF"/>
    <w:rsid w:val="00250358"/>
    <w:rsid w:val="00262926"/>
    <w:rsid w:val="00275F04"/>
    <w:rsid w:val="002800B8"/>
    <w:rsid w:val="002C4C17"/>
    <w:rsid w:val="002C54A6"/>
    <w:rsid w:val="002C70C6"/>
    <w:rsid w:val="002D1F72"/>
    <w:rsid w:val="002D7271"/>
    <w:rsid w:val="002E7401"/>
    <w:rsid w:val="00317651"/>
    <w:rsid w:val="00320110"/>
    <w:rsid w:val="00325C15"/>
    <w:rsid w:val="003323EC"/>
    <w:rsid w:val="00336A64"/>
    <w:rsid w:val="003A4D3A"/>
    <w:rsid w:val="00403049"/>
    <w:rsid w:val="00410E65"/>
    <w:rsid w:val="00432DA9"/>
    <w:rsid w:val="00443FCB"/>
    <w:rsid w:val="0045256E"/>
    <w:rsid w:val="00457254"/>
    <w:rsid w:val="00473646"/>
    <w:rsid w:val="00474A49"/>
    <w:rsid w:val="00492B58"/>
    <w:rsid w:val="004A3ECD"/>
    <w:rsid w:val="004E77BB"/>
    <w:rsid w:val="00532D8F"/>
    <w:rsid w:val="00553333"/>
    <w:rsid w:val="00571F60"/>
    <w:rsid w:val="005A1A3B"/>
    <w:rsid w:val="005C4792"/>
    <w:rsid w:val="005E5D92"/>
    <w:rsid w:val="00606C38"/>
    <w:rsid w:val="006222B1"/>
    <w:rsid w:val="0063311C"/>
    <w:rsid w:val="00640C30"/>
    <w:rsid w:val="00682901"/>
    <w:rsid w:val="00695764"/>
    <w:rsid w:val="006A7F19"/>
    <w:rsid w:val="006B57AD"/>
    <w:rsid w:val="006D0AFA"/>
    <w:rsid w:val="006E2845"/>
    <w:rsid w:val="006F7144"/>
    <w:rsid w:val="007124CB"/>
    <w:rsid w:val="00727441"/>
    <w:rsid w:val="007560AC"/>
    <w:rsid w:val="007A1EEA"/>
    <w:rsid w:val="007C1E22"/>
    <w:rsid w:val="007C2BF9"/>
    <w:rsid w:val="007D0B28"/>
    <w:rsid w:val="007D46C5"/>
    <w:rsid w:val="0080329A"/>
    <w:rsid w:val="008062CF"/>
    <w:rsid w:val="008327F1"/>
    <w:rsid w:val="00836D6E"/>
    <w:rsid w:val="008370C0"/>
    <w:rsid w:val="008A24BE"/>
    <w:rsid w:val="008A3F7A"/>
    <w:rsid w:val="008A6F65"/>
    <w:rsid w:val="008D615E"/>
    <w:rsid w:val="008D6923"/>
    <w:rsid w:val="00905B69"/>
    <w:rsid w:val="009071D1"/>
    <w:rsid w:val="00915E0B"/>
    <w:rsid w:val="0094459C"/>
    <w:rsid w:val="00946352"/>
    <w:rsid w:val="00972596"/>
    <w:rsid w:val="00983A8B"/>
    <w:rsid w:val="00984963"/>
    <w:rsid w:val="009855D9"/>
    <w:rsid w:val="009A4763"/>
    <w:rsid w:val="009A4DB8"/>
    <w:rsid w:val="009B591F"/>
    <w:rsid w:val="009B6784"/>
    <w:rsid w:val="009C35AB"/>
    <w:rsid w:val="009C5328"/>
    <w:rsid w:val="009D58FE"/>
    <w:rsid w:val="009E64F4"/>
    <w:rsid w:val="009F46B2"/>
    <w:rsid w:val="00A21B8E"/>
    <w:rsid w:val="00A3294E"/>
    <w:rsid w:val="00A45E08"/>
    <w:rsid w:val="00A66A33"/>
    <w:rsid w:val="00A67B4A"/>
    <w:rsid w:val="00A861CE"/>
    <w:rsid w:val="00A90DD2"/>
    <w:rsid w:val="00AD4DF2"/>
    <w:rsid w:val="00AE3948"/>
    <w:rsid w:val="00B14A3F"/>
    <w:rsid w:val="00B226DC"/>
    <w:rsid w:val="00B626C0"/>
    <w:rsid w:val="00B62942"/>
    <w:rsid w:val="00B67074"/>
    <w:rsid w:val="00B76B8E"/>
    <w:rsid w:val="00BC02C3"/>
    <w:rsid w:val="00BD0449"/>
    <w:rsid w:val="00BD4083"/>
    <w:rsid w:val="00BE403F"/>
    <w:rsid w:val="00BF6DED"/>
    <w:rsid w:val="00C32AE7"/>
    <w:rsid w:val="00C46807"/>
    <w:rsid w:val="00C5053F"/>
    <w:rsid w:val="00C607C2"/>
    <w:rsid w:val="00CA550A"/>
    <w:rsid w:val="00CB1AA4"/>
    <w:rsid w:val="00CC52FD"/>
    <w:rsid w:val="00CF0CDF"/>
    <w:rsid w:val="00CF44CC"/>
    <w:rsid w:val="00D003A7"/>
    <w:rsid w:val="00D330CA"/>
    <w:rsid w:val="00D405CC"/>
    <w:rsid w:val="00D57D7D"/>
    <w:rsid w:val="00D91F1A"/>
    <w:rsid w:val="00DA2D1D"/>
    <w:rsid w:val="00DB693C"/>
    <w:rsid w:val="00DF5B0A"/>
    <w:rsid w:val="00E0542C"/>
    <w:rsid w:val="00E17524"/>
    <w:rsid w:val="00E23157"/>
    <w:rsid w:val="00E824CB"/>
    <w:rsid w:val="00E84D8C"/>
    <w:rsid w:val="00EA255C"/>
    <w:rsid w:val="00EA5FDC"/>
    <w:rsid w:val="00EA7D1F"/>
    <w:rsid w:val="00EB021D"/>
    <w:rsid w:val="00EB390F"/>
    <w:rsid w:val="00EC034E"/>
    <w:rsid w:val="00EC3F1F"/>
    <w:rsid w:val="00EC5FF3"/>
    <w:rsid w:val="00EE48DF"/>
    <w:rsid w:val="00F42232"/>
    <w:rsid w:val="00F5596F"/>
    <w:rsid w:val="00F94BBA"/>
    <w:rsid w:val="00FB0DAF"/>
    <w:rsid w:val="00FC414D"/>
    <w:rsid w:val="00FD7DF8"/>
    <w:rsid w:val="00FE2EE7"/>
    <w:rsid w:val="00FE796B"/>
    <w:rsid w:val="00FF2D30"/>
    <w:rsid w:val="03144B06"/>
    <w:rsid w:val="049C34C9"/>
    <w:rsid w:val="04BA78CE"/>
    <w:rsid w:val="04E87E9C"/>
    <w:rsid w:val="07450A48"/>
    <w:rsid w:val="09482C61"/>
    <w:rsid w:val="0B904B07"/>
    <w:rsid w:val="0E8457DE"/>
    <w:rsid w:val="0EDF0924"/>
    <w:rsid w:val="1B1716E1"/>
    <w:rsid w:val="1E030E37"/>
    <w:rsid w:val="275156E0"/>
    <w:rsid w:val="27604855"/>
    <w:rsid w:val="27E524B5"/>
    <w:rsid w:val="2D1016C8"/>
    <w:rsid w:val="2DB520D0"/>
    <w:rsid w:val="2EE92D2D"/>
    <w:rsid w:val="30471F50"/>
    <w:rsid w:val="309F63EE"/>
    <w:rsid w:val="30F77FD8"/>
    <w:rsid w:val="34A70E0B"/>
    <w:rsid w:val="3944113F"/>
    <w:rsid w:val="3AD44AF5"/>
    <w:rsid w:val="3D2B6684"/>
    <w:rsid w:val="4B0C58A2"/>
    <w:rsid w:val="4CA21DF5"/>
    <w:rsid w:val="4F172343"/>
    <w:rsid w:val="4FD40531"/>
    <w:rsid w:val="5091746C"/>
    <w:rsid w:val="50FC0800"/>
    <w:rsid w:val="546A681E"/>
    <w:rsid w:val="5612779B"/>
    <w:rsid w:val="56A67A3D"/>
    <w:rsid w:val="5F5A1E3D"/>
    <w:rsid w:val="638B6225"/>
    <w:rsid w:val="662A142D"/>
    <w:rsid w:val="683A42D6"/>
    <w:rsid w:val="69140A20"/>
    <w:rsid w:val="6F067512"/>
    <w:rsid w:val="72867E26"/>
    <w:rsid w:val="7B7E782F"/>
    <w:rsid w:val="7EC246D1"/>
    <w:rsid w:val="7EDF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20"/>
    <w:unhideWhenUsed/>
    <w:qFormat/>
    <w:uiPriority w:val="1"/>
    <w:pPr>
      <w:spacing w:after="120"/>
    </w:pPr>
    <w:rPr>
      <w:rFonts w:ascii="Times New Roman" w:hAnsi="Times New Roman"/>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00"/>
      <w:u w:val="none"/>
    </w:rPr>
  </w:style>
  <w:style w:type="character" w:styleId="12">
    <w:name w:val="annotation reference"/>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华文楷体" w:hAnsi="Calibri" w:eastAsia="华文楷体" w:cs="华文楷体"/>
      <w:color w:val="000000"/>
      <w:sz w:val="24"/>
      <w:szCs w:val="24"/>
      <w:lang w:val="en-US" w:eastAsia="zh-CN" w:bidi="ar-SA"/>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paragraph" w:styleId="19">
    <w:name w:val="List Paragraph"/>
    <w:basedOn w:val="1"/>
    <w:qFormat/>
    <w:uiPriority w:val="34"/>
    <w:pPr>
      <w:ind w:firstLine="420" w:firstLineChars="200"/>
    </w:pPr>
  </w:style>
  <w:style w:type="character" w:customStyle="1" w:styleId="20">
    <w:name w:val="正文文本 字符"/>
    <w:basedOn w:val="10"/>
    <w:link w:val="3"/>
    <w:qFormat/>
    <w:uiPriority w:val="1"/>
    <w:rPr>
      <w:rFonts w:ascii="Times New Roman" w:hAnsi="Times New Roman" w:eastAsia="宋体" w:cs="Times New Roman"/>
      <w:szCs w:val="24"/>
    </w:rPr>
  </w:style>
  <w:style w:type="paragraph" w:customStyle="1" w:styleId="21">
    <w:name w:val="Table Paragraph"/>
    <w:basedOn w:val="1"/>
    <w:qFormat/>
    <w:uiPriority w:val="1"/>
    <w:pPr>
      <w:spacing w:line="249" w:lineRule="exact"/>
      <w:ind w:left="100"/>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B195-ACFE-45D6-AD44-9939CEF8EC2B}">
  <ds:schemaRefs/>
</ds:datastoreItem>
</file>

<file path=docProps/app.xml><?xml version="1.0" encoding="utf-8"?>
<Properties xmlns="http://schemas.openxmlformats.org/officeDocument/2006/extended-properties" xmlns:vt="http://schemas.openxmlformats.org/officeDocument/2006/docPropsVTypes">
  <Template>Normal.dotm</Template>
  <Company>CMB China HeadOffice</Company>
  <Pages>5</Pages>
  <Words>373</Words>
  <Characters>2130</Characters>
  <Lines>17</Lines>
  <Paragraphs>4</Paragraphs>
  <TotalTime>1</TotalTime>
  <ScaleCrop>false</ScaleCrop>
  <LinksUpToDate>false</LinksUpToDate>
  <CharactersWithSpaces>2499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2024-02-07T07:09:00Z</dcterms:created>
  <dc:creator>uclif</dc:creator>
  <cp:lastModifiedBy>80369612</cp:lastModifiedBy>
  <cp:lastPrinted>2021-01-20T08:28:00Z</cp:lastPrinted>
  <dcterms:modified xsi:type="dcterms:W3CDTF">2025-12-24T01:51:23Z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CC703251E7AB4458882C0676E3FECB54</vt:lpwstr>
  </property>
</Properties>
</file>