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jc w:val="center"/>
        <w:outlineLvl w:val="0"/>
        <w:rPr>
          <w:rFonts w:ascii="宋体" w:hAnsi="宋体" w:eastAsia="宋体"/>
          <w:b/>
          <w:color w:val="000000" w:themeColor="text1"/>
          <w:szCs w:val="20"/>
          <w14:textFill>
            <w14:solidFill>
              <w14:schemeClr w14:val="tx1"/>
            </w14:solidFill>
          </w14:textFill>
        </w:rPr>
      </w:pPr>
      <w:r>
        <w:rPr>
          <w:rFonts w:hint="eastAsia" w:ascii="宋体" w:hAnsi="宋体" w:eastAsia="宋体"/>
          <w:b/>
          <w:color w:val="000000" w:themeColor="text1"/>
          <w:sz w:val="36"/>
          <w:szCs w:val="32"/>
          <w14:textFill>
            <w14:solidFill>
              <w14:schemeClr w14:val="tx1"/>
            </w14:solidFill>
          </w14:textFill>
        </w:rPr>
        <w:t>中银理财</w:t>
      </w:r>
      <w:r>
        <w:rPr>
          <w:rFonts w:ascii="宋体" w:hAnsi="宋体" w:eastAsia="宋体"/>
          <w:b/>
          <w:color w:val="000000" w:themeColor="text1"/>
          <w:sz w:val="36"/>
          <w:szCs w:val="32"/>
          <w14:textFill>
            <w14:solidFill>
              <w14:schemeClr w14:val="tx1"/>
            </w14:solidFill>
          </w14:textFill>
        </w:rPr>
        <w:t>有限责任公司</w:t>
      </w:r>
      <w:r>
        <w:rPr>
          <w:rFonts w:hint="eastAsia" w:ascii="宋体" w:hAnsi="宋体" w:eastAsia="宋体"/>
          <w:b/>
          <w:color w:val="000000" w:themeColor="text1"/>
          <w:sz w:val="36"/>
          <w:szCs w:val="32"/>
          <w14:textFill>
            <w14:solidFill>
              <w14:schemeClr w14:val="tx1"/>
            </w14:solidFill>
          </w14:textFill>
        </w:rPr>
        <w:t>理财</w:t>
      </w:r>
      <w:r>
        <w:rPr>
          <w:rFonts w:ascii="宋体" w:hAnsi="宋体" w:eastAsia="宋体"/>
          <w:b/>
          <w:color w:val="000000" w:themeColor="text1"/>
          <w:sz w:val="36"/>
          <w:szCs w:val="32"/>
          <w14:textFill>
            <w14:solidFill>
              <w14:schemeClr w14:val="tx1"/>
            </w14:solidFill>
          </w14:textFill>
        </w:rPr>
        <w:t>产品</w:t>
      </w:r>
      <w:r>
        <w:rPr>
          <w:rFonts w:hint="eastAsia" w:ascii="宋体" w:hAnsi="宋体" w:eastAsia="宋体"/>
          <w:b/>
          <w:color w:val="000000" w:themeColor="text1"/>
          <w:sz w:val="36"/>
          <w:szCs w:val="32"/>
          <w14:textFill>
            <w14:solidFill>
              <w14:schemeClr w14:val="tx1"/>
            </w14:solidFill>
          </w14:textFill>
        </w:rPr>
        <w:t>风险揭示书</w:t>
      </w:r>
    </w:p>
    <w:p>
      <w:pPr>
        <w:rPr>
          <w:rFonts w:ascii="宋体" w:hAnsi="宋体" w:eastAsia="宋体"/>
          <w:b/>
          <w:color w:val="000000" w:themeColor="text1"/>
          <w:szCs w:val="20"/>
          <w14:textFill>
            <w14:solidFill>
              <w14:schemeClr w14:val="tx1"/>
            </w14:solidFill>
          </w14:textFill>
        </w:rPr>
      </w:pPr>
      <w:r>
        <w:rPr>
          <w:rFonts w:hint="eastAsia" w:ascii="宋体" w:hAnsi="宋体" w:eastAsia="宋体"/>
          <w:b/>
          <w:color w:val="000000" w:themeColor="text1"/>
          <w:szCs w:val="20"/>
          <w14:textFill>
            <w14:solidFill>
              <w14:schemeClr w14:val="tx1"/>
            </w14:solidFill>
          </w14:textFill>
        </w:rPr>
        <w:t>尊敬</w:t>
      </w:r>
      <w:r>
        <w:rPr>
          <w:rFonts w:ascii="宋体" w:hAnsi="宋体" w:eastAsia="宋体"/>
          <w:b/>
          <w:color w:val="000000" w:themeColor="text1"/>
          <w:szCs w:val="20"/>
          <w14:textFill>
            <w14:solidFill>
              <w14:schemeClr w14:val="tx1"/>
            </w14:solidFill>
          </w14:textFill>
        </w:rPr>
        <w:t>的投资者：</w:t>
      </w:r>
    </w:p>
    <w:p>
      <w:pPr>
        <w:rPr>
          <w:rFonts w:ascii="宋体" w:hAnsi="宋体" w:eastAsia="宋体"/>
          <w:color w:val="000000" w:themeColor="text1"/>
          <w:szCs w:val="20"/>
          <w14:textFill>
            <w14:solidFill>
              <w14:schemeClr w14:val="tx1"/>
            </w14:solidFill>
          </w14:textFill>
        </w:rPr>
      </w:pPr>
      <w:r>
        <w:rPr>
          <w:rFonts w:ascii="宋体" w:hAnsi="宋体" w:eastAsia="宋体"/>
          <w:color w:val="000000" w:themeColor="text1"/>
          <w:szCs w:val="20"/>
          <w14:textFill>
            <w14:solidFill>
              <w14:schemeClr w14:val="tx1"/>
            </w14:solidFill>
          </w14:textFill>
        </w:rPr>
        <w:tab/>
      </w:r>
      <w:r>
        <w:rPr>
          <w:rFonts w:hint="eastAsia" w:ascii="宋体" w:hAnsi="宋体" w:eastAsia="宋体"/>
          <w:color w:val="000000" w:themeColor="text1"/>
          <w:szCs w:val="20"/>
          <w14:textFill>
            <w14:solidFill>
              <w14:schemeClr w14:val="tx1"/>
            </w14:solidFill>
          </w14:textFill>
        </w:rPr>
        <w:t>由于</w:t>
      </w:r>
      <w:r>
        <w:rPr>
          <w:rFonts w:ascii="宋体" w:hAnsi="宋体" w:eastAsia="宋体"/>
          <w:color w:val="000000" w:themeColor="text1"/>
          <w:szCs w:val="20"/>
          <w14:textFill>
            <w14:solidFill>
              <w14:schemeClr w14:val="tx1"/>
            </w14:solidFill>
          </w14:textFill>
        </w:rPr>
        <w:t>理财</w:t>
      </w:r>
      <w:r>
        <w:rPr>
          <w:rFonts w:hint="eastAsia" w:ascii="宋体" w:hAnsi="宋体" w:eastAsia="宋体"/>
          <w:color w:val="000000" w:themeColor="text1"/>
          <w:szCs w:val="20"/>
          <w14:textFill>
            <w14:solidFill>
              <w14:schemeClr w14:val="tx1"/>
            </w14:solidFill>
          </w14:textFill>
        </w:rPr>
        <w:t>产品</w:t>
      </w:r>
      <w:r>
        <w:rPr>
          <w:rFonts w:ascii="宋体" w:hAnsi="宋体" w:eastAsia="宋体"/>
          <w:color w:val="000000" w:themeColor="text1"/>
          <w:szCs w:val="20"/>
          <w14:textFill>
            <w14:solidFill>
              <w14:schemeClr w14:val="tx1"/>
            </w14:solidFill>
          </w14:textFill>
        </w:rPr>
        <w:t>投资运作管理中</w:t>
      </w:r>
      <w:r>
        <w:rPr>
          <w:rFonts w:hint="eastAsia" w:ascii="宋体" w:hAnsi="宋体" w:eastAsia="宋体"/>
          <w:color w:val="000000" w:themeColor="text1"/>
          <w:szCs w:val="20"/>
          <w14:textFill>
            <w14:solidFill>
              <w14:schemeClr w14:val="tx1"/>
            </w14:solidFill>
          </w14:textFill>
        </w:rPr>
        <w:t>有可能面临</w:t>
      </w:r>
      <w:r>
        <w:rPr>
          <w:rFonts w:ascii="宋体" w:hAnsi="宋体" w:eastAsia="宋体"/>
          <w:color w:val="000000" w:themeColor="text1"/>
          <w:szCs w:val="20"/>
          <w14:textFill>
            <w14:solidFill>
              <w14:schemeClr w14:val="tx1"/>
            </w14:solidFill>
          </w14:textFill>
        </w:rPr>
        <w:t>各种风险因素</w:t>
      </w:r>
      <w:r>
        <w:rPr>
          <w:rFonts w:hint="eastAsia" w:ascii="宋体" w:hAnsi="宋体" w:eastAsia="宋体"/>
          <w:color w:val="000000" w:themeColor="text1"/>
          <w:szCs w:val="20"/>
          <w14:textFill>
            <w14:solidFill>
              <w14:schemeClr w14:val="tx1"/>
            </w14:solidFill>
          </w14:textFill>
        </w:rPr>
        <w:t>，根据</w:t>
      </w:r>
      <w:r>
        <w:rPr>
          <w:rFonts w:ascii="宋体" w:hAnsi="宋体" w:eastAsia="宋体"/>
          <w:color w:val="000000" w:themeColor="text1"/>
          <w:szCs w:val="20"/>
          <w14:textFill>
            <w14:solidFill>
              <w14:schemeClr w14:val="tx1"/>
            </w14:solidFill>
          </w14:textFill>
        </w:rPr>
        <w:t>监管部门要求和</w:t>
      </w:r>
      <w:r>
        <w:rPr>
          <w:rFonts w:hint="eastAsia" w:ascii="宋体" w:hAnsi="宋体" w:eastAsia="宋体"/>
          <w:color w:val="000000" w:themeColor="text1"/>
          <w:szCs w:val="20"/>
          <w14:textFill>
            <w14:solidFill>
              <w14:schemeClr w14:val="tx1"/>
            </w14:solidFill>
          </w14:textFill>
        </w:rPr>
        <w:t>投资者权益</w:t>
      </w:r>
      <w:r>
        <w:rPr>
          <w:rFonts w:ascii="宋体" w:hAnsi="宋体" w:eastAsia="宋体"/>
          <w:color w:val="000000" w:themeColor="text1"/>
          <w:szCs w:val="20"/>
          <w14:textFill>
            <w14:solidFill>
              <w14:schemeClr w14:val="tx1"/>
            </w14:solidFill>
          </w14:textFill>
        </w:rPr>
        <w:t>保护的需要，在您</w:t>
      </w:r>
      <w:r>
        <w:rPr>
          <w:rFonts w:hint="eastAsia" w:ascii="宋体" w:hAnsi="宋体" w:eastAsia="宋体"/>
          <w:color w:val="000000" w:themeColor="text1"/>
          <w:szCs w:val="20"/>
          <w14:textFill>
            <w14:solidFill>
              <w14:schemeClr w14:val="tx1"/>
            </w14:solidFill>
          </w14:textFill>
        </w:rPr>
        <w:t>选择投资</w:t>
      </w:r>
      <w:r>
        <w:rPr>
          <w:rFonts w:ascii="宋体" w:hAnsi="宋体" w:eastAsia="宋体"/>
          <w:color w:val="000000" w:themeColor="text1"/>
          <w:szCs w:val="20"/>
          <w14:textFill>
            <w14:solidFill>
              <w14:schemeClr w14:val="tx1"/>
            </w14:solidFill>
          </w14:textFill>
        </w:rPr>
        <w:t>理财产品前，请仔细阅读以下风险揭示内容</w:t>
      </w:r>
      <w:r>
        <w:rPr>
          <w:rFonts w:hint="eastAsia" w:ascii="宋体" w:hAnsi="宋体" w:eastAsia="宋体"/>
          <w:color w:val="000000" w:themeColor="text1"/>
          <w:szCs w:val="20"/>
          <w14:textFill>
            <w14:solidFill>
              <w14:schemeClr w14:val="tx1"/>
            </w14:solidFill>
          </w14:textFill>
        </w:rPr>
        <w:t>：</w:t>
      </w:r>
    </w:p>
    <w:p>
      <w:pPr>
        <w:spacing w:before="156" w:beforeLines="50" w:after="156" w:afterLines="50"/>
        <w:jc w:val="center"/>
        <w:outlineLvl w:val="0"/>
        <w:rPr>
          <w:rFonts w:ascii="宋体" w:hAnsi="宋体" w:eastAsia="宋体"/>
          <w:b/>
          <w:color w:val="000000" w:themeColor="text1"/>
          <w:sz w:val="24"/>
          <w:szCs w:val="20"/>
          <w14:textFill>
            <w14:solidFill>
              <w14:schemeClr w14:val="tx1"/>
            </w14:solidFill>
          </w14:textFill>
        </w:rPr>
      </w:pPr>
      <w:r>
        <w:rPr>
          <w:rFonts w:hint="eastAsia" w:ascii="宋体" w:hAnsi="宋体" w:eastAsia="宋体"/>
          <w:b/>
          <w:color w:val="000000" w:themeColor="text1"/>
          <w:sz w:val="24"/>
          <w:szCs w:val="20"/>
          <w14:textFill>
            <w14:solidFill>
              <w14:schemeClr w14:val="tx1"/>
            </w14:solidFill>
          </w14:textFill>
        </w:rPr>
        <w:t>一</w:t>
      </w:r>
      <w:r>
        <w:rPr>
          <w:rFonts w:ascii="宋体" w:hAnsi="宋体" w:eastAsia="宋体"/>
          <w:b/>
          <w:color w:val="000000" w:themeColor="text1"/>
          <w:sz w:val="24"/>
          <w:szCs w:val="20"/>
          <w14:textFill>
            <w14:solidFill>
              <w14:schemeClr w14:val="tx1"/>
            </w14:solidFill>
          </w14:textFill>
        </w:rPr>
        <w:t>、</w:t>
      </w:r>
      <w:r>
        <w:rPr>
          <w:rFonts w:hint="eastAsia" w:ascii="宋体" w:hAnsi="宋体" w:eastAsia="宋体"/>
          <w:b/>
          <w:color w:val="000000" w:themeColor="text1"/>
          <w:sz w:val="24"/>
          <w:szCs w:val="20"/>
          <w14:textFill>
            <w14:solidFill>
              <w14:schemeClr w14:val="tx1"/>
            </w14:solidFill>
          </w14:textFill>
        </w:rPr>
        <w:t>风险</w:t>
      </w:r>
      <w:r>
        <w:rPr>
          <w:rFonts w:ascii="宋体" w:hAnsi="宋体" w:eastAsia="宋体"/>
          <w:b/>
          <w:color w:val="000000" w:themeColor="text1"/>
          <w:sz w:val="24"/>
          <w:szCs w:val="20"/>
          <w14:textFill>
            <w14:solidFill>
              <w14:schemeClr w14:val="tx1"/>
            </w14:solidFill>
          </w14:textFill>
        </w:rPr>
        <w:t>揭示</w:t>
      </w:r>
      <w:r>
        <w:rPr>
          <w:rFonts w:hint="eastAsia" w:ascii="宋体" w:hAnsi="宋体" w:eastAsia="宋体"/>
          <w:b/>
          <w:color w:val="000000" w:themeColor="text1"/>
          <w:sz w:val="24"/>
          <w:szCs w:val="20"/>
          <w14:textFill>
            <w14:solidFill>
              <w14:schemeClr w14:val="tx1"/>
            </w14:solidFill>
          </w14:textFill>
        </w:rPr>
        <w:t>部分</w:t>
      </w:r>
    </w:p>
    <w:p>
      <w:pPr>
        <w:pStyle w:val="21"/>
        <w:ind w:left="360" w:firstLine="0" w:firstLineChars="0"/>
        <w:jc w:val="center"/>
        <w:outlineLvl w:val="1"/>
        <w:rPr>
          <w:rFonts w:ascii="宋体" w:hAnsi="宋体" w:eastAsia="宋体"/>
          <w:b/>
          <w:color w:val="000000" w:themeColor="text1"/>
          <w:sz w:val="28"/>
          <w:szCs w:val="20"/>
          <w14:textFill>
            <w14:solidFill>
              <w14:schemeClr w14:val="tx1"/>
            </w14:solidFill>
          </w14:textFill>
        </w:rPr>
      </w:pPr>
      <w:r>
        <w:rPr>
          <w:rFonts w:hint="eastAsia" w:ascii="宋体" w:hAnsi="宋体" w:eastAsia="宋体"/>
          <w:b/>
          <w:color w:val="000000" w:themeColor="text1"/>
          <w:sz w:val="28"/>
          <w:szCs w:val="20"/>
          <w14:textFill>
            <w14:solidFill>
              <w14:schemeClr w14:val="tx1"/>
            </w14:solidFill>
          </w14:textFill>
        </w:rPr>
        <w:t>理财</w:t>
      </w:r>
      <w:r>
        <w:rPr>
          <w:rFonts w:ascii="宋体" w:hAnsi="宋体" w:eastAsia="宋体"/>
          <w:b/>
          <w:color w:val="000000" w:themeColor="text1"/>
          <w:sz w:val="28"/>
          <w:szCs w:val="20"/>
          <w14:textFill>
            <w14:solidFill>
              <w14:schemeClr w14:val="tx1"/>
            </w14:solidFill>
          </w14:textFill>
        </w:rPr>
        <w:t>非存款</w:t>
      </w:r>
      <w:r>
        <w:rPr>
          <w:rFonts w:hint="eastAsia" w:ascii="宋体" w:hAnsi="宋体" w:eastAsia="宋体"/>
          <w:b/>
          <w:color w:val="000000" w:themeColor="text1"/>
          <w:sz w:val="28"/>
          <w:szCs w:val="20"/>
          <w14:textFill>
            <w14:solidFill>
              <w14:schemeClr w14:val="tx1"/>
            </w14:solidFill>
          </w14:textFill>
        </w:rPr>
        <w:t>、产品有风险、投资须谨慎</w:t>
      </w:r>
    </w:p>
    <w:p>
      <w:pPr>
        <w:pStyle w:val="21"/>
        <w:ind w:leftChars="-36" w:hanging="76" w:hangingChars="27"/>
        <w:jc w:val="center"/>
        <w:outlineLvl w:val="1"/>
        <w:rPr>
          <w:rFonts w:ascii="宋体" w:hAnsi="宋体" w:eastAsia="宋体"/>
          <w:b/>
          <w:color w:val="000000" w:themeColor="text1"/>
          <w:sz w:val="28"/>
          <w:szCs w:val="20"/>
          <w14:textFill>
            <w14:solidFill>
              <w14:schemeClr w14:val="tx1"/>
            </w14:solidFill>
          </w14:textFill>
        </w:rPr>
      </w:pPr>
      <w:r>
        <w:rPr>
          <w:rFonts w:hint="eastAsia" w:ascii="宋体" w:hAnsi="宋体" w:eastAsia="宋体"/>
          <w:b/>
          <w:color w:val="000000" w:themeColor="text1"/>
          <w:sz w:val="28"/>
          <w:szCs w:val="20"/>
          <w14:textFill>
            <w14:solidFill>
              <w14:schemeClr w14:val="tx1"/>
            </w14:solidFill>
          </w14:textFill>
        </w:rPr>
        <w:t>理财产品过往业绩不代表其未来表现，不等于理财产品实际收益，投资须谨慎。</w:t>
      </w:r>
    </w:p>
    <w:p>
      <w:pPr>
        <w:pStyle w:val="21"/>
        <w:numPr>
          <w:ilvl w:val="0"/>
          <w:numId w:val="1"/>
        </w:numPr>
        <w:ind w:firstLineChars="0"/>
        <w:rPr>
          <w:b/>
          <w:color w:val="000000" w:themeColor="text1"/>
          <w:szCs w:val="20"/>
          <w14:textFill>
            <w14:solidFill>
              <w14:schemeClr w14:val="tx1"/>
            </w14:solidFill>
          </w14:textFill>
        </w:rPr>
      </w:pPr>
      <w:r>
        <w:rPr>
          <w:b/>
          <w:color w:val="000000" w:themeColor="text1"/>
          <w:szCs w:val="20"/>
          <w14:textFill>
            <w14:solidFill>
              <w14:schemeClr w14:val="tx1"/>
            </w14:solidFill>
          </w14:textFill>
        </w:rPr>
        <w:t>理财产品</w:t>
      </w:r>
      <w:r>
        <w:rPr>
          <w:rFonts w:hint="eastAsia"/>
          <w:b/>
          <w:color w:val="000000" w:themeColor="text1"/>
          <w:szCs w:val="20"/>
          <w14:textFill>
            <w14:solidFill>
              <w14:schemeClr w14:val="tx1"/>
            </w14:solidFill>
          </w14:textFill>
        </w:rPr>
        <w:t>风险揭示</w:t>
      </w:r>
      <w:r>
        <w:rPr>
          <w:b/>
          <w:color w:val="000000" w:themeColor="text1"/>
          <w:szCs w:val="20"/>
          <w14:textFill>
            <w14:solidFill>
              <w14:schemeClr w14:val="tx1"/>
            </w14:solidFill>
          </w14:textFill>
        </w:rPr>
        <w:t>：</w:t>
      </w:r>
    </w:p>
    <w:tbl>
      <w:tblPr>
        <w:tblStyle w:val="14"/>
        <w:tblW w:w="8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5"/>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vAlign w:val="center"/>
          </w:tcPr>
          <w:p>
            <w:pPr>
              <w:pStyle w:val="21"/>
              <w:ind w:firstLine="0" w:firstLineChars="0"/>
              <w:rPr>
                <w:rFonts w:ascii="宋体" w:hAnsi="宋体" w:eastAsia="宋体"/>
                <w:b/>
                <w:color w:val="000000" w:themeColor="text1"/>
                <w:szCs w:val="20"/>
                <w14:textFill>
                  <w14:solidFill>
                    <w14:schemeClr w14:val="tx1"/>
                  </w14:solidFill>
                </w14:textFill>
              </w:rPr>
            </w:pPr>
            <w:r>
              <w:rPr>
                <w:rFonts w:hint="eastAsia" w:ascii="宋体" w:hAnsi="宋体" w:eastAsia="宋体"/>
                <w:b/>
                <w:color w:val="000000" w:themeColor="text1"/>
                <w:szCs w:val="20"/>
                <w14:textFill>
                  <w14:solidFill>
                    <w14:schemeClr w14:val="tx1"/>
                  </w14:solidFill>
                </w14:textFill>
              </w:rPr>
              <w:t>产品</w:t>
            </w:r>
            <w:r>
              <w:rPr>
                <w:rFonts w:ascii="宋体" w:hAnsi="宋体" w:eastAsia="宋体"/>
                <w:b/>
                <w:color w:val="000000" w:themeColor="text1"/>
                <w:szCs w:val="20"/>
                <w14:textFill>
                  <w14:solidFill>
                    <w14:schemeClr w14:val="tx1"/>
                  </w14:solidFill>
                </w14:textFill>
              </w:rPr>
              <w:t>名称</w:t>
            </w:r>
          </w:p>
        </w:tc>
        <w:tc>
          <w:tcPr>
            <w:tcW w:w="6237" w:type="dxa"/>
          </w:tcPr>
          <w:p>
            <w:pPr>
              <w:pStyle w:val="21"/>
              <w:ind w:firstLine="0" w:firstLineChars="0"/>
              <w:rPr>
                <w:rFonts w:ascii="宋体" w:hAnsi="宋体" w:eastAsia="宋体"/>
                <w:b/>
                <w:color w:val="000000" w:themeColor="text1"/>
                <w:szCs w:val="20"/>
                <w14:textFill>
                  <w14:solidFill>
                    <w14:schemeClr w14:val="tx1"/>
                  </w14:solidFill>
                </w14:textFill>
              </w:rPr>
            </w:pPr>
            <w:r>
              <w:rPr>
                <w:rFonts w:hint="eastAsia" w:ascii="宋体" w:hAnsi="宋体" w:eastAsia="宋体"/>
                <w:b/>
                <w:color w:val="000000" w:themeColor="text1"/>
                <w:szCs w:val="20"/>
                <w14:textFill>
                  <w14:solidFill>
                    <w14:schemeClr w14:val="tx1"/>
                  </w14:solidFill>
                </w14:textFill>
              </w:rPr>
              <w:t>中银理财-稳富鑫远固收增强368天持有期3号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vAlign w:val="center"/>
          </w:tcPr>
          <w:p>
            <w:pPr>
              <w:pStyle w:val="21"/>
              <w:ind w:firstLine="0" w:firstLineChars="0"/>
              <w:rPr>
                <w:rFonts w:ascii="宋体" w:hAnsi="宋体" w:eastAsia="宋体"/>
                <w:b/>
                <w:color w:val="000000" w:themeColor="text1"/>
                <w:szCs w:val="20"/>
                <w14:textFill>
                  <w14:solidFill>
                    <w14:schemeClr w14:val="tx1"/>
                  </w14:solidFill>
                </w14:textFill>
              </w:rPr>
            </w:pPr>
            <w:r>
              <w:rPr>
                <w:rFonts w:hint="eastAsia" w:ascii="宋体" w:hAnsi="宋体" w:eastAsia="宋体"/>
                <w:b/>
                <w:color w:val="000000" w:themeColor="text1"/>
                <w:szCs w:val="20"/>
                <w14:textFill>
                  <w14:solidFill>
                    <w14:schemeClr w14:val="tx1"/>
                  </w14:solidFill>
                </w14:textFill>
              </w:rPr>
              <w:t>产品</w:t>
            </w:r>
            <w:r>
              <w:rPr>
                <w:rFonts w:ascii="宋体" w:hAnsi="宋体" w:eastAsia="宋体"/>
                <w:b/>
                <w:color w:val="000000" w:themeColor="text1"/>
                <w:szCs w:val="20"/>
                <w14:textFill>
                  <w14:solidFill>
                    <w14:schemeClr w14:val="tx1"/>
                  </w14:solidFill>
                </w14:textFill>
              </w:rPr>
              <w:t>代码</w:t>
            </w:r>
          </w:p>
        </w:tc>
        <w:tc>
          <w:tcPr>
            <w:tcW w:w="6237" w:type="dxa"/>
          </w:tcPr>
          <w:p>
            <w:pPr>
              <w:pStyle w:val="21"/>
              <w:ind w:firstLine="0" w:firstLineChars="0"/>
              <w:rPr>
                <w:rFonts w:ascii="宋体" w:hAnsi="宋体" w:eastAsia="宋体"/>
                <w:b/>
                <w:color w:val="000000" w:themeColor="text1"/>
                <w:szCs w:val="20"/>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WFXY368D3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vAlign w:val="center"/>
          </w:tcPr>
          <w:p>
            <w:pPr>
              <w:pStyle w:val="21"/>
              <w:ind w:firstLine="0" w:firstLineChars="0"/>
              <w:rPr>
                <w:rFonts w:ascii="宋体" w:hAnsi="宋体" w:eastAsia="宋体"/>
                <w:b/>
                <w:color w:val="000000" w:themeColor="text1"/>
                <w:szCs w:val="20"/>
                <w14:textFill>
                  <w14:solidFill>
                    <w14:schemeClr w14:val="tx1"/>
                  </w14:solidFill>
                </w14:textFill>
              </w:rPr>
            </w:pPr>
            <w:r>
              <w:rPr>
                <w:rFonts w:ascii="宋体" w:hAnsi="宋体" w:eastAsia="宋体"/>
                <w:b/>
                <w:color w:val="000000" w:themeColor="text1"/>
                <w:szCs w:val="20"/>
                <w14:textFill>
                  <w14:solidFill>
                    <w14:schemeClr w14:val="tx1"/>
                  </w14:solidFill>
                </w14:textFill>
              </w:rPr>
              <w:t>产品类型</w:t>
            </w:r>
          </w:p>
        </w:tc>
        <w:tc>
          <w:tcPr>
            <w:tcW w:w="6237" w:type="dxa"/>
          </w:tcPr>
          <w:p>
            <w:pPr>
              <w:pStyle w:val="21"/>
              <w:ind w:firstLine="0" w:firstLineChars="0"/>
              <w:rPr>
                <w:rFonts w:ascii="宋体" w:hAnsi="宋体" w:eastAsia="宋体"/>
                <w:b/>
                <w:color w:val="000000" w:themeColor="text1"/>
                <w:szCs w:val="20"/>
                <w14:textFill>
                  <w14:solidFill>
                    <w14:schemeClr w14:val="tx1"/>
                  </w14:solidFill>
                </w14:textFill>
              </w:rPr>
            </w:pPr>
            <w:r>
              <w:rPr>
                <w:rFonts w:hint="eastAsia" w:ascii="宋体" w:hAnsi="宋体" w:eastAsia="宋体"/>
                <w:b/>
                <w:color w:val="000000" w:themeColor="text1"/>
                <w:szCs w:val="20"/>
                <w14:textFill>
                  <w14:solidFill>
                    <w14:schemeClr w14:val="tx1"/>
                  </w14:solidFill>
                </w14:textFill>
              </w:rPr>
              <w:t>固定收益类非保本浮动收益型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vAlign w:val="center"/>
          </w:tcPr>
          <w:p>
            <w:pPr>
              <w:pStyle w:val="21"/>
              <w:ind w:firstLine="0" w:firstLineChars="0"/>
              <w:rPr>
                <w:rFonts w:ascii="宋体" w:hAnsi="宋体" w:eastAsia="宋体"/>
                <w:b/>
                <w:color w:val="000000" w:themeColor="text1"/>
                <w:szCs w:val="20"/>
                <w14:textFill>
                  <w14:solidFill>
                    <w14:schemeClr w14:val="tx1"/>
                  </w14:solidFill>
                </w14:textFill>
              </w:rPr>
            </w:pPr>
            <w:r>
              <w:rPr>
                <w:rFonts w:hint="eastAsia" w:ascii="宋体" w:hAnsi="宋体" w:eastAsia="宋体"/>
                <w:b/>
                <w:color w:val="000000" w:themeColor="text1"/>
                <w:szCs w:val="20"/>
                <w14:textFill>
                  <w14:solidFill>
                    <w14:schemeClr w14:val="tx1"/>
                  </w14:solidFill>
                </w14:textFill>
              </w:rPr>
              <w:t>产品期限</w:t>
            </w:r>
          </w:p>
        </w:tc>
        <w:tc>
          <w:tcPr>
            <w:tcW w:w="6237" w:type="dxa"/>
          </w:tcPr>
          <w:p>
            <w:pPr>
              <w:pStyle w:val="21"/>
              <w:ind w:firstLine="0" w:firstLineChars="0"/>
              <w:rPr>
                <w:rFonts w:ascii="宋体" w:hAnsi="宋体" w:eastAsia="宋体"/>
                <w:b/>
                <w:color w:val="000000" w:themeColor="text1"/>
                <w:szCs w:val="20"/>
                <w14:textFill>
                  <w14:solidFill>
                    <w14:schemeClr w14:val="tx1"/>
                  </w14:solidFill>
                </w14:textFill>
              </w:rPr>
            </w:pPr>
            <w:r>
              <w:rPr>
                <w:rFonts w:hint="eastAsia" w:ascii="宋体" w:hAnsi="宋体" w:eastAsia="宋体"/>
                <w:b/>
                <w:color w:val="000000" w:themeColor="text1"/>
                <w:szCs w:val="20"/>
                <w14:textFill>
                  <w14:solidFill>
                    <w14:schemeClr w14:val="tx1"/>
                  </w14:solidFill>
                </w14:textFill>
              </w:rPr>
              <w:t>产品无固定存续期限（若产品提前终止，以理财产品实际存续天数为准）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vAlign w:val="center"/>
          </w:tcPr>
          <w:p>
            <w:pPr>
              <w:pStyle w:val="21"/>
              <w:ind w:firstLine="0" w:firstLineChars="0"/>
              <w:rPr>
                <w:rFonts w:ascii="宋体" w:hAnsi="宋体" w:eastAsia="宋体"/>
                <w:b/>
                <w:color w:val="000000" w:themeColor="text1"/>
                <w:szCs w:val="20"/>
                <w14:textFill>
                  <w14:solidFill>
                    <w14:schemeClr w14:val="tx1"/>
                  </w14:solidFill>
                </w14:textFill>
              </w:rPr>
            </w:pPr>
            <w:r>
              <w:rPr>
                <w:rFonts w:ascii="宋体" w:hAnsi="宋体" w:eastAsia="宋体"/>
                <w:b/>
                <w:color w:val="000000" w:themeColor="text1"/>
                <w:szCs w:val="20"/>
                <w14:textFill>
                  <w14:solidFill>
                    <w14:schemeClr w14:val="tx1"/>
                  </w14:solidFill>
                </w14:textFill>
              </w:rPr>
              <w:t>风险</w:t>
            </w:r>
            <w:r>
              <w:rPr>
                <w:rFonts w:hint="eastAsia" w:ascii="宋体" w:hAnsi="宋体" w:eastAsia="宋体"/>
                <w:b/>
                <w:color w:val="000000" w:themeColor="text1"/>
                <w:szCs w:val="20"/>
                <w14:textFill>
                  <w14:solidFill>
                    <w14:schemeClr w14:val="tx1"/>
                  </w14:solidFill>
                </w14:textFill>
              </w:rPr>
              <w:t>级别</w:t>
            </w:r>
          </w:p>
        </w:tc>
        <w:tc>
          <w:tcPr>
            <w:tcW w:w="6237" w:type="dxa"/>
          </w:tcPr>
          <w:p>
            <w:pPr>
              <w:pStyle w:val="21"/>
              <w:ind w:firstLine="0" w:firstLineChars="0"/>
              <w:rPr>
                <w:rFonts w:ascii="宋体" w:hAnsi="宋体" w:eastAsia="宋体"/>
                <w:b/>
                <w:color w:val="000000" w:themeColor="text1"/>
                <w:szCs w:val="20"/>
                <w14:textFill>
                  <w14:solidFill>
                    <w14:schemeClr w14:val="tx1"/>
                  </w14:solidFill>
                </w14:textFill>
              </w:rPr>
            </w:pPr>
            <w:r>
              <w:rPr>
                <w:rFonts w:hint="eastAsia" w:ascii="宋体" w:hAnsi="宋体" w:eastAsia="宋体"/>
                <w:b/>
                <w:color w:val="000000" w:themeColor="text1"/>
                <w:szCs w:val="20"/>
                <w14:textFill>
                  <w14:solidFill>
                    <w14:schemeClr w14:val="tx1"/>
                  </w14:solidFill>
                </w14:textFill>
              </w:rPr>
              <w:t>2级（中低风险）。本理财产品的风险评级，为中银理财内部评级；本产品通过代理销售机构渠道销售的，理财产品评级应当以代理销售机构最终披露的评级结果为准。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vAlign w:val="center"/>
          </w:tcPr>
          <w:p>
            <w:pPr>
              <w:pStyle w:val="21"/>
              <w:ind w:firstLine="0" w:firstLineChars="0"/>
              <w:rPr>
                <w:rFonts w:ascii="宋体" w:hAnsi="宋体" w:eastAsia="宋体"/>
                <w:b/>
                <w:color w:val="000000" w:themeColor="text1"/>
                <w:szCs w:val="20"/>
                <w14:textFill>
                  <w14:solidFill>
                    <w14:schemeClr w14:val="tx1"/>
                  </w14:solidFill>
                </w14:textFill>
              </w:rPr>
            </w:pPr>
            <w:r>
              <w:rPr>
                <w:rFonts w:hint="eastAsia" w:ascii="宋体" w:hAnsi="宋体" w:eastAsia="宋体"/>
                <w:b/>
                <w:color w:val="000000" w:themeColor="text1"/>
                <w:szCs w:val="20"/>
                <w14:textFill>
                  <w14:solidFill>
                    <w14:schemeClr w14:val="tx1"/>
                  </w14:solidFill>
                </w14:textFill>
              </w:rPr>
              <w:t>适合购买</w:t>
            </w:r>
            <w:r>
              <w:rPr>
                <w:rFonts w:ascii="宋体" w:hAnsi="宋体" w:eastAsia="宋体"/>
                <w:b/>
                <w:color w:val="000000" w:themeColor="text1"/>
                <w:szCs w:val="20"/>
                <w14:textFill>
                  <w14:solidFill>
                    <w14:schemeClr w14:val="tx1"/>
                  </w14:solidFill>
                </w14:textFill>
              </w:rPr>
              <w:t>的投资者</w:t>
            </w:r>
          </w:p>
        </w:tc>
        <w:tc>
          <w:tcPr>
            <w:tcW w:w="6237" w:type="dxa"/>
          </w:tcPr>
          <w:p>
            <w:pPr>
              <w:pStyle w:val="21"/>
              <w:ind w:firstLine="0" w:firstLineChars="0"/>
              <w:rPr>
                <w:rFonts w:ascii="宋体" w:hAnsi="宋体" w:eastAsia="宋体"/>
                <w:b/>
                <w:color w:val="000000" w:themeColor="text1"/>
                <w:szCs w:val="20"/>
                <w14:textFill>
                  <w14:solidFill>
                    <w14:schemeClr w14:val="tx1"/>
                  </w14:solidFill>
                </w14:textFill>
              </w:rPr>
            </w:pPr>
            <w:r>
              <w:rPr>
                <w:rFonts w:hint="eastAsia" w:ascii="宋体" w:hAnsi="宋体" w:eastAsia="宋体"/>
                <w:b/>
              </w:rPr>
              <w:t>经产品销售机构风险承受能力评估为稳健型、平衡型、进取型和激进型的个人投资者、机构投资者。具体以销售机构风险评级结果和销售要求为准。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vAlign w:val="center"/>
          </w:tcPr>
          <w:p>
            <w:pPr>
              <w:pStyle w:val="21"/>
              <w:ind w:firstLine="0" w:firstLineChars="0"/>
              <w:rPr>
                <w:rFonts w:ascii="宋体" w:hAnsi="宋体" w:eastAsia="宋体"/>
                <w:b/>
                <w:color w:val="000000" w:themeColor="text1"/>
                <w:szCs w:val="20"/>
                <w14:textFill>
                  <w14:solidFill>
                    <w14:schemeClr w14:val="tx1"/>
                  </w14:solidFill>
                </w14:textFill>
              </w:rPr>
            </w:pPr>
            <w:r>
              <w:rPr>
                <w:rFonts w:hint="eastAsia" w:ascii="宋体" w:hAnsi="宋体" w:eastAsia="宋体"/>
                <w:b/>
                <w:color w:val="000000" w:themeColor="text1"/>
                <w:szCs w:val="20"/>
                <w14:textFill>
                  <w14:solidFill>
                    <w14:schemeClr w14:val="tx1"/>
                  </w14:solidFill>
                </w14:textFill>
              </w:rPr>
              <w:t>风险揭示内容</w:t>
            </w:r>
          </w:p>
        </w:tc>
        <w:tc>
          <w:tcPr>
            <w:tcW w:w="6237" w:type="dxa"/>
          </w:tcPr>
          <w:p>
            <w:pPr>
              <w:pStyle w:val="21"/>
              <w:ind w:firstLine="0" w:firstLineChars="0"/>
              <w:rPr>
                <w:rFonts w:ascii="宋体" w:hAnsi="宋体" w:eastAsia="宋体"/>
                <w:color w:val="000000" w:themeColor="text1"/>
                <w:szCs w:val="20"/>
                <w14:textFill>
                  <w14:solidFill>
                    <w14:schemeClr w14:val="tx1"/>
                  </w14:solidFill>
                </w14:textFill>
              </w:rPr>
            </w:pPr>
            <w:r>
              <w:rPr>
                <w:rFonts w:hint="eastAsia" w:ascii="宋体" w:hAnsi="宋体" w:eastAsia="宋体"/>
                <w:color w:val="000000" w:themeColor="text1"/>
                <w:szCs w:val="20"/>
                <w14:textFill>
                  <w14:solidFill>
                    <w14:schemeClr w14:val="tx1"/>
                  </w14:solidFill>
                </w14:textFill>
              </w:rPr>
              <w:t>可能包括但不限于市场风险、信用风险、流动性风险、操作风险、管理风险、法律风险、政策风险、</w:t>
            </w:r>
            <w:r>
              <w:rPr>
                <w:rFonts w:hint="eastAsia" w:ascii="宋体" w:hAnsi="宋体" w:eastAsia="宋体"/>
              </w:rPr>
              <w:t>产品不成立风险、</w:t>
            </w:r>
            <w:r>
              <w:rPr>
                <w:rFonts w:hint="eastAsia" w:ascii="宋体" w:hAnsi="宋体" w:eastAsia="宋体"/>
                <w:color w:val="000000" w:themeColor="text1"/>
                <w:szCs w:val="20"/>
                <w14:textFill>
                  <w14:solidFill>
                    <w14:schemeClr w14:val="tx1"/>
                  </w14:solidFill>
                </w14:textFill>
              </w:rPr>
              <w:t>提前终止的风险、信息传递风险、赎回款项支付延迟风险、投资标的特有风险、其他风险等。</w:t>
            </w:r>
          </w:p>
          <w:p>
            <w:pPr>
              <w:wordWrap w:val="0"/>
              <w:rPr>
                <w:rFonts w:ascii="宋体" w:hAnsi="宋体" w:eastAsia="宋体"/>
                <w:color w:val="000000" w:themeColor="text1"/>
                <w:szCs w:val="20"/>
                <w14:textFill>
                  <w14:solidFill>
                    <w14:schemeClr w14:val="tx1"/>
                  </w14:solidFill>
                </w14:textFill>
              </w:rPr>
            </w:pPr>
            <w:r>
              <w:rPr>
                <w:rFonts w:hint="eastAsia" w:ascii="宋体" w:hAnsi="宋体" w:eastAsia="宋体"/>
                <w:color w:val="000000" w:themeColor="text1"/>
                <w:szCs w:val="20"/>
                <w14:textFill>
                  <w14:solidFill>
                    <w14:schemeClr w14:val="tx1"/>
                  </w14:solidFill>
                </w14:textFill>
              </w:rPr>
              <w:t>本理财产品中银理财内部风险评级为</w:t>
            </w:r>
            <w:r>
              <w:rPr>
                <w:rFonts w:hint="eastAsia" w:ascii="宋体" w:hAnsi="宋体" w:eastAsia="宋体"/>
                <w:szCs w:val="20"/>
              </w:rPr>
              <w:t>2</w:t>
            </w:r>
            <w:r>
              <w:rPr>
                <w:rFonts w:hint="eastAsia" w:ascii="宋体" w:hAnsi="宋体" w:eastAsia="宋体"/>
                <w:color w:val="000000" w:themeColor="text1"/>
                <w:szCs w:val="20"/>
                <w14:textFill>
                  <w14:solidFill>
                    <w14:schemeClr w14:val="tx1"/>
                  </w14:solidFill>
                </w14:textFill>
              </w:rPr>
              <w:t>级，为非保本浮动收益型中低风险产品，</w:t>
            </w:r>
            <w:r>
              <w:rPr>
                <w:rFonts w:hint="eastAsia" w:ascii="宋体" w:hAnsi="宋体" w:eastAsia="宋体"/>
                <w:szCs w:val="20"/>
              </w:rPr>
              <w:t>出现本金损失的概率较低，且有一定净值波动率</w:t>
            </w:r>
            <w:r>
              <w:rPr>
                <w:rFonts w:hint="eastAsia" w:ascii="宋体" w:hAnsi="宋体" w:eastAsia="宋体"/>
                <w:color w:val="000000" w:themeColor="text1"/>
                <w:szCs w:val="20"/>
                <w14:textFill>
                  <w14:solidFill>
                    <w14:schemeClr w14:val="tx1"/>
                  </w14:solidFill>
                </w14:textFill>
              </w:rPr>
              <w:t>。</w:t>
            </w:r>
          </w:p>
          <w:p>
            <w:pPr>
              <w:rPr>
                <w:rFonts w:ascii="宋体" w:hAnsi="宋体" w:eastAsia="宋体"/>
                <w:color w:val="000000" w:themeColor="text1"/>
                <w:szCs w:val="20"/>
                <w14:textFill>
                  <w14:solidFill>
                    <w14:schemeClr w14:val="tx1"/>
                  </w14:solidFill>
                </w14:textFill>
              </w:rPr>
            </w:pPr>
            <w:r>
              <w:rPr>
                <w:rFonts w:hint="eastAsia" w:ascii="宋体" w:hAnsi="宋体" w:eastAsia="宋体"/>
                <w:color w:val="000000" w:themeColor="text1"/>
                <w:szCs w:val="20"/>
                <w14:textFill>
                  <w14:solidFill>
                    <w14:schemeClr w14:val="tx1"/>
                  </w14:solidFill>
                </w14:textFill>
              </w:rPr>
              <w:t>上述风险评级和相关描述，均为中银理财内部评级。该产品通过代理销售机构渠道销售的，理财产品评级应当以代理销售机构最终披露的评级结果为准。</w:t>
            </w:r>
          </w:p>
          <w:p>
            <w:pPr>
              <w:pStyle w:val="21"/>
              <w:ind w:firstLine="0" w:firstLineChars="0"/>
              <w:rPr>
                <w:rFonts w:ascii="宋体" w:hAnsi="宋体" w:eastAsia="宋体"/>
                <w:color w:val="000000" w:themeColor="text1"/>
                <w:szCs w:val="20"/>
                <w14:textFill>
                  <w14:solidFill>
                    <w14:schemeClr w14:val="tx1"/>
                  </w14:solidFill>
                </w14:textFill>
              </w:rPr>
            </w:pPr>
            <w:r>
              <w:rPr>
                <w:rFonts w:hint="eastAsia" w:ascii="宋体" w:hAnsi="宋体" w:eastAsia="宋体"/>
                <w:color w:val="000000" w:themeColor="text1"/>
                <w:szCs w:val="20"/>
                <w14:textFill>
                  <w14:solidFill>
                    <w14:schemeClr w14:val="tx1"/>
                  </w14:solidFill>
                </w14:textFill>
              </w:rPr>
              <w:t>本理财产品不保证资金本金和收益，如出现所投资的金融资产未按时足额支付</w:t>
            </w:r>
            <w:r>
              <w:rPr>
                <w:rFonts w:ascii="宋体" w:hAnsi="宋体" w:eastAsia="宋体"/>
                <w:color w:val="000000" w:themeColor="text1"/>
                <w:szCs w:val="20"/>
                <w14:textFill>
                  <w14:solidFill>
                    <w14:schemeClr w14:val="tx1"/>
                  </w14:solidFill>
                </w14:textFill>
              </w:rPr>
              <w:t>本金</w:t>
            </w:r>
            <w:r>
              <w:rPr>
                <w:rFonts w:hint="eastAsia" w:ascii="宋体" w:hAnsi="宋体" w:eastAsia="宋体"/>
                <w:color w:val="000000" w:themeColor="text1"/>
                <w:szCs w:val="20"/>
                <w14:textFill>
                  <w14:solidFill>
                    <w14:schemeClr w14:val="tx1"/>
                  </w14:solidFill>
                </w14:textFill>
              </w:rPr>
              <w:t>及/或收益或提前终止等不利情况，则将出现理财收益为零或本金损失的可能，并存在被提前终止的可能。请充分认识投资风险，谨慎投资。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vAlign w:val="center"/>
          </w:tcPr>
          <w:p>
            <w:pPr>
              <w:pStyle w:val="21"/>
              <w:ind w:firstLine="0" w:firstLineChars="0"/>
              <w:rPr>
                <w:rFonts w:ascii="宋体" w:hAnsi="宋体" w:eastAsia="宋体"/>
                <w:b/>
                <w:color w:val="000000" w:themeColor="text1"/>
                <w:szCs w:val="20"/>
                <w14:textFill>
                  <w14:solidFill>
                    <w14:schemeClr w14:val="tx1"/>
                  </w14:solidFill>
                </w14:textFill>
              </w:rPr>
            </w:pPr>
            <w:r>
              <w:rPr>
                <w:rFonts w:ascii="宋体" w:hAnsi="宋体" w:eastAsia="宋体"/>
                <w:b/>
                <w:color w:val="000000" w:themeColor="text1"/>
                <w:szCs w:val="20"/>
                <w14:textFill>
                  <w14:solidFill>
                    <w14:schemeClr w14:val="tx1"/>
                  </w14:solidFill>
                </w14:textFill>
              </w:rPr>
              <w:t>最不利投资</w:t>
            </w:r>
            <w:r>
              <w:rPr>
                <w:rFonts w:hint="eastAsia" w:ascii="宋体" w:hAnsi="宋体" w:eastAsia="宋体"/>
                <w:b/>
                <w:color w:val="000000" w:themeColor="text1"/>
                <w:szCs w:val="20"/>
                <w14:textFill>
                  <w14:solidFill>
                    <w14:schemeClr w14:val="tx1"/>
                  </w14:solidFill>
                </w14:textFill>
              </w:rPr>
              <w:t>情形</w:t>
            </w:r>
            <w:r>
              <w:rPr>
                <w:rFonts w:ascii="宋体" w:hAnsi="宋体" w:eastAsia="宋体"/>
                <w:b/>
                <w:color w:val="000000" w:themeColor="text1"/>
                <w:szCs w:val="20"/>
                <w14:textFill>
                  <w14:solidFill>
                    <w14:schemeClr w14:val="tx1"/>
                  </w14:solidFill>
                </w14:textFill>
              </w:rPr>
              <w:t>下的投资</w:t>
            </w:r>
            <w:r>
              <w:rPr>
                <w:rFonts w:hint="eastAsia" w:ascii="宋体" w:hAnsi="宋体" w:eastAsia="宋体"/>
                <w:b/>
                <w:color w:val="000000" w:themeColor="text1"/>
                <w:szCs w:val="20"/>
                <w14:textFill>
                  <w14:solidFill>
                    <w14:schemeClr w14:val="tx1"/>
                  </w14:solidFill>
                </w14:textFill>
              </w:rPr>
              <w:t>结果</w:t>
            </w:r>
            <w:r>
              <w:rPr>
                <w:rFonts w:ascii="宋体" w:hAnsi="宋体" w:eastAsia="宋体"/>
                <w:b/>
                <w:color w:val="000000" w:themeColor="text1"/>
                <w:szCs w:val="20"/>
                <w14:textFill>
                  <w14:solidFill>
                    <w14:schemeClr w14:val="tx1"/>
                  </w14:solidFill>
                </w14:textFill>
              </w:rPr>
              <w:t>示例</w:t>
            </w:r>
          </w:p>
        </w:tc>
        <w:tc>
          <w:tcPr>
            <w:tcW w:w="6237" w:type="dxa"/>
          </w:tcPr>
          <w:p>
            <w:pPr>
              <w:pStyle w:val="21"/>
              <w:ind w:firstLine="0" w:firstLineChars="0"/>
              <w:rPr>
                <w:rFonts w:ascii="宋体" w:hAnsi="宋体" w:eastAsia="宋体"/>
                <w:b/>
                <w:color w:val="000000" w:themeColor="text1"/>
                <w:szCs w:val="20"/>
                <w14:textFill>
                  <w14:solidFill>
                    <w14:schemeClr w14:val="tx1"/>
                  </w14:solidFill>
                </w14:textFill>
              </w:rPr>
            </w:pPr>
            <w:r>
              <w:rPr>
                <w:rFonts w:hint="eastAsia" w:ascii="宋体" w:hAnsi="宋体" w:eastAsia="宋体"/>
                <w:b/>
                <w:color w:val="000000" w:themeColor="text1"/>
                <w:szCs w:val="20"/>
                <w14:textFill>
                  <w14:solidFill>
                    <w14:schemeClr w14:val="tx1"/>
                  </w14:solidFill>
                </w14:textFill>
              </w:rPr>
              <w:t>本理财产品最不利投资情形为所投资的国债、信用债、证券投资基金、权益类资产等金融工具出现市场价格剧烈波动或发行人违约等极端情况，本理财产品收益可能为零，本金全部损失。</w:t>
            </w:r>
          </w:p>
        </w:tc>
      </w:tr>
    </w:tbl>
    <w:p>
      <w:pPr>
        <w:pStyle w:val="21"/>
        <w:numPr>
          <w:ilvl w:val="0"/>
          <w:numId w:val="1"/>
        </w:numPr>
        <w:ind w:firstLineChars="0"/>
        <w:rPr>
          <w:b/>
          <w:color w:val="000000" w:themeColor="text1"/>
          <w:szCs w:val="20"/>
          <w14:textFill>
            <w14:solidFill>
              <w14:schemeClr w14:val="tx1"/>
            </w14:solidFill>
          </w14:textFill>
        </w:rPr>
      </w:pPr>
      <w:r>
        <w:rPr>
          <w:rFonts w:hint="eastAsia"/>
          <w:b/>
          <w:color w:val="000000" w:themeColor="text1"/>
          <w:szCs w:val="20"/>
          <w14:textFill>
            <w14:solidFill>
              <w14:schemeClr w14:val="tx1"/>
            </w14:solidFill>
          </w14:textFill>
        </w:rPr>
        <w:t>风险揭示内容</w:t>
      </w:r>
    </w:p>
    <w:p>
      <w:pPr>
        <w:pStyle w:val="10"/>
        <w:overflowPunct w:val="0"/>
        <w:topLinePunct/>
        <w:autoSpaceDE w:val="0"/>
        <w:autoSpaceDN w:val="0"/>
        <w:spacing w:before="0" w:beforeAutospacing="0" w:after="0" w:afterAutospacing="0"/>
        <w:ind w:firstLine="422"/>
        <w:jc w:val="both"/>
        <w:rPr>
          <w:rFonts w:ascii="宋体" w:hAnsi="宋体" w:eastAsia="宋体"/>
          <w:b/>
          <w:sz w:val="21"/>
          <w:szCs w:val="18"/>
        </w:rPr>
      </w:pPr>
      <w:r>
        <w:rPr>
          <w:rFonts w:hint="eastAsia" w:ascii="宋体" w:hAnsi="宋体" w:eastAsia="宋体"/>
          <w:b/>
          <w:sz w:val="21"/>
          <w:szCs w:val="18"/>
        </w:rPr>
        <w:t>理财产品管理人将本着“恪守信用、勤勉尽责”的原则管理和运用理财产品财产，但并不对本理财产品提供保证本金和收益的承诺，投资者的本金和</w:t>
      </w:r>
      <w:r>
        <w:rPr>
          <w:rFonts w:ascii="宋体" w:hAnsi="宋体" w:eastAsia="宋体"/>
          <w:b/>
          <w:sz w:val="21"/>
          <w:szCs w:val="18"/>
        </w:rPr>
        <w:t>收益</w:t>
      </w:r>
      <w:r>
        <w:rPr>
          <w:rFonts w:hint="eastAsia" w:ascii="宋体" w:hAnsi="宋体" w:eastAsia="宋体"/>
          <w:b/>
          <w:sz w:val="21"/>
          <w:szCs w:val="18"/>
        </w:rPr>
        <w:t>可能会因市场变动而蒙受一定程度的损失，投资者应充分认识投资风险，谨慎投资。</w:t>
      </w:r>
    </w:p>
    <w:p>
      <w:pPr>
        <w:pStyle w:val="10"/>
        <w:widowControl w:val="0"/>
        <w:numPr>
          <w:ilvl w:val="0"/>
          <w:numId w:val="2"/>
        </w:numPr>
        <w:overflowPunct w:val="0"/>
        <w:topLinePunct/>
        <w:autoSpaceDE w:val="0"/>
        <w:autoSpaceDN w:val="0"/>
        <w:spacing w:before="0" w:beforeAutospacing="0" w:after="0" w:afterAutospacing="0"/>
        <w:jc w:val="both"/>
        <w:rPr>
          <w:rFonts w:ascii="宋体" w:hAnsi="宋体" w:eastAsia="宋体" w:cs="宋体"/>
          <w:b/>
          <w:bCs/>
          <w:color w:val="000000" w:themeColor="text1"/>
          <w:sz w:val="21"/>
          <w:szCs w:val="18"/>
          <w14:textFill>
            <w14:solidFill>
              <w14:schemeClr w14:val="tx1"/>
            </w14:solidFill>
          </w14:textFill>
        </w:rPr>
      </w:pPr>
      <w:r>
        <w:rPr>
          <w:rFonts w:hint="eastAsia" w:ascii="宋体" w:hAnsi="宋体" w:eastAsia="宋体" w:cs="宋体"/>
          <w:b/>
          <w:bCs/>
          <w:color w:val="000000" w:themeColor="text1"/>
          <w:sz w:val="21"/>
          <w:szCs w:val="18"/>
          <w14:textFill>
            <w14:solidFill>
              <w14:schemeClr w14:val="tx1"/>
            </w14:solidFill>
          </w14:textFill>
        </w:rPr>
        <w:t>市场风险：受各种市场因素、宏观政策因素等的影响，本理财产品所投资的各类资产价值可能下跌，导致理财收益下降甚至本金损失。理财产品管理人将密切跟踪货币市场、债券市场、股票市场及其他证券市场走势，在各类资产间灵活配置，设定单类资产的配置比例，降低市场风险。同时限制理财产品财产的投资范围和比例，严格按投资原则进行投资运作。</w:t>
      </w:r>
    </w:p>
    <w:p>
      <w:pPr>
        <w:pStyle w:val="10"/>
        <w:widowControl w:val="0"/>
        <w:numPr>
          <w:ilvl w:val="0"/>
          <w:numId w:val="2"/>
        </w:numPr>
        <w:overflowPunct w:val="0"/>
        <w:topLinePunct/>
        <w:autoSpaceDE w:val="0"/>
        <w:autoSpaceDN w:val="0"/>
        <w:spacing w:before="0" w:beforeAutospacing="0" w:after="0" w:afterAutospacing="0"/>
        <w:jc w:val="both"/>
        <w:rPr>
          <w:rFonts w:ascii="宋体" w:hAnsi="宋体" w:eastAsia="宋体" w:cs="宋体"/>
          <w:b/>
          <w:bCs/>
          <w:color w:val="000000" w:themeColor="text1"/>
          <w:sz w:val="21"/>
          <w:szCs w:val="18"/>
          <w14:textFill>
            <w14:solidFill>
              <w14:schemeClr w14:val="tx1"/>
            </w14:solidFill>
          </w14:textFill>
        </w:rPr>
      </w:pPr>
      <w:r>
        <w:rPr>
          <w:rFonts w:hint="eastAsia" w:ascii="宋体" w:hAnsi="宋体" w:eastAsia="宋体" w:cs="宋体"/>
          <w:b/>
          <w:bCs/>
          <w:color w:val="000000" w:themeColor="text1"/>
          <w:sz w:val="21"/>
          <w:szCs w:val="18"/>
          <w14:textFill>
            <w14:solidFill>
              <w14:schemeClr w14:val="tx1"/>
            </w14:solidFill>
          </w14:textFill>
        </w:rPr>
        <w:t>信用风险：如果本理财产品的交易对手或者所投资的各类债券和其他债权发生信用违约、托管人破产，可能影响投资收益，甚至致使理财产品本金受到损失。理财产品管理人将对所投资的各类债权类资产的风险承担主体的财务状况、行业背景以及公司治理等进行密切跟踪及分析，并根据内部投资评级的要求，严格控制风险暴露；另外，理财产品管理人将基于谨慎性原则，对交易对手的资质进行严格挑选。</w:t>
      </w:r>
    </w:p>
    <w:p>
      <w:pPr>
        <w:pStyle w:val="10"/>
        <w:widowControl w:val="0"/>
        <w:numPr>
          <w:ilvl w:val="0"/>
          <w:numId w:val="2"/>
        </w:numPr>
        <w:overflowPunct w:val="0"/>
        <w:topLinePunct/>
        <w:autoSpaceDE w:val="0"/>
        <w:autoSpaceDN w:val="0"/>
        <w:spacing w:before="0" w:beforeAutospacing="0" w:after="0" w:afterAutospacing="0"/>
        <w:jc w:val="both"/>
        <w:rPr>
          <w:rFonts w:ascii="宋体" w:hAnsi="宋体" w:eastAsia="宋体" w:cs="宋体"/>
          <w:b/>
          <w:bCs/>
          <w:color w:val="000000" w:themeColor="text1"/>
          <w:sz w:val="21"/>
          <w:szCs w:val="18"/>
          <w14:textFill>
            <w14:solidFill>
              <w14:schemeClr w14:val="tx1"/>
            </w14:solidFill>
          </w14:textFill>
        </w:rPr>
      </w:pPr>
      <w:r>
        <w:rPr>
          <w:rFonts w:hint="eastAsia" w:ascii="宋体" w:hAnsi="宋体" w:eastAsia="宋体" w:cs="宋体"/>
          <w:b/>
          <w:bCs/>
          <w:color w:val="000000" w:themeColor="text1"/>
          <w:sz w:val="21"/>
          <w:szCs w:val="18"/>
          <w14:textFill>
            <w14:solidFill>
              <w14:schemeClr w14:val="tx1"/>
            </w14:solidFill>
          </w14:textFill>
        </w:rPr>
        <w:t>流动性风险：</w:t>
      </w:r>
      <w:r>
        <w:rPr>
          <w:rFonts w:hint="eastAsia" w:ascii="宋体" w:hAnsi="宋体" w:eastAsia="宋体"/>
          <w:b/>
          <w:sz w:val="21"/>
          <w:szCs w:val="21"/>
        </w:rPr>
        <w:t>流动性风险是指本理财产品无法通过变现资产等途径以合理成本及时获得充足资金，用于满足本理财产品的投资者赎回需求、履行其他支付义务的风险。理财产品管理人将对持仓证券的流动性进行研究和监控，使未来现金流尽可能地均匀分布，保留适当的现金和高流动性资产比例，同时增加剩余期限短、流动性好的资产比例。加强与投资者的沟通与宣传、分析投资者的行为方式、关注资金市场变化，提前判断流动性变化并且采取应对措施，力争理财产品的参与和退出较为平稳地运行</w:t>
      </w:r>
      <w:r>
        <w:rPr>
          <w:rFonts w:hint="eastAsia" w:ascii="宋体" w:hAnsi="宋体" w:eastAsia="宋体" w:cs="宋体"/>
          <w:b/>
          <w:bCs/>
          <w:color w:val="000000" w:themeColor="text1"/>
          <w:sz w:val="21"/>
          <w:szCs w:val="18"/>
          <w14:textFill>
            <w14:solidFill>
              <w14:schemeClr w14:val="tx1"/>
            </w14:solidFill>
          </w14:textFill>
        </w:rPr>
        <w:t>。</w:t>
      </w:r>
    </w:p>
    <w:p>
      <w:pPr>
        <w:tabs>
          <w:tab w:val="left" w:pos="1481"/>
        </w:tabs>
        <w:overflowPunct w:val="0"/>
        <w:topLinePunct/>
        <w:autoSpaceDE w:val="0"/>
        <w:autoSpaceDN w:val="0"/>
        <w:ind w:firstLine="422" w:firstLineChars="200"/>
        <w:rPr>
          <w:rFonts w:ascii="宋体" w:hAnsi="宋体" w:eastAsia="宋体"/>
          <w:b/>
          <w:szCs w:val="20"/>
        </w:rPr>
      </w:pPr>
      <w:r>
        <w:rPr>
          <w:rFonts w:hint="eastAsia" w:ascii="宋体" w:hAnsi="宋体" w:eastAsia="宋体"/>
          <w:b/>
          <w:szCs w:val="20"/>
        </w:rPr>
        <w:t>（1）认（申）购、赎回安排</w:t>
      </w:r>
    </w:p>
    <w:p>
      <w:pPr>
        <w:pStyle w:val="10"/>
        <w:widowControl w:val="0"/>
        <w:numPr>
          <w:ilvl w:val="255"/>
          <w:numId w:val="0"/>
        </w:numPr>
        <w:overflowPunct w:val="0"/>
        <w:topLinePunct/>
        <w:autoSpaceDE w:val="0"/>
        <w:autoSpaceDN w:val="0"/>
        <w:spacing w:before="0" w:beforeAutospacing="0" w:after="0" w:afterAutospacing="0"/>
        <w:ind w:firstLine="422" w:firstLineChars="200"/>
        <w:jc w:val="both"/>
        <w:rPr>
          <w:rFonts w:ascii="宋体" w:hAnsi="宋体" w:eastAsia="宋体" w:cstheme="minorBidi"/>
          <w:b/>
          <w:kern w:val="2"/>
          <w:sz w:val="21"/>
          <w:szCs w:val="20"/>
        </w:rPr>
      </w:pPr>
      <w:r>
        <w:rPr>
          <w:rFonts w:hint="eastAsia" w:ascii="宋体" w:hAnsi="宋体" w:eastAsia="宋体" w:cstheme="minorBidi"/>
          <w:b/>
          <w:kern w:val="2"/>
          <w:sz w:val="21"/>
          <w:szCs w:val="20"/>
        </w:rPr>
        <w:t>本理财产品的认（申）购、赎回安排具体规则详见《产品说明书》“三 、认购”和“七、申购和赎回”部分。</w:t>
      </w:r>
    </w:p>
    <w:p>
      <w:pPr>
        <w:pStyle w:val="10"/>
        <w:widowControl w:val="0"/>
        <w:numPr>
          <w:ilvl w:val="255"/>
          <w:numId w:val="0"/>
        </w:numPr>
        <w:overflowPunct w:val="0"/>
        <w:topLinePunct/>
        <w:autoSpaceDE w:val="0"/>
        <w:autoSpaceDN w:val="0"/>
        <w:spacing w:before="0" w:beforeAutospacing="0" w:after="0" w:afterAutospacing="0"/>
        <w:ind w:firstLine="422" w:firstLineChars="200"/>
        <w:jc w:val="both"/>
      </w:pPr>
      <w:r>
        <w:rPr>
          <w:rFonts w:hint="eastAsia" w:ascii="宋体" w:hAnsi="宋体" w:eastAsia="宋体" w:cstheme="minorBidi"/>
          <w:b/>
          <w:kern w:val="2"/>
          <w:sz w:val="21"/>
          <w:szCs w:val="20"/>
        </w:rPr>
        <w:t>（2）拟投资市场、资产的流动性风险评估</w:t>
      </w:r>
    </w:p>
    <w:p>
      <w:pPr>
        <w:tabs>
          <w:tab w:val="left" w:pos="1481"/>
        </w:tabs>
        <w:overflowPunct w:val="0"/>
        <w:topLinePunct/>
        <w:autoSpaceDE w:val="0"/>
        <w:autoSpaceDN w:val="0"/>
        <w:ind w:firstLine="422" w:firstLineChars="200"/>
        <w:rPr>
          <w:rFonts w:ascii="宋体" w:hAnsi="宋体" w:eastAsia="宋体"/>
          <w:b/>
          <w:szCs w:val="20"/>
        </w:rPr>
      </w:pPr>
      <w:r>
        <w:rPr>
          <w:rFonts w:hint="eastAsia" w:ascii="宋体" w:hAnsi="宋体" w:eastAsia="宋体"/>
          <w:b/>
          <w:szCs w:val="20"/>
        </w:rPr>
        <w:t>本产品拟投资的具体资产可分为银行间债券、交易所债券、货币市场类资产、证券投资基金、交易所上市股票和其他资管产品。整体上银行间发行债券的流动性要优于交易所发行的债券，货币市场类一般投资期限较短，流动性也较好。拟投资的交易所上市股票，总体而言流通市值较大、成交活跃。证券投资基金及其他资管产品正常情况下有义务接受申赎申请，能够满足日常流动性运作要求。</w:t>
      </w:r>
    </w:p>
    <w:p>
      <w:pPr>
        <w:tabs>
          <w:tab w:val="left" w:pos="1481"/>
        </w:tabs>
        <w:overflowPunct w:val="0"/>
        <w:topLinePunct/>
        <w:autoSpaceDE w:val="0"/>
        <w:autoSpaceDN w:val="0"/>
        <w:ind w:firstLine="422" w:firstLineChars="200"/>
        <w:rPr>
          <w:rFonts w:ascii="宋体" w:hAnsi="宋体" w:eastAsia="宋体"/>
          <w:b/>
          <w:szCs w:val="20"/>
        </w:rPr>
      </w:pPr>
      <w:r>
        <w:rPr>
          <w:rFonts w:hint="eastAsia" w:ascii="宋体" w:hAnsi="宋体" w:eastAsia="宋体"/>
          <w:b/>
          <w:szCs w:val="20"/>
        </w:rPr>
        <w:t>银行间市场发行的债券可分为三大类：第一类是银行间发行的国债、央票和政策性金融债，这三类债券的流动性最好。其中，央票因存量不断减少，成交量稀少，国债和政策性金融债的成交活跃品种以1年、3年、5年、7年和10年等关键期限的债券为主。第二类是银行间发行的短期融资券、超短期融资券、中期票据和企业债，这几类信用债按照信用等级的不同，高等级的流动性优于中低等级，成交活跃品种以信用等级为AAA的债券为主。第三类是地方政府债、政策性银行之外金融机构发行的金融债（商业银行债、商业银行次级债券、保险公司债、证券公司债、证券公司短期融资券和其它金融机构债）和资产支持证券，资产支持证券成交活跃度相对较低。</w:t>
      </w:r>
    </w:p>
    <w:p>
      <w:pPr>
        <w:tabs>
          <w:tab w:val="left" w:pos="1481"/>
        </w:tabs>
        <w:overflowPunct w:val="0"/>
        <w:topLinePunct/>
        <w:autoSpaceDE w:val="0"/>
        <w:autoSpaceDN w:val="0"/>
        <w:ind w:firstLine="422" w:firstLineChars="200"/>
        <w:rPr>
          <w:rFonts w:ascii="宋体" w:hAnsi="宋体" w:eastAsia="宋体"/>
          <w:b/>
          <w:szCs w:val="20"/>
        </w:rPr>
      </w:pPr>
      <w:r>
        <w:rPr>
          <w:rFonts w:hint="eastAsia" w:ascii="宋体" w:hAnsi="宋体" w:eastAsia="宋体"/>
          <w:b/>
          <w:szCs w:val="20"/>
        </w:rPr>
        <w:t>交易所发行的债券也可分为三大类，一是流动性较好的国债；二是交易所发行的企业债和公募公司债，这两类信用债的个券流动性差异很大，部分债券竞价交易经常多日未有成交，成交活跃券种仍集中在AAA的高等级债券。三是交易所发行的地方政府债、证券公司债和政策银行债，这几类债券的成交量占比较小。尤其是政策银行债因主要在银行间发行，交易所发行量较少，成交相对不活跃。</w:t>
      </w:r>
    </w:p>
    <w:p>
      <w:pPr>
        <w:tabs>
          <w:tab w:val="left" w:pos="1481"/>
        </w:tabs>
        <w:overflowPunct w:val="0"/>
        <w:topLinePunct/>
        <w:autoSpaceDE w:val="0"/>
        <w:autoSpaceDN w:val="0"/>
        <w:ind w:firstLine="422" w:firstLineChars="200"/>
        <w:rPr>
          <w:rFonts w:ascii="宋体" w:hAnsi="宋体" w:eastAsia="宋体"/>
          <w:b/>
          <w:szCs w:val="20"/>
        </w:rPr>
      </w:pPr>
      <w:r>
        <w:rPr>
          <w:rFonts w:hint="eastAsia" w:ascii="宋体" w:hAnsi="宋体" w:eastAsia="宋体"/>
          <w:b/>
          <w:szCs w:val="20"/>
        </w:rPr>
        <w:t>货币市场类资产主要包括同业存单、债券回购和存款。同业存单在银行间发行和交易，单只发行金额一般较大，AAA存单的流动性最好，在二级市场交易活跃。债券回购有确定的到期日限制，到期前无法为流动性变现提供帮助，但相对其他可投资产来说，债券回购的期限较短。银行存款分为有提前支取条款和无提前支取条款两类，一般可提前支取的流动性好于不可提前支取的存款，但可提前支取也要看是否有额外的附加条款。</w:t>
      </w:r>
    </w:p>
    <w:p>
      <w:pPr>
        <w:tabs>
          <w:tab w:val="left" w:pos="1481"/>
        </w:tabs>
        <w:overflowPunct w:val="0"/>
        <w:topLinePunct/>
        <w:autoSpaceDE w:val="0"/>
        <w:autoSpaceDN w:val="0"/>
        <w:ind w:firstLine="422" w:firstLineChars="200"/>
        <w:rPr>
          <w:rFonts w:ascii="宋体" w:hAnsi="宋体" w:eastAsia="宋体"/>
          <w:b/>
          <w:szCs w:val="20"/>
        </w:rPr>
      </w:pPr>
      <w:r>
        <w:rPr>
          <w:rFonts w:hint="eastAsia" w:ascii="宋体" w:hAnsi="宋体" w:eastAsia="宋体"/>
          <w:b/>
          <w:szCs w:val="20"/>
        </w:rPr>
        <w:t>拟投资权益类资产包括上海证券交易所、深圳证券交易所、北京证券交易所以及其他国务院同意设立的证券交易所挂牌交易的股票、新股申购、定向增发、内地与香港股票市场交易互联互通机制下允许买卖的香港联合交易所上市股票及监管批准的其它互联互通机制下的交易所上市股票等。正常情况下交易所上市股票成交活跃，流动性较好。</w:t>
      </w:r>
    </w:p>
    <w:p>
      <w:pPr>
        <w:tabs>
          <w:tab w:val="left" w:pos="1481"/>
        </w:tabs>
        <w:overflowPunct w:val="0"/>
        <w:topLinePunct/>
        <w:autoSpaceDE w:val="0"/>
        <w:autoSpaceDN w:val="0"/>
        <w:ind w:firstLine="422" w:firstLineChars="200"/>
        <w:rPr>
          <w:rFonts w:ascii="宋体" w:hAnsi="宋体" w:eastAsia="宋体"/>
          <w:b/>
          <w:szCs w:val="20"/>
        </w:rPr>
      </w:pPr>
      <w:r>
        <w:rPr>
          <w:rFonts w:hint="eastAsia" w:ascii="宋体" w:hAnsi="宋体" w:eastAsia="宋体"/>
          <w:b/>
          <w:szCs w:val="20"/>
        </w:rPr>
        <w:t>本产品主要以证券投资基金形式投资贵金属资产。证券投资基金及其他资管产品正常情况下能及时赎回变现，以满足日常流动性运作要求。本产品拟重点选择管理规范、业绩优良、历史流动性状况良好的基金及资管公司投资。</w:t>
      </w:r>
    </w:p>
    <w:p>
      <w:pPr>
        <w:tabs>
          <w:tab w:val="left" w:pos="1481"/>
        </w:tabs>
        <w:overflowPunct w:val="0"/>
        <w:topLinePunct/>
        <w:autoSpaceDE w:val="0"/>
        <w:autoSpaceDN w:val="0"/>
        <w:rPr>
          <w:rFonts w:ascii="宋体" w:hAnsi="宋体" w:eastAsia="宋体"/>
          <w:b/>
          <w:szCs w:val="20"/>
        </w:rPr>
      </w:pPr>
      <w:r>
        <w:rPr>
          <w:rFonts w:hint="eastAsia" w:ascii="宋体" w:hAnsi="宋体" w:eastAsia="宋体"/>
          <w:b/>
          <w:szCs w:val="20"/>
        </w:rPr>
        <w:t>本产品也可投资于境外债券、银行存款、同业存单、结构化票据等境外固定收益类资产和股票型基金、混合型基金等境外权益类资产。整体来看投资组合投资期限较短，投资标的大部分为标准化金融工具，具备较强的流动性。管理人严格控制开放期内投资于低流动性资产的投资品种比例，并结合对各类资产的预期流动性合理进行资产配置，以防范流动性风险。</w:t>
      </w:r>
    </w:p>
    <w:p>
      <w:pPr>
        <w:pStyle w:val="10"/>
        <w:widowControl w:val="0"/>
        <w:numPr>
          <w:ilvl w:val="255"/>
          <w:numId w:val="0"/>
        </w:numPr>
        <w:overflowPunct w:val="0"/>
        <w:topLinePunct/>
        <w:autoSpaceDE w:val="0"/>
        <w:autoSpaceDN w:val="0"/>
        <w:spacing w:before="0" w:beforeAutospacing="0" w:after="0" w:afterAutospacing="0"/>
        <w:ind w:firstLine="422" w:firstLineChars="200"/>
        <w:jc w:val="both"/>
        <w:rPr>
          <w:rFonts w:ascii="宋体" w:hAnsi="宋体" w:eastAsia="宋体" w:cstheme="minorBidi"/>
          <w:b/>
          <w:kern w:val="2"/>
          <w:sz w:val="21"/>
          <w:szCs w:val="20"/>
        </w:rPr>
      </w:pPr>
      <w:r>
        <w:rPr>
          <w:rFonts w:hint="eastAsia" w:ascii="宋体" w:hAnsi="宋体" w:eastAsia="宋体" w:cstheme="minorBidi"/>
          <w:b/>
          <w:kern w:val="2"/>
          <w:sz w:val="21"/>
          <w:szCs w:val="20"/>
        </w:rPr>
        <w:t>（3）拟运用的流动性风险应对措施及其使用情形、处理方法、程序及对投资者的潜在影响</w:t>
      </w:r>
    </w:p>
    <w:p>
      <w:pPr>
        <w:pStyle w:val="10"/>
        <w:numPr>
          <w:ilvl w:val="255"/>
          <w:numId w:val="0"/>
        </w:numPr>
        <w:overflowPunct w:val="0"/>
        <w:topLinePunct/>
        <w:autoSpaceDE w:val="0"/>
        <w:autoSpaceDN w:val="0"/>
        <w:spacing w:before="0" w:beforeAutospacing="0" w:after="0" w:afterAutospacing="0"/>
        <w:ind w:firstLine="422" w:firstLineChars="200"/>
        <w:jc w:val="both"/>
        <w:rPr>
          <w:rFonts w:ascii="宋体" w:hAnsi="宋体" w:eastAsia="宋体" w:cstheme="minorBidi"/>
          <w:b/>
          <w:kern w:val="2"/>
          <w:sz w:val="21"/>
          <w:szCs w:val="20"/>
        </w:rPr>
      </w:pPr>
      <w:r>
        <w:rPr>
          <w:rFonts w:hint="eastAsia" w:ascii="宋体" w:hAnsi="宋体" w:eastAsia="宋体" w:cstheme="minorBidi"/>
          <w:b/>
          <w:kern w:val="2"/>
          <w:sz w:val="21"/>
          <w:szCs w:val="20"/>
        </w:rPr>
        <w:t>理财产品管理人可依照法律法规及《产品说明书》的约定，综合运用各类流动性风险应对措施，对认（申）购、赎回申请进行适度调整，流动性风险应对措施分为认（申）购风险应对措施和赎回风险应对措施。</w:t>
      </w:r>
    </w:p>
    <w:p>
      <w:pPr>
        <w:pStyle w:val="10"/>
        <w:numPr>
          <w:ilvl w:val="0"/>
          <w:numId w:val="3"/>
        </w:numPr>
        <w:overflowPunct w:val="0"/>
        <w:topLinePunct/>
        <w:autoSpaceDE w:val="0"/>
        <w:autoSpaceDN w:val="0"/>
        <w:spacing w:before="0" w:beforeAutospacing="0" w:after="0" w:afterAutospacing="0"/>
        <w:ind w:firstLine="422" w:firstLineChars="200"/>
        <w:jc w:val="both"/>
        <w:rPr>
          <w:rFonts w:ascii="宋体" w:hAnsi="宋体" w:eastAsia="宋体" w:cstheme="minorBidi"/>
          <w:b/>
          <w:kern w:val="2"/>
          <w:sz w:val="21"/>
          <w:szCs w:val="20"/>
        </w:rPr>
      </w:pPr>
      <w:r>
        <w:rPr>
          <w:rFonts w:hint="eastAsia" w:ascii="宋体" w:hAnsi="宋体" w:eastAsia="宋体" w:cstheme="minorBidi"/>
          <w:b/>
          <w:kern w:val="2"/>
          <w:sz w:val="21"/>
          <w:szCs w:val="20"/>
        </w:rPr>
        <w:t>认（申）购风险应对措施</w:t>
      </w:r>
    </w:p>
    <w:p>
      <w:pPr>
        <w:pStyle w:val="10"/>
        <w:numPr>
          <w:ilvl w:val="255"/>
          <w:numId w:val="0"/>
        </w:numPr>
        <w:overflowPunct w:val="0"/>
        <w:topLinePunct/>
        <w:autoSpaceDE w:val="0"/>
        <w:autoSpaceDN w:val="0"/>
        <w:spacing w:before="0" w:beforeAutospacing="0" w:after="0" w:afterAutospacing="0"/>
        <w:ind w:firstLine="422" w:firstLineChars="200"/>
        <w:jc w:val="both"/>
        <w:rPr>
          <w:rFonts w:ascii="宋体" w:hAnsi="宋体" w:eastAsia="宋体" w:cstheme="minorBidi"/>
          <w:b/>
          <w:kern w:val="2"/>
          <w:sz w:val="21"/>
          <w:szCs w:val="20"/>
        </w:rPr>
      </w:pPr>
      <w:r>
        <w:rPr>
          <w:rFonts w:hint="eastAsia" w:ascii="宋体" w:hAnsi="宋体" w:eastAsia="宋体" w:cstheme="minorBidi"/>
          <w:b/>
          <w:kern w:val="2"/>
          <w:sz w:val="21"/>
          <w:szCs w:val="20"/>
        </w:rPr>
        <w:t>当接受认（申）购申请将导致产品规模大幅波动或超过上限，或对存量理财产品份额持有人利益构成潜在重大不利影响时，或者基于投资运作与风险控制需要，理财产品管理人将采取设定单一投资者认（申）购金额上限、拒绝大额认（申）购、暂停认（申）购等措施，保护存量理财产品份额持有人的合法权益。实施认（申）购风险应对措施的情形、处理方式及程序详见《产品说明书》“七、申购和赎回”部分的相关约定。若实施认（申）购风险应对措施，投资者可能无法正常提交认（申）购申请，已经提交的认（申）购申请可能被拒绝接受。</w:t>
      </w:r>
    </w:p>
    <w:p>
      <w:pPr>
        <w:pStyle w:val="10"/>
        <w:numPr>
          <w:ilvl w:val="0"/>
          <w:numId w:val="3"/>
        </w:numPr>
        <w:overflowPunct w:val="0"/>
        <w:topLinePunct/>
        <w:autoSpaceDE w:val="0"/>
        <w:autoSpaceDN w:val="0"/>
        <w:spacing w:before="0" w:beforeAutospacing="0" w:after="0" w:afterAutospacing="0"/>
        <w:ind w:firstLine="422" w:firstLineChars="200"/>
        <w:jc w:val="both"/>
        <w:rPr>
          <w:rFonts w:ascii="宋体" w:hAnsi="宋体" w:eastAsia="宋体" w:cstheme="minorBidi"/>
          <w:b/>
          <w:kern w:val="2"/>
          <w:sz w:val="21"/>
          <w:szCs w:val="20"/>
        </w:rPr>
      </w:pPr>
      <w:r>
        <w:rPr>
          <w:rFonts w:hint="eastAsia" w:ascii="宋体" w:hAnsi="宋体" w:eastAsia="宋体" w:cstheme="minorBidi"/>
          <w:b/>
          <w:kern w:val="2"/>
          <w:sz w:val="21"/>
          <w:szCs w:val="20"/>
        </w:rPr>
        <w:t>赎回风险应对措施</w:t>
      </w:r>
    </w:p>
    <w:p>
      <w:pPr>
        <w:tabs>
          <w:tab w:val="left" w:pos="855"/>
        </w:tabs>
        <w:overflowPunct w:val="0"/>
        <w:topLinePunct/>
        <w:autoSpaceDE w:val="0"/>
        <w:autoSpaceDN w:val="0"/>
        <w:ind w:firstLine="422" w:firstLineChars="200"/>
        <w:rPr>
          <w:rFonts w:ascii="宋体" w:hAnsi="宋体" w:eastAsia="宋体"/>
          <w:b/>
          <w:szCs w:val="20"/>
        </w:rPr>
      </w:pPr>
      <w:r>
        <w:rPr>
          <w:rFonts w:hint="eastAsia" w:ascii="宋体" w:hAnsi="宋体" w:eastAsia="宋体"/>
          <w:b/>
          <w:szCs w:val="20"/>
        </w:rPr>
        <w:t>A</w:t>
      </w:r>
      <w:r>
        <w:rPr>
          <w:rFonts w:hint="eastAsia" w:ascii="宋体" w:hAnsi="宋体" w:eastAsia="宋体"/>
          <w:b/>
          <w:szCs w:val="20"/>
        </w:rPr>
        <w:tab/>
      </w:r>
      <w:r>
        <w:rPr>
          <w:rFonts w:hint="eastAsia" w:ascii="宋体" w:hAnsi="宋体" w:eastAsia="宋体"/>
          <w:b/>
          <w:szCs w:val="20"/>
        </w:rPr>
        <w:t>延期办理巨额赎回申请：当本理财产品触发巨额赎回限制时，产品管理人可以延期办理巨额赎回申请，详见《产品说明书》“七、申购和赎回”部分关于巨额赎回的相关约定。当实施延期办理巨额赎回申请的措施时，投资者的赎回申请将无法按时全额获得确认，投资者自身的流动性可能受到影响，并将额外承担市场波动对理财产品净值的影响。</w:t>
      </w:r>
    </w:p>
    <w:p>
      <w:pPr>
        <w:tabs>
          <w:tab w:val="left" w:pos="855"/>
        </w:tabs>
        <w:overflowPunct w:val="0"/>
        <w:topLinePunct/>
        <w:autoSpaceDE w:val="0"/>
        <w:autoSpaceDN w:val="0"/>
        <w:ind w:firstLine="422" w:firstLineChars="200"/>
        <w:rPr>
          <w:rFonts w:ascii="宋体" w:hAnsi="宋体" w:eastAsia="宋体"/>
          <w:b/>
          <w:szCs w:val="20"/>
        </w:rPr>
      </w:pPr>
      <w:r>
        <w:rPr>
          <w:rFonts w:hint="eastAsia" w:ascii="宋体" w:hAnsi="宋体" w:eastAsia="宋体"/>
          <w:b/>
          <w:szCs w:val="20"/>
        </w:rPr>
        <w:t>B</w:t>
      </w:r>
      <w:r>
        <w:rPr>
          <w:rFonts w:hint="eastAsia" w:ascii="宋体" w:hAnsi="宋体" w:eastAsia="宋体"/>
          <w:b/>
          <w:szCs w:val="20"/>
        </w:rPr>
        <w:tab/>
      </w:r>
      <w:r>
        <w:rPr>
          <w:rFonts w:hint="eastAsia" w:ascii="宋体" w:hAnsi="宋体" w:eastAsia="宋体"/>
          <w:b/>
          <w:szCs w:val="20"/>
        </w:rPr>
        <w:t>暂停接受赎回申请或延缓支付赎回款项：实施暂停接受赎回申请或延缓支付赎回款项的情形、处理方式及程序详见《产品说明书》“七、申购和赎回”关于暂停接受赎回申请或延缓支付赎回款项的相关约定。若实施暂停接受赎回申请的措施，投资者一方面不能赎回理财产品份额，可能影响自身的流动性，另一方面将承担额外的市场波动对理财产品净值的影响；若实施延缓支付赎回款项，投资者不能如期获得全额赎回款，自身的流动性可能受到影响。</w:t>
      </w:r>
    </w:p>
    <w:p>
      <w:pPr>
        <w:tabs>
          <w:tab w:val="left" w:pos="855"/>
        </w:tabs>
        <w:overflowPunct w:val="0"/>
        <w:topLinePunct/>
        <w:autoSpaceDE w:val="0"/>
        <w:autoSpaceDN w:val="0"/>
        <w:ind w:firstLine="422" w:firstLineChars="200"/>
        <w:rPr>
          <w:rFonts w:ascii="宋体" w:hAnsi="宋体" w:eastAsia="宋体"/>
          <w:b/>
          <w:szCs w:val="20"/>
        </w:rPr>
      </w:pPr>
      <w:r>
        <w:rPr>
          <w:rFonts w:ascii="宋体" w:hAnsi="宋体" w:eastAsia="宋体"/>
          <w:b/>
          <w:szCs w:val="20"/>
        </w:rPr>
        <w:t>C</w:t>
      </w:r>
      <w:r>
        <w:rPr>
          <w:rFonts w:hint="eastAsia" w:ascii="宋体" w:hAnsi="宋体" w:eastAsia="宋体"/>
          <w:b/>
          <w:szCs w:val="20"/>
        </w:rPr>
        <w:tab/>
      </w:r>
      <w:r>
        <w:rPr>
          <w:rFonts w:hint="eastAsia" w:ascii="宋体" w:hAnsi="宋体" w:eastAsia="宋体"/>
          <w:b/>
          <w:szCs w:val="20"/>
        </w:rPr>
        <w:t>暂停理财产品估值：暂停理财产品估值的情形详见《产品说明书》关于暂停理财产品估值情形的相关约定。若实施暂停理财产品估值，理财产品管理人会采取延缓支付赎回款项或暂停接受理财产品申购赎回申请的措施，对投资者产生的风险如前所述。</w:t>
      </w:r>
    </w:p>
    <w:p>
      <w:pPr>
        <w:tabs>
          <w:tab w:val="left" w:pos="1481"/>
        </w:tabs>
        <w:overflowPunct w:val="0"/>
        <w:topLinePunct/>
        <w:autoSpaceDE w:val="0"/>
        <w:autoSpaceDN w:val="0"/>
        <w:ind w:firstLine="422" w:firstLineChars="200"/>
        <w:rPr>
          <w:rFonts w:ascii="宋体" w:hAnsi="宋体" w:eastAsia="宋体"/>
          <w:b/>
          <w:szCs w:val="20"/>
        </w:rPr>
      </w:pPr>
      <w:r>
        <w:rPr>
          <w:rFonts w:hint="eastAsia" w:ascii="宋体" w:hAnsi="宋体" w:eastAsia="宋体"/>
          <w:b/>
          <w:szCs w:val="20"/>
        </w:rPr>
        <w:t>③　如本理财产品采用国家金融监督管理机构规定的其他流动性风险控制措施或对上述流动性风险应对措施的使用情形、处理方法、程序进行调整，将在正式实施前至少3个工作日通过相应信息披露渠道披露，并在理财产品销售文件中约定或更新相关措施的使用情形、处理方法、程序及对投资者的潜在影响。</w:t>
      </w:r>
    </w:p>
    <w:p>
      <w:pPr>
        <w:pStyle w:val="10"/>
        <w:widowControl w:val="0"/>
        <w:numPr>
          <w:ilvl w:val="0"/>
          <w:numId w:val="2"/>
        </w:numPr>
        <w:overflowPunct w:val="0"/>
        <w:topLinePunct/>
        <w:autoSpaceDE w:val="0"/>
        <w:autoSpaceDN w:val="0"/>
        <w:spacing w:before="0" w:beforeAutospacing="0" w:after="0" w:afterAutospacing="0"/>
        <w:jc w:val="both"/>
        <w:rPr>
          <w:rFonts w:ascii="宋体" w:hAnsi="宋体" w:eastAsia="宋体" w:cs="宋体"/>
          <w:b/>
          <w:bCs/>
          <w:color w:val="000000" w:themeColor="text1"/>
          <w:sz w:val="21"/>
          <w:szCs w:val="18"/>
          <w14:textFill>
            <w14:solidFill>
              <w14:schemeClr w14:val="tx1"/>
            </w14:solidFill>
          </w14:textFill>
        </w:rPr>
      </w:pPr>
      <w:r>
        <w:rPr>
          <w:rFonts w:hint="eastAsia" w:ascii="宋体" w:hAnsi="宋体" w:eastAsia="宋体" w:cs="宋体"/>
          <w:b/>
          <w:bCs/>
          <w:color w:val="000000" w:themeColor="text1"/>
          <w:sz w:val="21"/>
          <w:szCs w:val="18"/>
          <w14:textFill>
            <w14:solidFill>
              <w14:schemeClr w14:val="tx1"/>
            </w14:solidFill>
          </w14:textFill>
        </w:rPr>
        <w:t>操作风险：产品运作过程中，因内部控制存在缺陷或者人为因素造成操作失误或违反操作规程等引致的风险，例如，越权违规交易、交易错误、IT系统故障等风险。</w:t>
      </w:r>
    </w:p>
    <w:p>
      <w:pPr>
        <w:pStyle w:val="10"/>
        <w:widowControl w:val="0"/>
        <w:numPr>
          <w:ilvl w:val="0"/>
          <w:numId w:val="2"/>
        </w:numPr>
        <w:overflowPunct w:val="0"/>
        <w:topLinePunct/>
        <w:autoSpaceDE w:val="0"/>
        <w:autoSpaceDN w:val="0"/>
        <w:spacing w:before="0" w:beforeAutospacing="0" w:after="0" w:afterAutospacing="0"/>
        <w:jc w:val="both"/>
        <w:rPr>
          <w:rFonts w:ascii="宋体" w:hAnsi="宋体" w:eastAsia="宋体" w:cs="宋体"/>
          <w:b/>
          <w:bCs/>
          <w:color w:val="000000" w:themeColor="text1"/>
          <w:sz w:val="21"/>
          <w:szCs w:val="18"/>
          <w14:textFill>
            <w14:solidFill>
              <w14:schemeClr w14:val="tx1"/>
            </w14:solidFill>
          </w14:textFill>
        </w:rPr>
      </w:pPr>
      <w:r>
        <w:rPr>
          <w:rFonts w:hint="eastAsia" w:ascii="宋体" w:hAnsi="宋体" w:eastAsia="宋体" w:cs="宋体"/>
          <w:b/>
          <w:bCs/>
          <w:color w:val="000000" w:themeColor="text1"/>
          <w:sz w:val="21"/>
          <w:szCs w:val="18"/>
          <w14:textFill>
            <w14:solidFill>
              <w14:schemeClr w14:val="tx1"/>
            </w14:solidFill>
          </w14:textFill>
        </w:rPr>
        <w:t>管理风险：由于本理财产品管理人受技能和管理水平等因素的限制，可能会影响本理财产品的本金和投资收益，导致本金遭受损失和理财收益处于较低水平甚至为零的风险。</w:t>
      </w:r>
    </w:p>
    <w:p>
      <w:pPr>
        <w:pStyle w:val="10"/>
        <w:widowControl w:val="0"/>
        <w:numPr>
          <w:ilvl w:val="0"/>
          <w:numId w:val="2"/>
        </w:numPr>
        <w:overflowPunct w:val="0"/>
        <w:topLinePunct/>
        <w:autoSpaceDE w:val="0"/>
        <w:autoSpaceDN w:val="0"/>
        <w:spacing w:before="0" w:beforeAutospacing="0" w:after="0" w:afterAutospacing="0"/>
        <w:jc w:val="both"/>
        <w:rPr>
          <w:rFonts w:ascii="宋体" w:hAnsi="宋体" w:eastAsia="宋体" w:cs="宋体"/>
          <w:b/>
          <w:bCs/>
          <w:color w:val="000000" w:themeColor="text1"/>
          <w:sz w:val="21"/>
          <w:szCs w:val="18"/>
          <w14:textFill>
            <w14:solidFill>
              <w14:schemeClr w14:val="tx1"/>
            </w14:solidFill>
          </w14:textFill>
        </w:rPr>
      </w:pPr>
      <w:r>
        <w:rPr>
          <w:rFonts w:hint="eastAsia" w:ascii="宋体" w:hAnsi="宋体" w:eastAsia="宋体" w:cs="宋体"/>
          <w:b/>
          <w:bCs/>
          <w:color w:val="000000" w:themeColor="text1"/>
          <w:sz w:val="21"/>
          <w:szCs w:val="18"/>
          <w14:textFill>
            <w14:solidFill>
              <w14:schemeClr w14:val="tx1"/>
            </w14:solidFill>
          </w14:textFill>
        </w:rPr>
        <w:t>法律风险：法律风险包括但不限于因监管措施和解决民商事争议而支付的罚款、罚金、违约金或者赔偿金所导致的风险。</w:t>
      </w:r>
    </w:p>
    <w:p>
      <w:pPr>
        <w:pStyle w:val="10"/>
        <w:widowControl w:val="0"/>
        <w:numPr>
          <w:ilvl w:val="0"/>
          <w:numId w:val="2"/>
        </w:numPr>
        <w:overflowPunct w:val="0"/>
        <w:topLinePunct/>
        <w:autoSpaceDE w:val="0"/>
        <w:autoSpaceDN w:val="0"/>
        <w:spacing w:before="0" w:beforeAutospacing="0" w:after="0" w:afterAutospacing="0"/>
        <w:jc w:val="both"/>
        <w:rPr>
          <w:rFonts w:ascii="宋体" w:hAnsi="宋体" w:eastAsia="宋体" w:cs="宋体"/>
          <w:b/>
          <w:bCs/>
          <w:color w:val="000000" w:themeColor="text1"/>
          <w:sz w:val="21"/>
          <w:szCs w:val="18"/>
          <w14:textFill>
            <w14:solidFill>
              <w14:schemeClr w14:val="tx1"/>
            </w14:solidFill>
          </w14:textFill>
        </w:rPr>
      </w:pPr>
      <w:r>
        <w:rPr>
          <w:rFonts w:hint="eastAsia" w:ascii="宋体" w:hAnsi="宋体" w:eastAsia="宋体" w:cs="宋体"/>
          <w:b/>
          <w:bCs/>
          <w:color w:val="000000" w:themeColor="text1"/>
          <w:sz w:val="21"/>
          <w:szCs w:val="18"/>
          <w14:textFill>
            <w14:solidFill>
              <w14:schemeClr w14:val="tx1"/>
            </w14:solidFill>
          </w14:textFill>
        </w:rPr>
        <w:t>政策风险：本理财产品是针对当前的相关法规和政策设计的，如国家宏观政策及市场相关法规政策发生变化，可能影响本理财产品的受理、投资、偿还等的正常进行，甚至导致本理财产品收益降低甚至本金损失。</w:t>
      </w:r>
    </w:p>
    <w:p>
      <w:pPr>
        <w:pStyle w:val="10"/>
        <w:widowControl w:val="0"/>
        <w:numPr>
          <w:ilvl w:val="0"/>
          <w:numId w:val="2"/>
        </w:numPr>
        <w:overflowPunct w:val="0"/>
        <w:topLinePunct/>
        <w:autoSpaceDE w:val="0"/>
        <w:autoSpaceDN w:val="0"/>
        <w:spacing w:before="0" w:beforeAutospacing="0" w:after="0" w:afterAutospacing="0"/>
        <w:jc w:val="both"/>
        <w:rPr>
          <w:rFonts w:ascii="宋体" w:hAnsi="宋体" w:eastAsia="宋体" w:cs="宋体"/>
          <w:b/>
          <w:bCs/>
          <w:color w:val="000000" w:themeColor="text1"/>
          <w:sz w:val="21"/>
          <w:szCs w:val="18"/>
          <w14:textFill>
            <w14:solidFill>
              <w14:schemeClr w14:val="tx1"/>
            </w14:solidFill>
          </w14:textFill>
        </w:rPr>
      </w:pPr>
      <w:r>
        <w:rPr>
          <w:rFonts w:hint="eastAsia" w:ascii="宋体" w:hAnsi="宋体" w:eastAsia="宋体" w:cs="宋体"/>
          <w:b/>
          <w:bCs/>
          <w:color w:val="000000" w:themeColor="text1"/>
          <w:sz w:val="21"/>
          <w:szCs w:val="18"/>
          <w14:textFill>
            <w14:solidFill>
              <w14:schemeClr w14:val="tx1"/>
            </w14:solidFill>
          </w14:textFill>
        </w:rPr>
        <w:t>产品不成立风险：如果因募集规模低于说明书约定的最低规模或其他因素导致产品管理人宣布本理财产品不成立的情形，投资者将面临再投资风险。</w:t>
      </w:r>
    </w:p>
    <w:p>
      <w:pPr>
        <w:pStyle w:val="10"/>
        <w:widowControl w:val="0"/>
        <w:numPr>
          <w:ilvl w:val="0"/>
          <w:numId w:val="2"/>
        </w:numPr>
        <w:overflowPunct w:val="0"/>
        <w:topLinePunct/>
        <w:autoSpaceDE w:val="0"/>
        <w:autoSpaceDN w:val="0"/>
        <w:spacing w:before="0" w:beforeAutospacing="0" w:after="0" w:afterAutospacing="0"/>
        <w:jc w:val="both"/>
        <w:rPr>
          <w:rFonts w:ascii="宋体" w:hAnsi="宋体" w:eastAsia="宋体" w:cs="宋体"/>
          <w:b/>
          <w:bCs/>
          <w:color w:val="000000" w:themeColor="text1"/>
          <w:sz w:val="21"/>
          <w:szCs w:val="18"/>
          <w14:textFill>
            <w14:solidFill>
              <w14:schemeClr w14:val="tx1"/>
            </w14:solidFill>
          </w14:textFill>
        </w:rPr>
      </w:pPr>
      <w:r>
        <w:rPr>
          <w:rFonts w:hint="eastAsia" w:ascii="宋体" w:hAnsi="宋体" w:eastAsia="宋体" w:cs="宋体"/>
          <w:b/>
          <w:bCs/>
          <w:color w:val="000000" w:themeColor="text1"/>
          <w:sz w:val="21"/>
          <w:szCs w:val="18"/>
          <w14:textFill>
            <w14:solidFill>
              <w14:schemeClr w14:val="tx1"/>
            </w14:solidFill>
          </w14:textFill>
        </w:rPr>
        <w:t>提前终止的风险：在投资期内，如本理财产品发生《产品说明书》“八、提前终止”部分规定的情形，理财产品管理人有权提前终止本理财产品，投资者可能面临不能实现收益目标及不能进行再投资的风险。</w:t>
      </w:r>
    </w:p>
    <w:p>
      <w:pPr>
        <w:pStyle w:val="10"/>
        <w:widowControl w:val="0"/>
        <w:numPr>
          <w:ilvl w:val="0"/>
          <w:numId w:val="2"/>
        </w:numPr>
        <w:overflowPunct w:val="0"/>
        <w:topLinePunct/>
        <w:autoSpaceDE w:val="0"/>
        <w:autoSpaceDN w:val="0"/>
        <w:spacing w:before="0" w:beforeAutospacing="0" w:after="0" w:afterAutospacing="0"/>
        <w:jc w:val="both"/>
        <w:rPr>
          <w:rFonts w:ascii="宋体" w:hAnsi="宋体" w:eastAsia="宋体" w:cs="宋体"/>
          <w:b/>
          <w:bCs/>
          <w:color w:val="000000" w:themeColor="text1"/>
          <w:sz w:val="21"/>
          <w:szCs w:val="18"/>
          <w14:textFill>
            <w14:solidFill>
              <w14:schemeClr w14:val="tx1"/>
            </w14:solidFill>
          </w14:textFill>
        </w:rPr>
      </w:pPr>
      <w:r>
        <w:rPr>
          <w:rFonts w:hint="eastAsia" w:ascii="宋体" w:hAnsi="宋体" w:eastAsia="宋体" w:cs="宋体"/>
          <w:b/>
          <w:bCs/>
          <w:color w:val="000000" w:themeColor="text1"/>
          <w:sz w:val="21"/>
          <w:szCs w:val="18"/>
          <w14:textFill>
            <w14:solidFill>
              <w14:schemeClr w14:val="tx1"/>
            </w14:solidFill>
          </w14:textFill>
        </w:rPr>
        <w:t>信息传递风险：本理财产品存续期内，投资者应根据《产品说明书》所载明的信息披露方式及时、主动查询本理财产品的相关信息。如果投资者未及时、主动查询，或由于通讯故障、系统故障以及其他不可抗力等因素的影响使得投资者无法及时了解产品信息，并由此产生的责任和风险由投资者自行承担。</w:t>
      </w:r>
    </w:p>
    <w:p>
      <w:pPr>
        <w:pStyle w:val="10"/>
        <w:widowControl w:val="0"/>
        <w:numPr>
          <w:ilvl w:val="0"/>
          <w:numId w:val="2"/>
        </w:numPr>
        <w:overflowPunct w:val="0"/>
        <w:topLinePunct/>
        <w:autoSpaceDE w:val="0"/>
        <w:autoSpaceDN w:val="0"/>
        <w:spacing w:before="0" w:beforeAutospacing="0" w:after="0" w:afterAutospacing="0"/>
        <w:jc w:val="both"/>
        <w:rPr>
          <w:rFonts w:ascii="宋体" w:hAnsi="宋体" w:eastAsia="宋体" w:cs="宋体"/>
          <w:b/>
          <w:bCs/>
          <w:color w:val="000000" w:themeColor="text1"/>
          <w:sz w:val="21"/>
          <w:szCs w:val="18"/>
          <w14:textFill>
            <w14:solidFill>
              <w14:schemeClr w14:val="tx1"/>
            </w14:solidFill>
          </w14:textFill>
        </w:rPr>
      </w:pPr>
      <w:r>
        <w:rPr>
          <w:rFonts w:hint="eastAsia" w:ascii="宋体" w:hAnsi="宋体" w:eastAsia="宋体" w:cs="宋体"/>
          <w:b/>
          <w:bCs/>
          <w:color w:val="000000" w:themeColor="text1"/>
          <w:sz w:val="21"/>
          <w:szCs w:val="18"/>
          <w14:textFill>
            <w14:solidFill>
              <w14:schemeClr w14:val="tx1"/>
            </w14:solidFill>
          </w14:textFill>
        </w:rPr>
        <w:t>赎回款项支付延迟风险：如因本产品项下对应的金融资产延期或无法变现等原因造成本产品不能按时支付赎回款项，或因技术因素而产生的风险，如电脑系统故障等，可能会造成赎回款项支付延迟，投资者将面临无法及时获得赎回款项的风险。</w:t>
      </w:r>
    </w:p>
    <w:p>
      <w:pPr>
        <w:pStyle w:val="10"/>
        <w:widowControl w:val="0"/>
        <w:numPr>
          <w:ilvl w:val="0"/>
          <w:numId w:val="2"/>
        </w:numPr>
        <w:overflowPunct w:val="0"/>
        <w:topLinePunct/>
        <w:autoSpaceDE w:val="0"/>
        <w:autoSpaceDN w:val="0"/>
        <w:spacing w:before="0" w:beforeAutospacing="0" w:after="0" w:afterAutospacing="0"/>
        <w:jc w:val="both"/>
        <w:rPr>
          <w:rFonts w:ascii="宋体" w:hAnsi="宋体" w:eastAsia="宋体" w:cs="宋体"/>
          <w:b/>
          <w:bCs/>
          <w:color w:val="000000" w:themeColor="text1"/>
          <w:sz w:val="21"/>
          <w:szCs w:val="18"/>
          <w14:textFill>
            <w14:solidFill>
              <w14:schemeClr w14:val="tx1"/>
            </w14:solidFill>
          </w14:textFill>
        </w:rPr>
      </w:pPr>
      <w:r>
        <w:rPr>
          <w:rFonts w:hint="eastAsia" w:ascii="宋体" w:hAnsi="宋体" w:eastAsia="宋体" w:cs="宋体"/>
          <w:b/>
          <w:bCs/>
          <w:color w:val="000000" w:themeColor="text1"/>
          <w:sz w:val="21"/>
          <w:szCs w:val="18"/>
          <w14:textFill>
            <w14:solidFill>
              <w14:schemeClr w14:val="tx1"/>
            </w14:solidFill>
          </w14:textFill>
        </w:rPr>
        <w:t>投资标的特有风险，可能涉及但不限于下列风险：</w:t>
      </w:r>
    </w:p>
    <w:p>
      <w:pPr>
        <w:pStyle w:val="10"/>
        <w:overflowPunct w:val="0"/>
        <w:topLinePunct/>
        <w:autoSpaceDE w:val="0"/>
        <w:autoSpaceDN w:val="0"/>
        <w:spacing w:before="0" w:beforeAutospacing="0" w:after="0" w:afterAutospacing="0"/>
        <w:ind w:firstLine="422"/>
        <w:jc w:val="both"/>
        <w:rPr>
          <w:rFonts w:ascii="宋体" w:hAnsi="宋体" w:eastAsia="宋体"/>
          <w:b/>
          <w:sz w:val="21"/>
          <w:szCs w:val="21"/>
        </w:rPr>
      </w:pPr>
      <w:r>
        <w:rPr>
          <w:rFonts w:hint="eastAsia" w:ascii="宋体" w:hAnsi="宋体" w:eastAsia="宋体"/>
          <w:b/>
          <w:sz w:val="21"/>
          <w:szCs w:val="21"/>
        </w:rPr>
        <w:t>（1）货币市场工具投资风险</w:t>
      </w:r>
    </w:p>
    <w:p>
      <w:pPr>
        <w:pStyle w:val="10"/>
        <w:numPr>
          <w:ilvl w:val="0"/>
          <w:numId w:val="4"/>
        </w:numPr>
        <w:overflowPunct w:val="0"/>
        <w:topLinePunct/>
        <w:autoSpaceDE w:val="0"/>
        <w:autoSpaceDN w:val="0"/>
        <w:spacing w:before="0" w:beforeAutospacing="0" w:after="0" w:afterAutospacing="0"/>
        <w:jc w:val="both"/>
        <w:rPr>
          <w:rFonts w:ascii="宋体" w:hAnsi="宋体" w:eastAsia="宋体"/>
          <w:b/>
          <w:sz w:val="21"/>
          <w:szCs w:val="21"/>
        </w:rPr>
      </w:pPr>
      <w:r>
        <w:rPr>
          <w:rFonts w:hint="eastAsia" w:ascii="宋体" w:hAnsi="宋体" w:eastAsia="宋体"/>
          <w:b/>
          <w:sz w:val="21"/>
          <w:szCs w:val="21"/>
        </w:rPr>
        <w:t>本理财产品作为资金借出方参与货币市场工具交易时，交易对手可能无法及时偿还全部或部分本金和/或收益，导致理财产品收益下降甚至本金损失；</w:t>
      </w:r>
    </w:p>
    <w:p>
      <w:pPr>
        <w:pStyle w:val="10"/>
        <w:numPr>
          <w:ilvl w:val="0"/>
          <w:numId w:val="4"/>
        </w:numPr>
        <w:overflowPunct w:val="0"/>
        <w:topLinePunct/>
        <w:autoSpaceDE w:val="0"/>
        <w:autoSpaceDN w:val="0"/>
        <w:spacing w:before="0" w:beforeAutospacing="0" w:after="0" w:afterAutospacing="0"/>
        <w:jc w:val="both"/>
        <w:rPr>
          <w:rFonts w:ascii="宋体" w:hAnsi="宋体" w:eastAsia="宋体"/>
          <w:b/>
          <w:sz w:val="21"/>
          <w:szCs w:val="21"/>
        </w:rPr>
      </w:pPr>
      <w:r>
        <w:rPr>
          <w:rFonts w:hint="eastAsia" w:ascii="宋体" w:hAnsi="宋体" w:eastAsia="宋体"/>
          <w:b/>
          <w:sz w:val="21"/>
          <w:szCs w:val="21"/>
        </w:rPr>
        <w:t>本理财产品作为资金借入方参与货币市场工具交易时，交易利率可能大于债券投资收益，进而导致理财产品收益下降甚至本金损失。</w:t>
      </w:r>
    </w:p>
    <w:p>
      <w:pPr>
        <w:pStyle w:val="10"/>
        <w:numPr>
          <w:ilvl w:val="0"/>
          <w:numId w:val="4"/>
        </w:numPr>
        <w:overflowPunct w:val="0"/>
        <w:topLinePunct/>
        <w:autoSpaceDE w:val="0"/>
        <w:autoSpaceDN w:val="0"/>
        <w:spacing w:before="0" w:beforeAutospacing="0" w:after="0" w:afterAutospacing="0"/>
        <w:jc w:val="both"/>
        <w:rPr>
          <w:rFonts w:ascii="宋体" w:hAnsi="宋体" w:eastAsia="宋体"/>
          <w:b/>
          <w:sz w:val="21"/>
          <w:szCs w:val="21"/>
        </w:rPr>
      </w:pPr>
      <w:r>
        <w:rPr>
          <w:rFonts w:hint="eastAsia" w:ascii="宋体" w:hAnsi="宋体" w:eastAsia="宋体"/>
          <w:b/>
          <w:sz w:val="21"/>
          <w:szCs w:val="21"/>
        </w:rPr>
        <w:t>本理财产品作为资金借入方参与货币市场工具交易，将增大产品投资总量，放大投资组合风险。资金借入比例越高，风险暴露程度越高，理财产品收益下降甚至本金损失的可能性越大。</w:t>
      </w:r>
    </w:p>
    <w:p>
      <w:pPr>
        <w:pStyle w:val="10"/>
        <w:overflowPunct w:val="0"/>
        <w:topLinePunct/>
        <w:autoSpaceDE w:val="0"/>
        <w:autoSpaceDN w:val="0"/>
        <w:spacing w:before="0" w:beforeAutospacing="0" w:after="0" w:afterAutospacing="0"/>
        <w:ind w:firstLine="422"/>
        <w:jc w:val="both"/>
        <w:rPr>
          <w:rFonts w:ascii="宋体" w:hAnsi="宋体" w:eastAsia="宋体"/>
          <w:b/>
          <w:sz w:val="21"/>
          <w:szCs w:val="21"/>
        </w:rPr>
      </w:pPr>
      <w:r>
        <w:rPr>
          <w:rFonts w:hint="eastAsia" w:ascii="宋体" w:hAnsi="宋体" w:eastAsia="宋体"/>
          <w:b/>
          <w:sz w:val="21"/>
          <w:szCs w:val="21"/>
        </w:rPr>
        <w:t>（</w:t>
      </w:r>
      <w:r>
        <w:rPr>
          <w:rFonts w:ascii="宋体" w:hAnsi="宋体" w:eastAsia="宋体"/>
          <w:b/>
          <w:sz w:val="21"/>
          <w:szCs w:val="21"/>
        </w:rPr>
        <w:t>2</w:t>
      </w:r>
      <w:r>
        <w:rPr>
          <w:rFonts w:hint="eastAsia" w:ascii="宋体" w:hAnsi="宋体" w:eastAsia="宋体"/>
          <w:b/>
          <w:sz w:val="21"/>
          <w:szCs w:val="21"/>
        </w:rPr>
        <w:t>）债券投资风险</w:t>
      </w:r>
    </w:p>
    <w:p>
      <w:pPr>
        <w:pStyle w:val="10"/>
        <w:numPr>
          <w:ilvl w:val="0"/>
          <w:numId w:val="5"/>
        </w:numPr>
        <w:overflowPunct w:val="0"/>
        <w:topLinePunct/>
        <w:autoSpaceDE w:val="0"/>
        <w:autoSpaceDN w:val="0"/>
        <w:spacing w:before="0" w:beforeAutospacing="0" w:after="0" w:afterAutospacing="0"/>
        <w:jc w:val="both"/>
        <w:rPr>
          <w:rFonts w:ascii="宋体" w:hAnsi="宋体" w:eastAsia="宋体"/>
          <w:b/>
          <w:sz w:val="21"/>
          <w:szCs w:val="21"/>
        </w:rPr>
      </w:pPr>
      <w:r>
        <w:rPr>
          <w:rFonts w:hint="eastAsia" w:ascii="宋体" w:hAnsi="宋体" w:eastAsia="宋体"/>
          <w:b/>
          <w:sz w:val="21"/>
          <w:szCs w:val="21"/>
        </w:rPr>
        <w:t>市场风险</w:t>
      </w:r>
    </w:p>
    <w:p>
      <w:pPr>
        <w:pStyle w:val="10"/>
        <w:overflowPunct w:val="0"/>
        <w:topLinePunct/>
        <w:autoSpaceDE w:val="0"/>
        <w:autoSpaceDN w:val="0"/>
        <w:spacing w:before="0" w:beforeAutospacing="0" w:after="0" w:afterAutospacing="0"/>
        <w:ind w:firstLine="422"/>
        <w:jc w:val="both"/>
        <w:rPr>
          <w:rFonts w:ascii="宋体" w:hAnsi="宋体" w:eastAsia="宋体"/>
          <w:b/>
          <w:sz w:val="21"/>
          <w:szCs w:val="21"/>
        </w:rPr>
      </w:pPr>
      <w:r>
        <w:rPr>
          <w:rFonts w:hint="eastAsia" w:ascii="宋体" w:hAnsi="宋体" w:eastAsia="宋体"/>
          <w:b/>
          <w:sz w:val="21"/>
          <w:szCs w:val="21"/>
        </w:rPr>
        <w:t>市场利率水平会影响本产品所投资的债券价格，如</w:t>
      </w:r>
      <w:r>
        <w:rPr>
          <w:rFonts w:ascii="宋体" w:hAnsi="宋体" w:eastAsia="宋体"/>
          <w:b/>
          <w:sz w:val="21"/>
          <w:szCs w:val="21"/>
        </w:rPr>
        <w:t>利率水平</w:t>
      </w:r>
      <w:r>
        <w:rPr>
          <w:rFonts w:hint="eastAsia" w:ascii="宋体" w:hAnsi="宋体" w:eastAsia="宋体"/>
          <w:b/>
          <w:sz w:val="21"/>
          <w:szCs w:val="21"/>
        </w:rPr>
        <w:t>上升将</w:t>
      </w:r>
      <w:r>
        <w:rPr>
          <w:rFonts w:ascii="宋体" w:hAnsi="宋体" w:eastAsia="宋体"/>
          <w:b/>
          <w:sz w:val="21"/>
          <w:szCs w:val="21"/>
        </w:rPr>
        <w:t>导致</w:t>
      </w:r>
      <w:r>
        <w:rPr>
          <w:rFonts w:hint="eastAsia" w:ascii="宋体" w:hAnsi="宋体" w:eastAsia="宋体"/>
          <w:b/>
          <w:sz w:val="21"/>
          <w:szCs w:val="21"/>
        </w:rPr>
        <w:t>本产品投资的</w:t>
      </w:r>
      <w:r>
        <w:rPr>
          <w:rFonts w:ascii="宋体" w:hAnsi="宋体" w:eastAsia="宋体"/>
          <w:b/>
          <w:sz w:val="21"/>
          <w:szCs w:val="21"/>
        </w:rPr>
        <w:t>债券价格</w:t>
      </w:r>
      <w:r>
        <w:rPr>
          <w:rFonts w:hint="eastAsia" w:ascii="宋体" w:hAnsi="宋体" w:eastAsia="宋体"/>
          <w:b/>
          <w:sz w:val="21"/>
          <w:szCs w:val="21"/>
        </w:rPr>
        <w:t>下跌，进而导致理财产品收益下降甚至本金损失。即使债券市场平均利率水平保持稳定，不同期限、不同风险等级、不同种类债券之间的利差变动，也可能导致本产品投资的债券的市场价格下跌，进而导致理财产品收益下降甚至本金损失。</w:t>
      </w:r>
    </w:p>
    <w:p>
      <w:pPr>
        <w:pStyle w:val="10"/>
        <w:numPr>
          <w:ilvl w:val="0"/>
          <w:numId w:val="5"/>
        </w:numPr>
        <w:overflowPunct w:val="0"/>
        <w:topLinePunct/>
        <w:autoSpaceDE w:val="0"/>
        <w:autoSpaceDN w:val="0"/>
        <w:spacing w:before="0" w:beforeAutospacing="0" w:after="0" w:afterAutospacing="0"/>
        <w:jc w:val="both"/>
        <w:rPr>
          <w:rFonts w:ascii="宋体" w:hAnsi="宋体" w:eastAsia="宋体"/>
          <w:b/>
          <w:sz w:val="21"/>
          <w:szCs w:val="21"/>
        </w:rPr>
      </w:pPr>
      <w:r>
        <w:rPr>
          <w:rFonts w:hint="eastAsia" w:ascii="宋体" w:hAnsi="宋体" w:eastAsia="宋体"/>
          <w:b/>
          <w:sz w:val="21"/>
          <w:szCs w:val="21"/>
        </w:rPr>
        <w:t>信用风险</w:t>
      </w:r>
    </w:p>
    <w:p>
      <w:pPr>
        <w:ind w:firstLine="422" w:firstLineChars="200"/>
        <w:rPr>
          <w:rFonts w:ascii="宋体" w:hAnsi="宋体" w:eastAsia="宋体"/>
          <w:b/>
          <w:szCs w:val="21"/>
        </w:rPr>
      </w:pPr>
      <w:r>
        <w:rPr>
          <w:rFonts w:hint="eastAsia" w:ascii="宋体" w:hAnsi="宋体" w:eastAsia="宋体"/>
          <w:b/>
          <w:szCs w:val="21"/>
        </w:rPr>
        <w:t>债券的发行人和/或担保人可能由于经济周期、行业竞争、市场前景、管理能力、盈利模式、财务状况等变化发生经营不善，甚至可能发生资不抵债、破产清算、被兼并收购等状况，可能导致债券的市场价格下跌甚至无法按时偿付本息，从而导致理财产品收益下降甚至本金损失。资产支持证券项下的基础资产如发生原始权益人破产或基础资产项下现金流未能及时完整取得等情况，资产支持证券的收益将受到影响，可能导致理财产品收益下降甚至本金损失。</w:t>
      </w:r>
    </w:p>
    <w:p>
      <w:pPr>
        <w:tabs>
          <w:tab w:val="left" w:pos="1481"/>
        </w:tabs>
        <w:overflowPunct w:val="0"/>
        <w:topLinePunct/>
        <w:autoSpaceDE w:val="0"/>
        <w:autoSpaceDN w:val="0"/>
        <w:ind w:firstLine="422" w:firstLineChars="200"/>
        <w:outlineLvl w:val="1"/>
        <w:rPr>
          <w:rFonts w:ascii="宋体" w:hAnsi="宋体" w:eastAsia="宋体"/>
          <w:b/>
          <w:szCs w:val="20"/>
        </w:rPr>
      </w:pPr>
      <w:r>
        <w:rPr>
          <w:rFonts w:hint="eastAsia" w:ascii="宋体" w:hAnsi="宋体" w:eastAsia="宋体"/>
          <w:b/>
          <w:szCs w:val="20"/>
        </w:rPr>
        <w:t>（3）资产管理产品投资风险</w:t>
      </w:r>
    </w:p>
    <w:p>
      <w:pPr>
        <w:tabs>
          <w:tab w:val="left" w:pos="1481"/>
        </w:tabs>
        <w:overflowPunct w:val="0"/>
        <w:topLinePunct/>
        <w:autoSpaceDE w:val="0"/>
        <w:autoSpaceDN w:val="0"/>
        <w:ind w:firstLine="422" w:firstLineChars="200"/>
        <w:rPr>
          <w:rFonts w:ascii="宋体" w:hAnsi="宋体" w:eastAsia="宋体"/>
          <w:b/>
          <w:szCs w:val="20"/>
        </w:rPr>
      </w:pPr>
      <w:r>
        <w:rPr>
          <w:rFonts w:hint="eastAsia" w:ascii="宋体" w:hAnsi="宋体" w:eastAsia="宋体"/>
          <w:b/>
          <w:szCs w:val="20"/>
        </w:rPr>
        <w:t>本理财产品通过其他资产管理产品投资时，可能因相关受托人、产品管理人违反法律法规和/或合同约定、未尽职或发生其他情形，造成本理财产品所投资的资产管理产品的财产损失，进而导致本理财产品收益下降甚至本金损失。</w:t>
      </w:r>
    </w:p>
    <w:p>
      <w:pPr>
        <w:tabs>
          <w:tab w:val="left" w:pos="1481"/>
        </w:tabs>
        <w:overflowPunct w:val="0"/>
        <w:topLinePunct/>
        <w:autoSpaceDE w:val="0"/>
        <w:autoSpaceDN w:val="0"/>
        <w:ind w:firstLine="422" w:firstLineChars="200"/>
        <w:outlineLvl w:val="1"/>
        <w:rPr>
          <w:rFonts w:ascii="宋体" w:hAnsi="宋体" w:eastAsia="宋体"/>
          <w:b/>
          <w:szCs w:val="20"/>
        </w:rPr>
      </w:pPr>
      <w:r>
        <w:rPr>
          <w:rFonts w:hint="eastAsia" w:ascii="宋体" w:hAnsi="宋体" w:eastAsia="宋体"/>
          <w:b/>
          <w:szCs w:val="20"/>
        </w:rPr>
        <w:t>（4）权益类资产投资风险</w:t>
      </w:r>
    </w:p>
    <w:p>
      <w:pPr>
        <w:tabs>
          <w:tab w:val="left" w:pos="1481"/>
        </w:tabs>
        <w:overflowPunct w:val="0"/>
        <w:topLinePunct/>
        <w:autoSpaceDE w:val="0"/>
        <w:autoSpaceDN w:val="0"/>
        <w:ind w:firstLine="422" w:firstLineChars="200"/>
        <w:rPr>
          <w:rFonts w:ascii="宋体" w:hAnsi="宋体" w:eastAsia="宋体"/>
          <w:b/>
          <w:szCs w:val="20"/>
        </w:rPr>
      </w:pPr>
      <w:r>
        <w:rPr>
          <w:rFonts w:hint="eastAsia" w:ascii="宋体" w:hAnsi="宋体" w:eastAsia="宋体"/>
          <w:b/>
          <w:szCs w:val="20"/>
        </w:rPr>
        <w:t>本理财产品可投资于上市公司股票等权益类资产，</w:t>
      </w:r>
      <w:r>
        <w:rPr>
          <w:rFonts w:ascii="宋体" w:hAnsi="宋体" w:eastAsia="宋体"/>
          <w:b/>
          <w:szCs w:val="20"/>
        </w:rPr>
        <w:t>具有对股票市场的系统性风险，不能完全规避市场下跌的风险，在市场大幅上涨时也不能保证</w:t>
      </w:r>
      <w:r>
        <w:rPr>
          <w:rFonts w:hint="eastAsia" w:ascii="宋体" w:hAnsi="宋体" w:eastAsia="宋体"/>
          <w:b/>
          <w:szCs w:val="20"/>
        </w:rPr>
        <w:t>投资组合中权益类资产部分的业绩表现</w:t>
      </w:r>
      <w:r>
        <w:rPr>
          <w:rFonts w:ascii="宋体" w:hAnsi="宋体" w:eastAsia="宋体"/>
          <w:b/>
          <w:szCs w:val="20"/>
        </w:rPr>
        <w:t>能够完全跟随或超越市场上涨幅度。</w:t>
      </w:r>
      <w:r>
        <w:rPr>
          <w:rFonts w:hint="eastAsia" w:ascii="宋体" w:hAnsi="宋体" w:eastAsia="宋体"/>
          <w:b/>
          <w:szCs w:val="20"/>
        </w:rPr>
        <w:t>此外，如果本产品投资的上市公司盈利下降，其股票价格可能会下跌，或能够用于分配的利润减少，导致理财产品收益下降甚至本金损失。即使本产品可通过分散投资管理非系统风险，也无法完全规避。</w:t>
      </w:r>
    </w:p>
    <w:p>
      <w:pPr>
        <w:pStyle w:val="10"/>
        <w:overflowPunct w:val="0"/>
        <w:topLinePunct/>
        <w:autoSpaceDE w:val="0"/>
        <w:autoSpaceDN w:val="0"/>
        <w:spacing w:before="0" w:beforeAutospacing="0" w:after="0" w:afterAutospacing="0"/>
        <w:ind w:firstLine="422"/>
        <w:jc w:val="both"/>
        <w:outlineLvl w:val="1"/>
        <w:rPr>
          <w:rFonts w:ascii="宋体" w:hAnsi="宋体" w:eastAsia="宋体"/>
          <w:b/>
          <w:sz w:val="21"/>
          <w:szCs w:val="21"/>
        </w:rPr>
      </w:pPr>
      <w:r>
        <w:rPr>
          <w:rFonts w:hint="eastAsia" w:ascii="宋体" w:hAnsi="宋体" w:eastAsia="宋体"/>
          <w:b/>
          <w:sz w:val="21"/>
          <w:szCs w:val="21"/>
        </w:rPr>
        <w:t>（5）境外投资特别风险</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本产品可能投资于境外市场，涉及的境外投资特别风险主要包括：</w:t>
      </w:r>
    </w:p>
    <w:p>
      <w:pPr>
        <w:widowControl/>
        <w:numPr>
          <w:ilvl w:val="0"/>
          <w:numId w:val="6"/>
        </w:numPr>
        <w:overflowPunct w:val="0"/>
        <w:topLinePunct/>
        <w:autoSpaceDE w:val="0"/>
        <w:autoSpaceDN w:val="0"/>
        <w:rPr>
          <w:rFonts w:ascii="宋体" w:hAnsi="宋体" w:eastAsia="宋体" w:cs="Arial Unicode MS"/>
          <w:b/>
          <w:kern w:val="0"/>
          <w:szCs w:val="21"/>
        </w:rPr>
      </w:pPr>
      <w:r>
        <w:rPr>
          <w:rFonts w:hint="eastAsia" w:ascii="宋体" w:hAnsi="宋体" w:eastAsia="宋体" w:cs="Arial Unicode MS"/>
          <w:b/>
          <w:kern w:val="0"/>
          <w:szCs w:val="21"/>
        </w:rPr>
        <w:t>境外市场风险</w:t>
      </w:r>
    </w:p>
    <w:p>
      <w:pPr>
        <w:pStyle w:val="10"/>
        <w:overflowPunct w:val="0"/>
        <w:topLinePunct/>
        <w:autoSpaceDE w:val="0"/>
        <w:autoSpaceDN w:val="0"/>
        <w:spacing w:before="0" w:beforeAutospacing="0" w:after="0" w:afterAutospacing="0"/>
        <w:ind w:firstLine="422"/>
        <w:jc w:val="both"/>
        <w:rPr>
          <w:rFonts w:ascii="宋体" w:hAnsi="宋体" w:eastAsia="宋体"/>
          <w:b/>
          <w:sz w:val="21"/>
          <w:szCs w:val="21"/>
        </w:rPr>
      </w:pPr>
      <w:r>
        <w:rPr>
          <w:rFonts w:hint="eastAsia" w:ascii="宋体" w:hAnsi="宋体" w:eastAsia="宋体"/>
          <w:b/>
          <w:sz w:val="21"/>
          <w:szCs w:val="21"/>
        </w:rPr>
        <w:t>由于本产品投资于境外市场，因此各国或地区的金融市场和总体经济趋势将会对本理财产品的投资收益产生影响。境外证券市场可能对于特定事件、该国或地区特有的政治因素、法律法规、市场状况、经济发展趋势的反应较境内证券市场有诸多不同。</w:t>
      </w:r>
    </w:p>
    <w:p>
      <w:pPr>
        <w:widowControl/>
        <w:numPr>
          <w:ilvl w:val="0"/>
          <w:numId w:val="6"/>
        </w:numPr>
        <w:overflowPunct w:val="0"/>
        <w:topLinePunct/>
        <w:autoSpaceDE w:val="0"/>
        <w:autoSpaceDN w:val="0"/>
        <w:rPr>
          <w:rFonts w:ascii="宋体" w:hAnsi="宋体" w:eastAsia="宋体" w:cs="Arial Unicode MS"/>
          <w:b/>
          <w:kern w:val="0"/>
          <w:szCs w:val="21"/>
        </w:rPr>
      </w:pPr>
      <w:r>
        <w:rPr>
          <w:rFonts w:hint="eastAsia" w:ascii="宋体" w:hAnsi="宋体" w:eastAsia="宋体" w:cs="Arial Unicode MS"/>
          <w:b/>
          <w:kern w:val="0"/>
          <w:szCs w:val="21"/>
        </w:rPr>
        <w:t>汇率风险</w:t>
      </w:r>
    </w:p>
    <w:p>
      <w:pPr>
        <w:widowControl/>
        <w:numPr>
          <w:ilvl w:val="255"/>
          <w:numId w:val="0"/>
        </w:numPr>
        <w:overflowPunct w:val="0"/>
        <w:topLinePunct/>
        <w:autoSpaceDE w:val="0"/>
        <w:autoSpaceDN w:val="0"/>
        <w:ind w:firstLine="422" w:firstLineChars="200"/>
        <w:rPr>
          <w:rFonts w:ascii="宋体" w:hAnsi="宋体" w:eastAsia="宋体" w:cs="Arial Unicode MS"/>
          <w:b/>
          <w:kern w:val="0"/>
          <w:szCs w:val="21"/>
        </w:rPr>
      </w:pPr>
      <w:r>
        <w:rPr>
          <w:rFonts w:hint="eastAsia" w:ascii="宋体" w:hAnsi="宋体" w:eastAsia="宋体" w:cs="Times New Roman"/>
          <w:b/>
          <w:szCs w:val="20"/>
        </w:rPr>
        <w:t>本产品以人民币为计价单位，但可能投资于非计价货币报价的资产，如果资产报价货币兑产品计价货币汇率下降，则以产品计价货币计价的上述资产的价值将会下降，本产品管理人将使用衍生工具管理上述汇率波动的风险，但由于技术上的原因，外汇敞口无法事先准确预测。</w:t>
      </w:r>
    </w:p>
    <w:p>
      <w:pPr>
        <w:widowControl/>
        <w:numPr>
          <w:ilvl w:val="0"/>
          <w:numId w:val="6"/>
        </w:numPr>
        <w:overflowPunct w:val="0"/>
        <w:topLinePunct/>
        <w:autoSpaceDE w:val="0"/>
        <w:autoSpaceDN w:val="0"/>
        <w:rPr>
          <w:rFonts w:ascii="宋体" w:hAnsi="宋体" w:eastAsia="宋体" w:cs="Arial Unicode MS"/>
          <w:b/>
          <w:kern w:val="0"/>
          <w:szCs w:val="21"/>
        </w:rPr>
      </w:pPr>
      <w:r>
        <w:rPr>
          <w:rFonts w:hint="eastAsia" w:ascii="宋体" w:hAnsi="宋体" w:eastAsia="宋体" w:cs="Arial Unicode MS"/>
          <w:b/>
          <w:kern w:val="0"/>
          <w:szCs w:val="21"/>
        </w:rPr>
        <w:t>税务风险</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本产品投资各国或地区市场时，因各国或地区税务法律法规的不同，可能会就股息、利息、资本利得等收益向该国或该地区税务机构缴纳税金，包括预扣税，该行为可能会使得资产回报受到一定影响；该国或该地区的税收法律法规的规定可能变化，或者加以具有追溯力的修订，所以可能须向该国或该地区缴纳本产品销售、估值或者出售投资当日并未预计的额外税项。</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（6）商品及金融衍生品投资风险</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理财产品投资于商品及金融衍生品时，商品及金融衍生品投资风险包括但不限于：</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①市场风险</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市场价格波动将使商品及金融衍生品合约价值发生变化，如本理财产品投资的商品及金融衍生品合约价格下跌，将导致理财产品收益下降甚至本金损失。</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②杠杆风险</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商品及金融衍生产品具有杠杆效应，会放大收益或损失，价格波动剧烈时可能面临追加保证金的问题，如未在规定的时间内补足保证金，将被强制平仓。</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③基差风险</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基差是指现货价格与期货价格之间的差额，若本理财产品投资的商品及金融衍生品出现基差波动不确定性加大、基差向不利方向变动等情况，可能对本理财产品投资产生不利影响。</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④流动性风险</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受市场广度或深度影响，本理财产品存在无法及时以所希望的价格建立或了结商品及金融衍生品头寸的风险；在某些市场情况下，可能会难以或无法将已建立的商品及金融衍生品头寸了结；某些情况下，保证金可能无法弥补全部损失，甚至会导致投资亏损高于初始投资金额。</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⑤信用风险</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本理财产品投资的信用衍生工具可能因挂钩资产的参考实体发生信用违约而产生损失，在此情况下，将导致本理财产品收益下降甚至本金损失。</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⑥交易对手信用风险</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本产品投资的商品及金融衍生品合约的交易对手，可能无法及时足额履行合约规定的义务，在此情况下，将导致本理财产品收益下降甚至本金损失。</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⑦实物交割风险</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商品及金融衍生品合约到期时，未平仓合约可能须进行实物交割。如发生合约到期前未及时平仓的情况，存在承担交割责任的风险。</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（7）投资黄金相关资产的风险</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本理财产品投资黄金相关资产，黄金价格的波动会影响黄金相关资产的价格波动，进而影响到本理财产品的净值波动。</w:t>
      </w:r>
    </w:p>
    <w:p>
      <w:pPr>
        <w:pStyle w:val="10"/>
        <w:widowControl w:val="0"/>
        <w:numPr>
          <w:ilvl w:val="0"/>
          <w:numId w:val="2"/>
        </w:numPr>
        <w:overflowPunct w:val="0"/>
        <w:topLinePunct/>
        <w:autoSpaceDE w:val="0"/>
        <w:autoSpaceDN w:val="0"/>
        <w:spacing w:before="0" w:beforeAutospacing="0" w:after="0" w:afterAutospacing="0"/>
        <w:jc w:val="both"/>
        <w:rPr>
          <w:rFonts w:ascii="宋体" w:hAnsi="宋体" w:eastAsia="宋体" w:cs="宋体"/>
          <w:b/>
          <w:bCs/>
          <w:color w:val="000000" w:themeColor="text1"/>
          <w:sz w:val="21"/>
          <w:szCs w:val="18"/>
          <w14:textFill>
            <w14:solidFill>
              <w14:schemeClr w14:val="tx1"/>
            </w14:solidFill>
          </w14:textFill>
        </w:rPr>
      </w:pPr>
      <w:r>
        <w:rPr>
          <w:rFonts w:hint="eastAsia" w:ascii="宋体" w:hAnsi="宋体" w:eastAsia="宋体" w:cs="宋体"/>
          <w:b/>
          <w:bCs/>
          <w:color w:val="000000" w:themeColor="text1"/>
          <w:sz w:val="21"/>
          <w:szCs w:val="18"/>
          <w14:textFill>
            <w14:solidFill>
              <w14:schemeClr w14:val="tx1"/>
            </w14:solidFill>
          </w14:textFill>
        </w:rPr>
        <w:t>其他风险：包括但不限于自然灾害、金融市场危机、战争等不可抗力因素造成的相关投资风险。理财产品管理人在代理本理财产品买卖投资标的物时，交易对手可能为理财产品管理人。理财产品管理人将秉承公允市价交易的原则进行交易，并且保留交易记录以备相关部门查询。</w:t>
      </w:r>
    </w:p>
    <w:p>
      <w:pPr>
        <w:tabs>
          <w:tab w:val="left" w:pos="1481"/>
        </w:tabs>
        <w:overflowPunct w:val="0"/>
        <w:topLinePunct/>
        <w:autoSpaceDE w:val="0"/>
        <w:autoSpaceDN w:val="0"/>
        <w:ind w:firstLine="422" w:firstLineChars="200"/>
        <w:rPr>
          <w:rFonts w:ascii="宋体" w:hAnsi="宋体" w:eastAsia="宋体"/>
          <w:b/>
          <w:szCs w:val="20"/>
        </w:rPr>
      </w:pPr>
      <w:r>
        <w:rPr>
          <w:rFonts w:hint="eastAsia" w:ascii="宋体" w:hAnsi="宋体" w:eastAsia="宋体"/>
          <w:b/>
          <w:szCs w:val="20"/>
        </w:rPr>
        <w:t>理财产品管理人将本着“恪守信用、勤勉尽责”的原则管理和运用理财产品财产，但并不对本理财产品提供保证本金和收益的承诺。</w:t>
      </w:r>
    </w:p>
    <w:p>
      <w:pPr>
        <w:pStyle w:val="21"/>
        <w:numPr>
          <w:ilvl w:val="0"/>
          <w:numId w:val="1"/>
        </w:numPr>
        <w:ind w:firstLineChars="0"/>
        <w:rPr>
          <w:b/>
          <w:color w:val="000000" w:themeColor="text1"/>
          <w:szCs w:val="20"/>
          <w14:textFill>
            <w14:solidFill>
              <w14:schemeClr w14:val="tx1"/>
            </w14:solidFill>
          </w14:textFill>
        </w:rPr>
      </w:pPr>
      <w:r>
        <w:rPr>
          <w:rFonts w:hint="eastAsia"/>
          <w:b/>
          <w:color w:val="000000" w:themeColor="text1"/>
          <w:szCs w:val="20"/>
          <w14:textFill>
            <w14:solidFill>
              <w14:schemeClr w14:val="tx1"/>
            </w14:solidFill>
          </w14:textFill>
        </w:rPr>
        <w:t>投资者确认本《</w:t>
      </w:r>
      <w:r>
        <w:rPr>
          <w:b/>
          <w:color w:val="000000" w:themeColor="text1"/>
          <w:szCs w:val="20"/>
          <w14:textFill>
            <w14:solidFill>
              <w14:schemeClr w14:val="tx1"/>
            </w14:solidFill>
          </w14:textFill>
        </w:rPr>
        <w:t>风险揭示书</w:t>
      </w:r>
      <w:r>
        <w:rPr>
          <w:rFonts w:hint="eastAsia"/>
          <w:b/>
          <w:color w:val="000000" w:themeColor="text1"/>
          <w:szCs w:val="20"/>
          <w14:textFill>
            <w14:solidFill>
              <w14:schemeClr w14:val="tx1"/>
            </w14:solidFill>
          </w14:textFill>
        </w:rPr>
        <w:t>》，即视为对《产品说明书》确认。</w:t>
      </w:r>
      <w:r>
        <w:rPr>
          <w:b/>
          <w:color w:val="000000" w:themeColor="text1"/>
          <w:szCs w:val="20"/>
          <w14:textFill>
            <w14:solidFill>
              <w14:schemeClr w14:val="tx1"/>
            </w14:solidFill>
          </w14:textFill>
        </w:rPr>
        <w:t>投资者应</w:t>
      </w:r>
      <w:r>
        <w:rPr>
          <w:rFonts w:hint="eastAsia"/>
          <w:b/>
          <w:color w:val="000000" w:themeColor="text1"/>
          <w:szCs w:val="20"/>
          <w14:textFill>
            <w14:solidFill>
              <w14:schemeClr w14:val="tx1"/>
            </w14:solidFill>
          </w14:textFill>
        </w:rPr>
        <w:t>注意</w:t>
      </w:r>
      <w:r>
        <w:rPr>
          <w:b/>
          <w:color w:val="000000" w:themeColor="text1"/>
          <w:szCs w:val="20"/>
          <w14:textFill>
            <w14:solidFill>
              <w14:schemeClr w14:val="tx1"/>
            </w14:solidFill>
          </w14:textFill>
        </w:rPr>
        <w:t>投资风险，仔细</w:t>
      </w:r>
      <w:r>
        <w:rPr>
          <w:rFonts w:hint="eastAsia"/>
          <w:b/>
          <w:color w:val="000000" w:themeColor="text1"/>
          <w:szCs w:val="20"/>
          <w14:textFill>
            <w14:solidFill>
              <w14:schemeClr w14:val="tx1"/>
            </w14:solidFill>
          </w14:textFill>
        </w:rPr>
        <w:t>阅读理财产品</w:t>
      </w:r>
      <w:r>
        <w:rPr>
          <w:b/>
          <w:color w:val="000000" w:themeColor="text1"/>
          <w:szCs w:val="20"/>
          <w14:textFill>
            <w14:solidFill>
              <w14:schemeClr w14:val="tx1"/>
            </w14:solidFill>
          </w14:textFill>
        </w:rPr>
        <w:t>销售文件</w:t>
      </w:r>
      <w:r>
        <w:rPr>
          <w:rFonts w:hint="eastAsia"/>
          <w:b/>
          <w:color w:val="000000" w:themeColor="text1"/>
          <w:szCs w:val="20"/>
          <w14:textFill>
            <w14:solidFill>
              <w14:schemeClr w14:val="tx1"/>
            </w14:solidFill>
          </w14:textFill>
        </w:rPr>
        <w:t>，了解</w:t>
      </w:r>
      <w:r>
        <w:rPr>
          <w:b/>
          <w:color w:val="000000" w:themeColor="text1"/>
          <w:szCs w:val="20"/>
          <w14:textFill>
            <w14:solidFill>
              <w14:schemeClr w14:val="tx1"/>
            </w14:solidFill>
          </w14:textFill>
        </w:rPr>
        <w:t>理财产品具体情况</w:t>
      </w:r>
      <w:r>
        <w:rPr>
          <w:rFonts w:hint="eastAsia"/>
          <w:b/>
          <w:color w:val="000000" w:themeColor="text1"/>
          <w:szCs w:val="20"/>
          <w14:textFill>
            <w14:solidFill>
              <w14:schemeClr w14:val="tx1"/>
            </w14:solidFill>
          </w14:textFill>
        </w:rPr>
        <w:t>。</w:t>
      </w:r>
    </w:p>
    <w:p>
      <w:pPr>
        <w:pStyle w:val="21"/>
        <w:numPr>
          <w:ilvl w:val="0"/>
          <w:numId w:val="1"/>
        </w:numPr>
        <w:ind w:firstLineChars="0"/>
        <w:rPr>
          <w:b/>
          <w:color w:val="000000" w:themeColor="text1"/>
          <w:szCs w:val="20"/>
          <w14:textFill>
            <w14:solidFill>
              <w14:schemeClr w14:val="tx1"/>
            </w14:solidFill>
          </w14:textFill>
        </w:rPr>
      </w:pPr>
      <w:r>
        <w:rPr>
          <w:rFonts w:hint="eastAsia"/>
          <w:b/>
          <w:color w:val="000000" w:themeColor="text1"/>
          <w:szCs w:val="20"/>
          <w14:textFill>
            <w14:solidFill>
              <w14:schemeClr w14:val="tx1"/>
            </w14:solidFill>
          </w14:textFill>
        </w:rPr>
        <w:t>特别提示</w:t>
      </w:r>
      <w:r>
        <w:rPr>
          <w:b/>
          <w:color w:val="000000" w:themeColor="text1"/>
          <w:szCs w:val="20"/>
          <w14:textFill>
            <w14:solidFill>
              <w14:schemeClr w14:val="tx1"/>
            </w14:solidFill>
          </w14:textFill>
        </w:rPr>
        <w:t>：</w:t>
      </w:r>
    </w:p>
    <w:p>
      <w:pPr>
        <w:ind w:firstLine="422" w:firstLineChars="200"/>
        <w:rPr>
          <w:rFonts w:ascii="宋体" w:hAnsi="宋体" w:eastAsia="宋体"/>
          <w:b/>
          <w:szCs w:val="20"/>
        </w:rPr>
      </w:pPr>
      <w:r>
        <w:rPr>
          <w:rFonts w:hint="eastAsia" w:ascii="宋体" w:hAnsi="宋体" w:eastAsia="宋体"/>
          <w:b/>
          <w:color w:val="000000" w:themeColor="text1"/>
          <w:szCs w:val="20"/>
          <w14:textFill>
            <w14:solidFill>
              <w14:schemeClr w14:val="tx1"/>
            </w14:solidFill>
          </w14:textFill>
        </w:rPr>
        <w:t xml:space="preserve">本理财产品由中银理财有限责任公司（产品管理人）发行与管理。 </w:t>
      </w:r>
    </w:p>
    <w:p>
      <w:pPr>
        <w:pStyle w:val="10"/>
        <w:overflowPunct w:val="0"/>
        <w:topLinePunct/>
        <w:autoSpaceDE w:val="0"/>
        <w:autoSpaceDN w:val="0"/>
        <w:spacing w:before="0" w:beforeAutospacing="0" w:after="0" w:afterAutospacing="0"/>
        <w:ind w:firstLine="422"/>
        <w:jc w:val="both"/>
        <w:rPr>
          <w:rFonts w:ascii="宋体" w:hAnsi="宋体" w:eastAsia="宋体"/>
          <w:b/>
          <w:szCs w:val="20"/>
        </w:rPr>
      </w:pPr>
      <w:r>
        <w:rPr>
          <w:rFonts w:hint="eastAsia" w:ascii="宋体" w:hAnsi="宋体" w:eastAsia="宋体" w:cstheme="minorBidi"/>
          <w:b/>
          <w:kern w:val="2"/>
          <w:sz w:val="21"/>
          <w:szCs w:val="20"/>
        </w:rPr>
        <w:t>投资者理解并同意不以任何形式要求中银理财有限责任公司对上述理财产品出具直接或间接、显性或隐性的增信约定或承诺，如存在上述承诺均属无效，投资者不以此类增信约定或承诺向中银理财有限责任公司及其分支机构主张权利。</w:t>
      </w:r>
    </w:p>
    <w:p>
      <w:pPr>
        <w:pStyle w:val="10"/>
        <w:overflowPunct w:val="0"/>
        <w:topLinePunct/>
        <w:autoSpaceDE w:val="0"/>
        <w:autoSpaceDN w:val="0"/>
        <w:spacing w:before="0" w:beforeAutospacing="0" w:after="0" w:afterAutospacing="0"/>
        <w:ind w:firstLine="422"/>
        <w:jc w:val="both"/>
        <w:rPr>
          <w:color w:val="000000" w:themeColor="text1"/>
          <w14:textFill>
            <w14:solidFill>
              <w14:schemeClr w14:val="tx1"/>
            </w14:solidFill>
          </w14:textFill>
        </w:rPr>
        <w:sectPr>
          <w:pgSz w:w="11906" w:h="16838"/>
          <w:pgMar w:top="1440" w:right="1800" w:bottom="1276" w:left="1800" w:header="851" w:footer="992" w:gutter="0"/>
          <w:cols w:space="425" w:num="1"/>
          <w:docGrid w:type="lines" w:linePitch="312" w:charSpace="0"/>
        </w:sectPr>
      </w:pPr>
      <w:r>
        <w:rPr>
          <w:rFonts w:hint="eastAsia" w:ascii="宋体" w:hAnsi="宋体" w:eastAsia="宋体" w:cstheme="minorBidi"/>
          <w:b/>
          <w:kern w:val="2"/>
          <w:sz w:val="21"/>
          <w:szCs w:val="20"/>
        </w:rPr>
        <w:t>如影响您风险承受能力的因素发生变化，请及时完成风险承受能力评估。</w:t>
      </w:r>
    </w:p>
    <w:p>
      <w:pPr>
        <w:spacing w:before="156" w:beforeLines="50" w:after="156" w:afterLines="50"/>
        <w:jc w:val="center"/>
        <w:outlineLvl w:val="0"/>
        <w:rPr>
          <w:rFonts w:ascii="宋体" w:hAnsi="宋体" w:eastAsia="宋体"/>
          <w:b/>
          <w:sz w:val="24"/>
          <w:szCs w:val="20"/>
        </w:rPr>
      </w:pPr>
      <w:bookmarkStart w:id="0" w:name="Investor_confirmation"/>
      <w:bookmarkEnd w:id="0"/>
      <w:r>
        <w:rPr>
          <w:rFonts w:hint="eastAsia" w:ascii="宋体" w:hAnsi="宋体" w:eastAsia="宋体"/>
          <w:b/>
          <w:sz w:val="24"/>
          <w:szCs w:val="20"/>
        </w:rPr>
        <w:t>二</w:t>
      </w:r>
      <w:r>
        <w:rPr>
          <w:rFonts w:ascii="宋体" w:hAnsi="宋体" w:eastAsia="宋体"/>
          <w:b/>
          <w:sz w:val="24"/>
          <w:szCs w:val="20"/>
        </w:rPr>
        <w:t>、</w:t>
      </w:r>
      <w:r>
        <w:rPr>
          <w:rFonts w:hint="eastAsia" w:ascii="宋体" w:hAnsi="宋体" w:eastAsia="宋体"/>
          <w:b/>
          <w:sz w:val="24"/>
          <w:szCs w:val="20"/>
        </w:rPr>
        <w:t>投资者</w:t>
      </w:r>
      <w:r>
        <w:rPr>
          <w:rFonts w:ascii="宋体" w:hAnsi="宋体" w:eastAsia="宋体"/>
          <w:b/>
          <w:sz w:val="24"/>
          <w:szCs w:val="20"/>
        </w:rPr>
        <w:t>确认</w:t>
      </w:r>
      <w:r>
        <w:rPr>
          <w:rFonts w:hint="eastAsia" w:ascii="宋体" w:hAnsi="宋体" w:eastAsia="宋体"/>
          <w:b/>
          <w:sz w:val="24"/>
          <w:szCs w:val="20"/>
        </w:rPr>
        <w:t>部分</w:t>
      </w:r>
    </w:p>
    <w:p>
      <w:pPr>
        <w:ind w:firstLine="420"/>
        <w:rPr>
          <w:rFonts w:ascii="宋体" w:hAnsi="宋体" w:eastAsia="宋体"/>
          <w:szCs w:val="20"/>
        </w:rPr>
      </w:pPr>
    </w:p>
    <w:p>
      <w:pPr>
        <w:widowControl/>
        <w:numPr>
          <w:ilvl w:val="0"/>
          <w:numId w:val="7"/>
        </w:numPr>
        <w:jc w:val="left"/>
        <w:outlineLvl w:val="1"/>
        <w:rPr>
          <w:rFonts w:ascii="宋体" w:hAnsi="宋体" w:eastAsia="宋体"/>
          <w:szCs w:val="20"/>
        </w:rPr>
      </w:pPr>
      <w:r>
        <w:rPr>
          <w:rFonts w:ascii="宋体" w:hAnsi="宋体" w:eastAsia="宋体"/>
          <w:szCs w:val="20"/>
        </w:rPr>
        <w:t>个人投资者确认</w:t>
      </w:r>
    </w:p>
    <w:p>
      <w:pPr>
        <w:widowControl/>
        <w:ind w:left="840" w:hanging="420"/>
        <w:jc w:val="left"/>
        <w:rPr>
          <w:rFonts w:ascii="宋体" w:hAnsi="宋体" w:eastAsia="宋体"/>
          <w:szCs w:val="20"/>
        </w:rPr>
      </w:pPr>
    </w:p>
    <w:p>
      <w:pPr>
        <w:ind w:firstLine="420"/>
        <w:rPr>
          <w:rFonts w:ascii="宋体" w:hAnsi="宋体" w:eastAsia="宋体"/>
          <w:szCs w:val="20"/>
        </w:rPr>
      </w:pPr>
      <w:r>
        <w:rPr>
          <w:rFonts w:hint="eastAsia" w:ascii="宋体" w:hAnsi="宋体" w:eastAsia="宋体"/>
          <w:szCs w:val="20"/>
        </w:rPr>
        <w:t>本人</w:t>
      </w:r>
      <w:r>
        <w:rPr>
          <w:rFonts w:ascii="宋体" w:hAnsi="宋体" w:eastAsia="宋体"/>
          <w:szCs w:val="20"/>
        </w:rPr>
        <w:t>确认如下：</w:t>
      </w:r>
      <w:r>
        <w:rPr>
          <w:rFonts w:hint="eastAsia" w:ascii="宋体" w:hAnsi="宋体" w:eastAsia="宋体"/>
          <w:szCs w:val="20"/>
        </w:rPr>
        <w:t>（适用于下述评级体系的，请勾选，不适用的，请填写）</w:t>
      </w:r>
    </w:p>
    <w:p>
      <w:pPr>
        <w:ind w:firstLine="420"/>
        <w:rPr>
          <w:rFonts w:ascii="宋体" w:hAnsi="宋体" w:eastAsia="宋体"/>
          <w:szCs w:val="20"/>
        </w:rPr>
      </w:pPr>
      <w:r>
        <w:rPr>
          <w:rFonts w:ascii="宋体" w:hAnsi="宋体" w:eastAsia="宋体"/>
          <w:szCs w:val="20"/>
        </w:rPr>
        <w:t>投资购买该理财产品</w:t>
      </w:r>
      <w:r>
        <w:rPr>
          <w:rFonts w:hint="eastAsia" w:ascii="宋体" w:hAnsi="宋体" w:eastAsia="宋体"/>
          <w:szCs w:val="20"/>
        </w:rPr>
        <w:t>是</w:t>
      </w:r>
      <w:r>
        <w:rPr>
          <w:rFonts w:ascii="宋体" w:hAnsi="宋体" w:eastAsia="宋体"/>
          <w:szCs w:val="20"/>
        </w:rPr>
        <w:t>本人</w:t>
      </w:r>
      <w:r>
        <w:rPr>
          <w:rFonts w:hint="eastAsia" w:ascii="宋体" w:hAnsi="宋体" w:eastAsia="宋体"/>
          <w:szCs w:val="20"/>
        </w:rPr>
        <w:t>的</w:t>
      </w:r>
      <w:r>
        <w:rPr>
          <w:rFonts w:ascii="宋体" w:hAnsi="宋体" w:eastAsia="宋体"/>
          <w:szCs w:val="20"/>
        </w:rPr>
        <w:t>真实意愿</w:t>
      </w:r>
      <w:r>
        <w:rPr>
          <w:rFonts w:hint="eastAsia" w:ascii="宋体" w:hAnsi="宋体" w:eastAsia="宋体"/>
          <w:szCs w:val="20"/>
        </w:rPr>
        <w:t>，本人</w:t>
      </w:r>
      <w:r>
        <w:rPr>
          <w:rFonts w:ascii="宋体" w:hAnsi="宋体" w:eastAsia="宋体"/>
          <w:szCs w:val="20"/>
        </w:rPr>
        <w:t>已充分认识该</w:t>
      </w:r>
      <w:r>
        <w:rPr>
          <w:rFonts w:hint="eastAsia" w:ascii="宋体" w:hAnsi="宋体" w:eastAsia="宋体"/>
          <w:szCs w:val="20"/>
        </w:rPr>
        <w:t>理财</w:t>
      </w:r>
      <w:r>
        <w:rPr>
          <w:rFonts w:ascii="宋体" w:hAnsi="宋体" w:eastAsia="宋体"/>
          <w:szCs w:val="20"/>
        </w:rPr>
        <w:t>产品的特征</w:t>
      </w:r>
      <w:r>
        <w:rPr>
          <w:rFonts w:hint="eastAsia" w:ascii="宋体" w:hAnsi="宋体" w:eastAsia="宋体"/>
          <w:szCs w:val="20"/>
        </w:rPr>
        <w:t>、</w:t>
      </w:r>
      <w:r>
        <w:rPr>
          <w:rFonts w:ascii="宋体" w:hAnsi="宋体" w:eastAsia="宋体"/>
          <w:szCs w:val="20"/>
        </w:rPr>
        <w:t>风险和投资者相关权利义务条款，完全理解并自愿接受。</w:t>
      </w:r>
    </w:p>
    <w:p>
      <w:pPr>
        <w:ind w:firstLine="420"/>
        <w:rPr>
          <w:rFonts w:ascii="宋体" w:hAnsi="宋体" w:eastAsia="宋体"/>
          <w:szCs w:val="20"/>
        </w:rPr>
      </w:pPr>
      <w:r>
        <w:rPr>
          <w:rFonts w:hint="eastAsia" w:ascii="宋体" w:hAnsi="宋体" w:eastAsia="宋体"/>
          <w:szCs w:val="20"/>
        </w:rPr>
        <w:t>请确认</w:t>
      </w:r>
      <w:r>
        <w:rPr>
          <w:rFonts w:ascii="宋体" w:hAnsi="宋体" w:eastAsia="宋体"/>
          <w:szCs w:val="20"/>
        </w:rPr>
        <w:t>本人</w:t>
      </w:r>
      <w:r>
        <w:rPr>
          <w:rFonts w:hint="eastAsia" w:ascii="宋体" w:hAnsi="宋体" w:eastAsia="宋体"/>
          <w:szCs w:val="20"/>
        </w:rPr>
        <w:t>风险</w:t>
      </w:r>
      <w:r>
        <w:rPr>
          <w:rFonts w:ascii="宋体" w:hAnsi="宋体" w:eastAsia="宋体"/>
          <w:szCs w:val="20"/>
        </w:rPr>
        <w:t>承受能力</w:t>
      </w:r>
      <w:r>
        <w:rPr>
          <w:rFonts w:hint="eastAsia" w:ascii="宋体" w:hAnsi="宋体" w:eastAsia="宋体"/>
          <w:szCs w:val="20"/>
        </w:rPr>
        <w:t>测试</w:t>
      </w:r>
      <w:r>
        <w:rPr>
          <w:rFonts w:ascii="宋体" w:hAnsi="宋体" w:eastAsia="宋体"/>
          <w:szCs w:val="20"/>
        </w:rPr>
        <w:t>评级</w:t>
      </w:r>
      <w:r>
        <w:rPr>
          <w:rFonts w:hint="eastAsia" w:ascii="宋体" w:hAnsi="宋体" w:eastAsia="宋体"/>
          <w:szCs w:val="20"/>
        </w:rPr>
        <w:t>结果</w:t>
      </w:r>
      <w:r>
        <w:rPr>
          <w:rFonts w:ascii="宋体" w:hAnsi="宋体" w:eastAsia="宋体"/>
          <w:szCs w:val="20"/>
        </w:rPr>
        <w:t>：</w:t>
      </w:r>
    </w:p>
    <w:p>
      <w:pPr>
        <w:ind w:firstLine="420"/>
        <w:rPr>
          <w:rFonts w:ascii="宋体" w:hAnsi="宋体" w:eastAsia="宋体"/>
          <w:szCs w:val="20"/>
        </w:rPr>
      </w:pPr>
      <w:r>
        <w:rPr>
          <w:rFonts w:hint="eastAsia" w:ascii="宋体" w:hAnsi="宋体" w:eastAsia="宋体"/>
        </w:rPr>
        <w:t xml:space="preserve">□C1-谨慎型 </w:t>
      </w:r>
      <w:r>
        <w:rPr>
          <w:rFonts w:ascii="宋体" w:hAnsi="宋体" w:eastAsia="宋体"/>
        </w:rPr>
        <w:t xml:space="preserve"> </w:t>
      </w:r>
      <w:r>
        <w:rPr>
          <w:rFonts w:hint="eastAsia" w:ascii="宋体" w:hAnsi="宋体" w:eastAsia="宋体"/>
        </w:rPr>
        <w:t>□C2-稳健</w:t>
      </w:r>
      <w:r>
        <w:rPr>
          <w:rFonts w:ascii="宋体" w:hAnsi="宋体" w:eastAsia="宋体"/>
        </w:rPr>
        <w:t>型</w:t>
      </w:r>
      <w:r>
        <w:rPr>
          <w:rFonts w:hint="eastAsia" w:ascii="宋体" w:hAnsi="宋体" w:eastAsia="宋体"/>
        </w:rPr>
        <w:t xml:space="preserve"> </w:t>
      </w:r>
      <w:r>
        <w:rPr>
          <w:rFonts w:ascii="宋体" w:hAnsi="宋体" w:eastAsia="宋体"/>
        </w:rPr>
        <w:t xml:space="preserve"> </w:t>
      </w:r>
      <w:r>
        <w:rPr>
          <w:rFonts w:hint="eastAsia" w:ascii="宋体" w:hAnsi="宋体" w:eastAsia="宋体"/>
        </w:rPr>
        <w:t>□C3-平衡</w:t>
      </w:r>
      <w:r>
        <w:rPr>
          <w:rFonts w:ascii="宋体" w:hAnsi="宋体" w:eastAsia="宋体"/>
        </w:rPr>
        <w:t>型</w:t>
      </w:r>
      <w:r>
        <w:rPr>
          <w:rFonts w:hint="eastAsia" w:ascii="宋体" w:hAnsi="宋体" w:eastAsia="宋体"/>
        </w:rPr>
        <w:t xml:space="preserve"> </w:t>
      </w:r>
      <w:r>
        <w:rPr>
          <w:rFonts w:ascii="宋体" w:hAnsi="宋体" w:eastAsia="宋体"/>
        </w:rPr>
        <w:t xml:space="preserve"> </w:t>
      </w:r>
      <w:r>
        <w:rPr>
          <w:rFonts w:hint="eastAsia" w:ascii="宋体" w:hAnsi="宋体" w:eastAsia="宋体"/>
        </w:rPr>
        <w:t>□C4-进取型  □C5-激进型</w:t>
      </w:r>
    </w:p>
    <w:p>
      <w:pPr>
        <w:ind w:firstLine="420"/>
        <w:rPr>
          <w:rFonts w:ascii="宋体" w:hAnsi="宋体" w:eastAsia="宋体"/>
          <w:szCs w:val="20"/>
        </w:rPr>
      </w:pPr>
      <w:r>
        <w:rPr>
          <w:rFonts w:ascii="宋体" w:hAnsi="宋体" w:eastAsia="宋体"/>
          <w:szCs w:val="20"/>
        </w:rPr>
        <w:t>本人风险评级结果为</w:t>
      </w:r>
      <w:r>
        <w:rPr>
          <w:rFonts w:hint="eastAsia" w:ascii="宋体" w:hAnsi="宋体" w:eastAsia="宋体"/>
          <w:szCs w:val="20"/>
        </w:rPr>
        <w:t>：_</w:t>
      </w:r>
      <w:r>
        <w:rPr>
          <w:rFonts w:ascii="宋体" w:hAnsi="宋体" w:eastAsia="宋体"/>
          <w:szCs w:val="20"/>
        </w:rPr>
        <w:t>______________</w:t>
      </w:r>
    </w:p>
    <w:p>
      <w:pPr>
        <w:ind w:firstLine="420"/>
        <w:rPr>
          <w:rFonts w:ascii="宋体" w:hAnsi="宋体" w:eastAsia="宋体"/>
          <w:szCs w:val="20"/>
        </w:rPr>
      </w:pPr>
    </w:p>
    <w:p>
      <w:pPr>
        <w:ind w:firstLine="420" w:firstLineChars="200"/>
        <w:rPr>
          <w:rFonts w:ascii="宋体" w:hAnsi="宋体" w:eastAsia="宋体"/>
          <w:b/>
          <w:szCs w:val="20"/>
        </w:rPr>
      </w:pPr>
      <w:r>
        <w:rPr>
          <w:rFonts w:hint="eastAsia" w:ascii="宋体" w:hAnsi="宋体" w:eastAsia="宋体"/>
          <w:szCs w:val="20"/>
        </w:rPr>
        <w:t>请</w:t>
      </w:r>
      <w:r>
        <w:rPr>
          <w:rFonts w:ascii="宋体" w:hAnsi="宋体" w:eastAsia="宋体"/>
          <w:szCs w:val="20"/>
        </w:rPr>
        <w:t>全文抄录：</w:t>
      </w:r>
      <w:r>
        <w:rPr>
          <w:rFonts w:hint="eastAsia" w:ascii="宋体" w:hAnsi="宋体" w:eastAsia="宋体"/>
          <w:b/>
          <w:szCs w:val="20"/>
        </w:rPr>
        <w:t>“本人已经阅读风险揭示，愿意承担投资风险”。</w:t>
      </w:r>
    </w:p>
    <w:p>
      <w:pPr>
        <w:ind w:firstLine="422" w:firstLineChars="200"/>
        <w:rPr>
          <w:rFonts w:ascii="宋体" w:hAnsi="宋体" w:eastAsia="宋体"/>
          <w:b/>
          <w:szCs w:val="20"/>
        </w:rPr>
      </w:pPr>
    </w:p>
    <w:p>
      <w:pPr>
        <w:ind w:firstLine="420" w:firstLineChars="200"/>
        <w:rPr>
          <w:rFonts w:ascii="宋体" w:hAnsi="宋体" w:eastAsia="宋体"/>
          <w:b/>
          <w:szCs w:val="20"/>
          <w:u w:val="single"/>
        </w:rPr>
      </w:pPr>
      <w:r>
        <w:rPr>
          <w:rFonts w:ascii="宋体" w:hAnsi="宋体" w:eastAsia="宋体"/>
          <w:szCs w:val="20"/>
          <w:u w:val="single"/>
        </w:rPr>
        <w:t xml:space="preserve">                                                    </w:t>
      </w:r>
    </w:p>
    <w:p>
      <w:pPr>
        <w:rPr>
          <w:rFonts w:ascii="宋体" w:hAnsi="宋体" w:eastAsia="宋体"/>
          <w:b/>
          <w:szCs w:val="20"/>
        </w:rPr>
      </w:pPr>
    </w:p>
    <w:p>
      <w:pPr>
        <w:rPr>
          <w:rFonts w:ascii="宋体" w:hAnsi="宋体" w:eastAsia="宋体"/>
          <w:szCs w:val="20"/>
        </w:rPr>
      </w:pPr>
    </w:p>
    <w:p>
      <w:pPr>
        <w:ind w:right="-58"/>
        <w:jc w:val="center"/>
        <w:rPr>
          <w:rFonts w:ascii="宋体" w:hAnsi="宋体" w:eastAsia="宋体"/>
          <w:szCs w:val="20"/>
          <w:u w:val="single"/>
        </w:rPr>
      </w:pPr>
      <w:r>
        <w:rPr>
          <w:rFonts w:hint="eastAsia" w:ascii="宋体" w:hAnsi="宋体" w:eastAsia="宋体"/>
          <w:szCs w:val="20"/>
        </w:rPr>
        <w:t xml:space="preserve"> </w:t>
      </w:r>
      <w:r>
        <w:rPr>
          <w:rFonts w:ascii="宋体" w:hAnsi="宋体" w:eastAsia="宋体"/>
          <w:szCs w:val="20"/>
        </w:rPr>
        <w:t xml:space="preserve">                                                  </w:t>
      </w:r>
      <w:r>
        <w:rPr>
          <w:rFonts w:hint="eastAsia" w:ascii="宋体" w:hAnsi="宋体" w:eastAsia="宋体"/>
          <w:szCs w:val="20"/>
        </w:rPr>
        <w:t>投资者签字：_</w:t>
      </w:r>
      <w:r>
        <w:rPr>
          <w:rFonts w:ascii="宋体" w:hAnsi="宋体" w:eastAsia="宋体"/>
          <w:szCs w:val="20"/>
        </w:rPr>
        <w:t>______________</w:t>
      </w:r>
    </w:p>
    <w:p>
      <w:pPr>
        <w:spacing w:before="156" w:beforeLines="50" w:after="156" w:afterLines="50"/>
        <w:jc w:val="right"/>
        <w:rPr>
          <w:rFonts w:ascii="宋体" w:hAnsi="宋体" w:eastAsia="宋体"/>
          <w:szCs w:val="20"/>
        </w:rPr>
      </w:pPr>
      <w:r>
        <w:rPr>
          <w:rFonts w:hint="eastAsia" w:ascii="宋体" w:hAnsi="宋体" w:eastAsia="宋体"/>
          <w:szCs w:val="20"/>
        </w:rPr>
        <w:t>日期</w:t>
      </w:r>
      <w:r>
        <w:rPr>
          <w:rFonts w:ascii="宋体" w:hAnsi="宋体" w:eastAsia="宋体"/>
          <w:szCs w:val="20"/>
        </w:rPr>
        <w:t>：</w:t>
      </w:r>
      <w:r>
        <w:rPr>
          <w:rFonts w:hint="eastAsia" w:ascii="宋体" w:hAnsi="宋体" w:eastAsia="宋体"/>
          <w:szCs w:val="20"/>
        </w:rPr>
        <w:t xml:space="preserve">  年   月   日</w:t>
      </w:r>
    </w:p>
    <w:p>
      <w:pPr>
        <w:spacing w:before="156" w:beforeLines="50" w:after="156" w:afterLines="50"/>
        <w:jc w:val="left"/>
        <w:rPr>
          <w:rFonts w:ascii="宋体" w:hAnsi="宋体" w:eastAsia="宋体"/>
          <w:szCs w:val="20"/>
        </w:rPr>
      </w:pPr>
    </w:p>
    <w:p>
      <w:pPr>
        <w:widowControl/>
        <w:numPr>
          <w:ilvl w:val="0"/>
          <w:numId w:val="7"/>
        </w:numPr>
        <w:jc w:val="left"/>
        <w:outlineLvl w:val="1"/>
        <w:rPr>
          <w:rFonts w:ascii="宋体" w:hAnsi="宋体" w:eastAsia="宋体"/>
          <w:szCs w:val="20"/>
        </w:rPr>
      </w:pPr>
      <w:r>
        <w:rPr>
          <w:rFonts w:ascii="宋体" w:hAnsi="宋体" w:eastAsia="宋体"/>
          <w:szCs w:val="20"/>
        </w:rPr>
        <w:t>机构投资者确认</w:t>
      </w:r>
    </w:p>
    <w:tbl>
      <w:tblPr>
        <w:tblStyle w:val="13"/>
        <w:tblpPr w:leftFromText="180" w:rightFromText="180" w:vertAnchor="text" w:horzAnchor="margin" w:tblpXSpec="center" w:tblpY="249"/>
        <w:tblOverlap w:val="never"/>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8700" w:type="dxa"/>
            <w:tcBorders>
              <w:top w:val="single" w:color="auto" w:sz="4" w:space="0"/>
              <w:left w:val="single" w:color="auto" w:sz="4" w:space="0"/>
              <w:bottom w:val="single" w:color="auto" w:sz="4" w:space="0"/>
              <w:right w:val="single" w:color="auto" w:sz="4" w:space="0"/>
            </w:tcBorders>
          </w:tcPr>
          <w:p>
            <w:pPr>
              <w:overflowPunct w:val="0"/>
              <w:topLinePunct/>
              <w:snapToGrid w:val="0"/>
              <w:spacing w:line="440" w:lineRule="exact"/>
              <w:rPr>
                <w:rFonts w:ascii="宋体" w:hAnsi="宋体" w:eastAsia="宋体" w:cs="Times New Roman"/>
                <w:szCs w:val="20"/>
              </w:rPr>
            </w:pPr>
            <w:r>
              <w:rPr>
                <w:rFonts w:hint="eastAsia" w:ascii="宋体" w:hAnsi="宋体" w:eastAsia="宋体" w:cs="Times New Roman"/>
                <w:szCs w:val="20"/>
              </w:rPr>
              <w:t>客户</w:t>
            </w:r>
            <w:r>
              <w:rPr>
                <w:rFonts w:ascii="宋体" w:hAnsi="宋体" w:eastAsia="宋体" w:cs="Times New Roman"/>
                <w:szCs w:val="20"/>
              </w:rPr>
              <w:t>声明：投资决策</w:t>
            </w:r>
            <w:r>
              <w:rPr>
                <w:rFonts w:hint="eastAsia" w:ascii="宋体" w:hAnsi="宋体" w:eastAsia="宋体" w:cs="Times New Roman"/>
                <w:szCs w:val="20"/>
              </w:rPr>
              <w:t>系由</w:t>
            </w:r>
            <w:r>
              <w:rPr>
                <w:rFonts w:ascii="宋体" w:hAnsi="宋体" w:eastAsia="宋体" w:cs="Times New Roman"/>
                <w:szCs w:val="20"/>
              </w:rPr>
              <w:t>本</w:t>
            </w:r>
            <w:r>
              <w:rPr>
                <w:rFonts w:hint="eastAsia" w:ascii="宋体" w:hAnsi="宋体" w:eastAsia="宋体" w:cs="Times New Roman"/>
                <w:szCs w:val="20"/>
              </w:rPr>
              <w:t>机构</w:t>
            </w:r>
            <w:r>
              <w:rPr>
                <w:rFonts w:ascii="宋体" w:hAnsi="宋体" w:eastAsia="宋体" w:cs="Times New Roman"/>
                <w:szCs w:val="20"/>
              </w:rPr>
              <w:t>独立、</w:t>
            </w:r>
            <w:r>
              <w:rPr>
                <w:rFonts w:hint="eastAsia" w:ascii="宋体" w:hAnsi="宋体" w:eastAsia="宋体" w:cs="Times New Roman"/>
                <w:szCs w:val="20"/>
              </w:rPr>
              <w:t>自主</w:t>
            </w:r>
            <w:r>
              <w:rPr>
                <w:rFonts w:ascii="宋体" w:hAnsi="宋体" w:eastAsia="宋体" w:cs="Times New Roman"/>
                <w:szCs w:val="20"/>
              </w:rPr>
              <w:t>、谨慎做出</w:t>
            </w:r>
            <w:r>
              <w:rPr>
                <w:rFonts w:hint="eastAsia" w:ascii="宋体" w:hAnsi="宋体" w:eastAsia="宋体" w:cs="Times New Roman"/>
                <w:szCs w:val="20"/>
              </w:rPr>
              <w:t>，</w:t>
            </w:r>
            <w:r>
              <w:rPr>
                <w:rFonts w:ascii="宋体" w:hAnsi="宋体" w:eastAsia="宋体" w:cs="Times New Roman"/>
                <w:szCs w:val="20"/>
              </w:rPr>
              <w:t>本</w:t>
            </w:r>
            <w:r>
              <w:rPr>
                <w:rFonts w:hint="eastAsia" w:ascii="宋体" w:hAnsi="宋体" w:eastAsia="宋体" w:cs="Times New Roman"/>
                <w:szCs w:val="20"/>
              </w:rPr>
              <w:t>机构</w:t>
            </w:r>
            <w:r>
              <w:rPr>
                <w:rFonts w:ascii="宋体" w:hAnsi="宋体" w:eastAsia="宋体" w:cs="Times New Roman"/>
                <w:szCs w:val="20"/>
              </w:rPr>
              <w:t>已阅读投资协议</w:t>
            </w:r>
            <w:r>
              <w:rPr>
                <w:rFonts w:hint="eastAsia" w:ascii="宋体" w:hAnsi="宋体" w:eastAsia="宋体" w:cs="Times New Roman"/>
                <w:szCs w:val="20"/>
              </w:rPr>
              <w:t>、销售</w:t>
            </w:r>
            <w:r>
              <w:rPr>
                <w:rFonts w:ascii="宋体" w:hAnsi="宋体" w:eastAsia="宋体" w:cs="Times New Roman"/>
                <w:szCs w:val="20"/>
              </w:rPr>
              <w:t>协议所有条款</w:t>
            </w:r>
            <w:r>
              <w:rPr>
                <w:rFonts w:hint="eastAsia" w:ascii="宋体" w:hAnsi="宋体" w:eastAsia="宋体" w:cs="Times New Roman"/>
                <w:szCs w:val="20"/>
              </w:rPr>
              <w:t>、</w:t>
            </w:r>
            <w:r>
              <w:rPr>
                <w:rFonts w:ascii="宋体" w:hAnsi="宋体" w:eastAsia="宋体" w:cs="Times New Roman"/>
                <w:szCs w:val="20"/>
              </w:rPr>
              <w:t>投资者权益须知、本</w:t>
            </w:r>
            <w:r>
              <w:rPr>
                <w:rFonts w:hint="eastAsia" w:ascii="宋体" w:hAnsi="宋体" w:eastAsia="宋体" w:cs="Times New Roman"/>
                <w:szCs w:val="20"/>
              </w:rPr>
              <w:t>《</w:t>
            </w:r>
            <w:r>
              <w:rPr>
                <w:rFonts w:ascii="宋体" w:hAnsi="宋体" w:eastAsia="宋体" w:cs="Times New Roman"/>
                <w:szCs w:val="20"/>
              </w:rPr>
              <w:t>风险</w:t>
            </w:r>
            <w:r>
              <w:rPr>
                <w:rFonts w:hint="eastAsia" w:ascii="宋体" w:hAnsi="宋体" w:eastAsia="宋体" w:cs="Times New Roman"/>
                <w:szCs w:val="20"/>
              </w:rPr>
              <w:t>揭示书》</w:t>
            </w:r>
            <w:r>
              <w:rPr>
                <w:rFonts w:ascii="宋体" w:hAnsi="宋体" w:eastAsia="宋体" w:cs="Times New Roman"/>
                <w:szCs w:val="20"/>
              </w:rPr>
              <w:t>及</w:t>
            </w:r>
            <w:r>
              <w:rPr>
                <w:rFonts w:hint="eastAsia" w:ascii="宋体" w:hAnsi="宋体" w:eastAsia="宋体" w:cs="Times New Roman"/>
                <w:szCs w:val="20"/>
              </w:rPr>
              <w:t>《</w:t>
            </w:r>
            <w:r>
              <w:rPr>
                <w:rFonts w:ascii="宋体" w:hAnsi="宋体" w:eastAsia="宋体" w:cs="Times New Roman"/>
                <w:szCs w:val="20"/>
              </w:rPr>
              <w:t>产品说明书</w:t>
            </w:r>
            <w:r>
              <w:rPr>
                <w:rFonts w:hint="eastAsia" w:ascii="宋体" w:hAnsi="宋体" w:eastAsia="宋体" w:cs="Times New Roman"/>
                <w:szCs w:val="20"/>
              </w:rPr>
              <w:t>》，充分认识该理财产品的特征、风险和投资者相关权利义务条款，完全理解并自愿接受。</w:t>
            </w:r>
          </w:p>
          <w:p>
            <w:pPr>
              <w:overflowPunct w:val="0"/>
              <w:topLinePunct/>
              <w:snapToGrid w:val="0"/>
              <w:spacing w:line="440" w:lineRule="exact"/>
              <w:rPr>
                <w:rFonts w:ascii="宋体" w:hAnsi="宋体" w:eastAsia="宋体" w:cs="Times New Roman"/>
                <w:szCs w:val="20"/>
              </w:rPr>
            </w:pPr>
            <w:r>
              <w:rPr>
                <w:rFonts w:hint="eastAsia" w:ascii="宋体" w:hAnsi="宋体" w:eastAsia="宋体" w:cs="Times New Roman"/>
                <w:szCs w:val="20"/>
              </w:rPr>
              <w:t>请全文抄录：“</w:t>
            </w:r>
            <w:r>
              <w:rPr>
                <w:rFonts w:hint="eastAsia" w:ascii="宋体" w:hAnsi="宋体" w:eastAsia="宋体" w:cs="Times New Roman"/>
                <w:b/>
                <w:bCs/>
                <w:szCs w:val="20"/>
              </w:rPr>
              <w:t>本机构已经阅读风险揭示，愿意承担投资风险</w:t>
            </w:r>
            <w:r>
              <w:rPr>
                <w:rFonts w:hint="eastAsia" w:ascii="宋体" w:hAnsi="宋体" w:eastAsia="宋体" w:cs="Times New Roman"/>
                <w:szCs w:val="20"/>
              </w:rPr>
              <w:t>”。</w:t>
            </w:r>
          </w:p>
          <w:p>
            <w:pPr>
              <w:overflowPunct w:val="0"/>
              <w:topLinePunct/>
              <w:snapToGrid w:val="0"/>
              <w:rPr>
                <w:rFonts w:ascii="宋体" w:hAnsi="宋体" w:eastAsia="宋体" w:cs="Times New Roman"/>
                <w:szCs w:val="20"/>
              </w:rPr>
            </w:pPr>
          </w:p>
          <w:p>
            <w:pPr>
              <w:overflowPunct w:val="0"/>
              <w:topLinePunct/>
              <w:snapToGrid w:val="0"/>
              <w:rPr>
                <w:rFonts w:ascii="宋体" w:hAnsi="宋体" w:eastAsia="宋体" w:cs="Times New Roman"/>
                <w:b/>
                <w:bCs/>
                <w:szCs w:val="20"/>
                <w:u w:val="single"/>
              </w:rPr>
            </w:pPr>
            <w:r>
              <w:rPr>
                <w:rFonts w:hint="eastAsia" w:ascii="宋体" w:hAnsi="宋体" w:eastAsia="宋体" w:cs="Times New Roman"/>
                <w:szCs w:val="20"/>
              </w:rPr>
              <w:t xml:space="preserve"> </w:t>
            </w:r>
            <w:r>
              <w:rPr>
                <w:rFonts w:hint="eastAsia" w:ascii="宋体" w:hAnsi="宋体" w:eastAsia="宋体" w:cs="Times New Roman"/>
                <w:szCs w:val="20"/>
                <w:u w:val="single"/>
              </w:rPr>
              <w:t xml:space="preserve">                                                   </w:t>
            </w:r>
          </w:p>
          <w:p>
            <w:pPr>
              <w:overflowPunct w:val="0"/>
              <w:topLinePunct/>
              <w:snapToGrid w:val="0"/>
              <w:spacing w:line="440" w:lineRule="exact"/>
              <w:rPr>
                <w:rFonts w:ascii="宋体" w:hAnsi="宋体" w:eastAsia="宋体" w:cs="Times New Roman"/>
                <w:szCs w:val="20"/>
              </w:rPr>
            </w:pPr>
            <w:r>
              <w:rPr>
                <w:rFonts w:hint="eastAsia" w:ascii="宋体" w:hAnsi="宋体" w:eastAsia="宋体" w:cs="Times New Roman"/>
                <w:szCs w:val="20"/>
              </w:rPr>
              <w:t>名称：</w:t>
            </w:r>
          </w:p>
          <w:p>
            <w:pPr>
              <w:overflowPunct w:val="0"/>
              <w:topLinePunct/>
              <w:snapToGrid w:val="0"/>
              <w:spacing w:line="440" w:lineRule="exact"/>
              <w:rPr>
                <w:rFonts w:ascii="宋体" w:hAnsi="宋体" w:eastAsia="宋体" w:cs="Times New Roman"/>
                <w:szCs w:val="20"/>
              </w:rPr>
            </w:pPr>
          </w:p>
          <w:p>
            <w:pPr>
              <w:overflowPunct w:val="0"/>
              <w:topLinePunct/>
              <w:snapToGrid w:val="0"/>
              <w:spacing w:line="440" w:lineRule="exact"/>
              <w:rPr>
                <w:rFonts w:ascii="宋体" w:hAnsi="宋体" w:eastAsia="宋体" w:cs="Times New Roman"/>
                <w:szCs w:val="20"/>
              </w:rPr>
            </w:pPr>
            <w:r>
              <w:rPr>
                <w:rFonts w:hint="eastAsia" w:ascii="宋体" w:hAnsi="宋体" w:eastAsia="宋体" w:cs="Times New Roman"/>
                <w:szCs w:val="20"/>
              </w:rPr>
              <w:t>盖章：</w:t>
            </w:r>
          </w:p>
          <w:p>
            <w:pPr>
              <w:overflowPunct w:val="0"/>
              <w:topLinePunct/>
              <w:snapToGrid w:val="0"/>
              <w:spacing w:line="440" w:lineRule="exact"/>
              <w:rPr>
                <w:rFonts w:ascii="宋体" w:hAnsi="宋体" w:eastAsia="宋体" w:cs="Times New Roman"/>
                <w:szCs w:val="20"/>
              </w:rPr>
            </w:pPr>
          </w:p>
          <w:p>
            <w:pPr>
              <w:overflowPunct w:val="0"/>
              <w:topLinePunct/>
              <w:snapToGrid w:val="0"/>
              <w:spacing w:line="440" w:lineRule="exact"/>
              <w:rPr>
                <w:rFonts w:ascii="宋体" w:hAnsi="宋体" w:eastAsia="宋体" w:cs="Times New Roman"/>
                <w:szCs w:val="20"/>
              </w:rPr>
            </w:pPr>
            <w:r>
              <w:rPr>
                <w:rFonts w:hint="eastAsia" w:ascii="宋体" w:hAnsi="宋体" w:eastAsia="宋体" w:cs="Times New Roman"/>
                <w:szCs w:val="20"/>
              </w:rPr>
              <w:t>法定代表人或授权签署人（</w:t>
            </w:r>
            <w:r>
              <w:rPr>
                <w:rFonts w:ascii="宋体" w:hAnsi="宋体" w:eastAsia="宋体" w:cs="Times New Roman"/>
                <w:szCs w:val="20"/>
              </w:rPr>
              <w:t>签字或盖章</w:t>
            </w:r>
            <w:r>
              <w:rPr>
                <w:rFonts w:hint="eastAsia" w:ascii="宋体" w:hAnsi="宋体" w:eastAsia="宋体" w:cs="Times New Roman"/>
                <w:szCs w:val="20"/>
              </w:rPr>
              <w:t>）：</w:t>
            </w:r>
          </w:p>
          <w:p>
            <w:pPr>
              <w:overflowPunct w:val="0"/>
              <w:topLinePunct/>
              <w:snapToGrid w:val="0"/>
              <w:spacing w:line="440" w:lineRule="exact"/>
              <w:rPr>
                <w:rFonts w:ascii="宋体" w:hAnsi="宋体" w:eastAsia="宋体" w:cs="Times New Roman"/>
                <w:szCs w:val="20"/>
              </w:rPr>
            </w:pPr>
          </w:p>
          <w:p>
            <w:pPr>
              <w:overflowPunct w:val="0"/>
              <w:topLinePunct/>
              <w:snapToGrid w:val="0"/>
              <w:spacing w:line="440" w:lineRule="exact"/>
              <w:jc w:val="right"/>
              <w:rPr>
                <w:rFonts w:ascii="宋体" w:hAnsi="宋体" w:eastAsia="宋体" w:cs="Times New Roman"/>
                <w:sz w:val="24"/>
                <w:u w:val="single"/>
              </w:rPr>
            </w:pPr>
            <w:r>
              <w:rPr>
                <w:rFonts w:hint="eastAsia" w:ascii="宋体" w:hAnsi="宋体" w:eastAsia="宋体" w:cs="Times New Roman"/>
                <w:szCs w:val="20"/>
              </w:rPr>
              <w:t>年   月   日</w:t>
            </w:r>
          </w:p>
        </w:tc>
      </w:tr>
    </w:tbl>
    <w:p>
      <w:pPr>
        <w:widowControl/>
        <w:jc w:val="left"/>
        <w:rPr>
          <w:szCs w:val="20"/>
        </w:rPr>
      </w:pPr>
    </w:p>
    <w:p/>
    <w:p>
      <w:pPr>
        <w:spacing w:before="120"/>
        <w:rPr>
          <w:rFonts w:ascii="楷体" w:hAnsi="楷体" w:eastAsia="楷体" w:cs="Arial Unicode MS"/>
          <w:color w:val="000000" w:themeColor="text1"/>
          <w:kern w:val="0"/>
          <w:szCs w:val="18"/>
          <w14:textFill>
            <w14:solidFill>
              <w14:schemeClr w14:val="tx1"/>
            </w14:solidFill>
          </w14:textFill>
        </w:rPr>
      </w:pPr>
      <w:bookmarkStart w:id="1" w:name="_GoBack"/>
      <w:bookmarkEnd w:id="1"/>
    </w:p>
    <w:sectPr>
      <w:pgSz w:w="11906" w:h="16838"/>
      <w:pgMar w:top="1440"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Arial Unicode MS">
    <w:altName w:val="DejaVu Sans"/>
    <w:panose1 w:val="020B0604020202020204"/>
    <w:charset w:val="86"/>
    <w:family w:val="swiss"/>
    <w:pitch w:val="default"/>
    <w:sig w:usb0="00000000" w:usb1="00000000" w:usb2="0000003F" w:usb3="00000000" w:csb0="603F01FF" w:csb1="FFFF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DBD3E5"/>
    <w:multiLevelType w:val="singleLevel"/>
    <w:tmpl w:val="B2DBD3E5"/>
    <w:lvl w:ilvl="0" w:tentative="0">
      <w:start w:val="1"/>
      <w:numFmt w:val="decimalEnclosedCircleChinese"/>
      <w:suff w:val="nothing"/>
      <w:lvlText w:val="%1　"/>
      <w:lvlJc w:val="left"/>
      <w:pPr>
        <w:ind w:left="0" w:firstLine="400"/>
      </w:pPr>
      <w:rPr>
        <w:rFonts w:hint="eastAsia"/>
      </w:rPr>
    </w:lvl>
  </w:abstractNum>
  <w:abstractNum w:abstractNumId="1">
    <w:nsid w:val="01780991"/>
    <w:multiLevelType w:val="multilevel"/>
    <w:tmpl w:val="01780991"/>
    <w:lvl w:ilvl="0" w:tentative="0">
      <w:start w:val="1"/>
      <w:numFmt w:val="chineseCount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3E064C7"/>
    <w:multiLevelType w:val="multilevel"/>
    <w:tmpl w:val="03E064C7"/>
    <w:lvl w:ilvl="0" w:tentative="0">
      <w:start w:val="1"/>
      <w:numFmt w:val="decimalEnclosedCircleChinese"/>
      <w:lvlText w:val="%1　"/>
      <w:lvlJc w:val="left"/>
      <w:pPr>
        <w:ind w:left="0" w:firstLine="403"/>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3">
    <w:nsid w:val="05024371"/>
    <w:multiLevelType w:val="multilevel"/>
    <w:tmpl w:val="05024371"/>
    <w:lvl w:ilvl="0" w:tentative="0">
      <w:start w:val="1"/>
      <w:numFmt w:val="decimalEnclosedCircleChinese"/>
      <w:lvlText w:val="%1　"/>
      <w:lvlJc w:val="left"/>
      <w:pPr>
        <w:ind w:left="0" w:firstLine="403"/>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4">
    <w:nsid w:val="1D76770B"/>
    <w:multiLevelType w:val="multilevel"/>
    <w:tmpl w:val="1D76770B"/>
    <w:lvl w:ilvl="0" w:tentative="0">
      <w:start w:val="1"/>
      <w:numFmt w:val="decimalEnclosedCircleChinese"/>
      <w:lvlText w:val="%1　"/>
      <w:lvlJc w:val="left"/>
      <w:pPr>
        <w:ind w:left="0" w:firstLine="403"/>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5">
    <w:nsid w:val="217F34D0"/>
    <w:multiLevelType w:val="multilevel"/>
    <w:tmpl w:val="217F34D0"/>
    <w:lvl w:ilvl="0" w:tentative="0">
      <w:start w:val="1"/>
      <w:numFmt w:val="chineseCountingThousand"/>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B6A670A"/>
    <w:multiLevelType w:val="singleLevel"/>
    <w:tmpl w:val="5B6A670A"/>
    <w:lvl w:ilvl="0" w:tentative="0">
      <w:start w:val="1"/>
      <w:numFmt w:val="decimal"/>
      <w:suff w:val="nothing"/>
      <w:lvlText w:val="%1．"/>
      <w:lvlJc w:val="left"/>
      <w:pPr>
        <w:ind w:left="0" w:firstLine="400"/>
      </w:pPr>
      <w:rPr>
        <w:rFonts w:hint="default"/>
      </w:rPr>
    </w:lvl>
  </w:abstractNum>
  <w:num w:numId="1">
    <w:abstractNumId w:val="5"/>
  </w:num>
  <w:num w:numId="2">
    <w:abstractNumId w:val="6"/>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891"/>
    <w:rsid w:val="000018A7"/>
    <w:rsid w:val="00003E52"/>
    <w:rsid w:val="000040E1"/>
    <w:rsid w:val="00004323"/>
    <w:rsid w:val="000047C9"/>
    <w:rsid w:val="00006496"/>
    <w:rsid w:val="000067AB"/>
    <w:rsid w:val="0000766C"/>
    <w:rsid w:val="00011551"/>
    <w:rsid w:val="00011812"/>
    <w:rsid w:val="00012EC5"/>
    <w:rsid w:val="00013A0A"/>
    <w:rsid w:val="00014C02"/>
    <w:rsid w:val="0001620A"/>
    <w:rsid w:val="00016403"/>
    <w:rsid w:val="0002064F"/>
    <w:rsid w:val="00021B98"/>
    <w:rsid w:val="00022C43"/>
    <w:rsid w:val="00023B26"/>
    <w:rsid w:val="00025725"/>
    <w:rsid w:val="00030FCC"/>
    <w:rsid w:val="000348DC"/>
    <w:rsid w:val="00036AFE"/>
    <w:rsid w:val="0004085B"/>
    <w:rsid w:val="00040E8C"/>
    <w:rsid w:val="00044DF7"/>
    <w:rsid w:val="00045202"/>
    <w:rsid w:val="00045B2E"/>
    <w:rsid w:val="00045B54"/>
    <w:rsid w:val="00045D4C"/>
    <w:rsid w:val="00045E2B"/>
    <w:rsid w:val="000469CA"/>
    <w:rsid w:val="00046C2D"/>
    <w:rsid w:val="000500E6"/>
    <w:rsid w:val="00050903"/>
    <w:rsid w:val="000515C8"/>
    <w:rsid w:val="000535E3"/>
    <w:rsid w:val="00053748"/>
    <w:rsid w:val="000538CA"/>
    <w:rsid w:val="00057294"/>
    <w:rsid w:val="000620FE"/>
    <w:rsid w:val="00064DF5"/>
    <w:rsid w:val="0007048B"/>
    <w:rsid w:val="00071900"/>
    <w:rsid w:val="00074724"/>
    <w:rsid w:val="00076E84"/>
    <w:rsid w:val="000779D8"/>
    <w:rsid w:val="00077B64"/>
    <w:rsid w:val="000809A0"/>
    <w:rsid w:val="00081415"/>
    <w:rsid w:val="000817D5"/>
    <w:rsid w:val="00081986"/>
    <w:rsid w:val="000829CC"/>
    <w:rsid w:val="0008508E"/>
    <w:rsid w:val="00085CF8"/>
    <w:rsid w:val="0008611E"/>
    <w:rsid w:val="00087090"/>
    <w:rsid w:val="00087774"/>
    <w:rsid w:val="00091286"/>
    <w:rsid w:val="000913C7"/>
    <w:rsid w:val="00091934"/>
    <w:rsid w:val="00094960"/>
    <w:rsid w:val="000959F3"/>
    <w:rsid w:val="00095D68"/>
    <w:rsid w:val="0009688A"/>
    <w:rsid w:val="000A0A38"/>
    <w:rsid w:val="000A0F78"/>
    <w:rsid w:val="000A17D8"/>
    <w:rsid w:val="000A1F5E"/>
    <w:rsid w:val="000A6815"/>
    <w:rsid w:val="000B0E94"/>
    <w:rsid w:val="000B1242"/>
    <w:rsid w:val="000B2255"/>
    <w:rsid w:val="000B25D1"/>
    <w:rsid w:val="000B433D"/>
    <w:rsid w:val="000B45EE"/>
    <w:rsid w:val="000B5A2C"/>
    <w:rsid w:val="000B7CF1"/>
    <w:rsid w:val="000C0F9F"/>
    <w:rsid w:val="000C1CAF"/>
    <w:rsid w:val="000C42D8"/>
    <w:rsid w:val="000C5F80"/>
    <w:rsid w:val="000C6B27"/>
    <w:rsid w:val="000D155B"/>
    <w:rsid w:val="000D1D1C"/>
    <w:rsid w:val="000D21C2"/>
    <w:rsid w:val="000D22BD"/>
    <w:rsid w:val="000D2D08"/>
    <w:rsid w:val="000D35CB"/>
    <w:rsid w:val="000D3E1F"/>
    <w:rsid w:val="000D4456"/>
    <w:rsid w:val="000D4F7D"/>
    <w:rsid w:val="000D5A67"/>
    <w:rsid w:val="000D6A2C"/>
    <w:rsid w:val="000E0704"/>
    <w:rsid w:val="000E0A10"/>
    <w:rsid w:val="000E2AE1"/>
    <w:rsid w:val="000E2DA1"/>
    <w:rsid w:val="000E36F8"/>
    <w:rsid w:val="000E5783"/>
    <w:rsid w:val="000E587D"/>
    <w:rsid w:val="000E5B43"/>
    <w:rsid w:val="000F1892"/>
    <w:rsid w:val="000F3537"/>
    <w:rsid w:val="000F3D72"/>
    <w:rsid w:val="000F3FEE"/>
    <w:rsid w:val="000F4858"/>
    <w:rsid w:val="000F7BEC"/>
    <w:rsid w:val="00100370"/>
    <w:rsid w:val="00100F4C"/>
    <w:rsid w:val="0010287A"/>
    <w:rsid w:val="00102F9F"/>
    <w:rsid w:val="00103F1C"/>
    <w:rsid w:val="00104093"/>
    <w:rsid w:val="00104D44"/>
    <w:rsid w:val="00105439"/>
    <w:rsid w:val="00107953"/>
    <w:rsid w:val="00110C01"/>
    <w:rsid w:val="00110EEF"/>
    <w:rsid w:val="00111F71"/>
    <w:rsid w:val="00115429"/>
    <w:rsid w:val="00116ABF"/>
    <w:rsid w:val="00117B4A"/>
    <w:rsid w:val="0012023F"/>
    <w:rsid w:val="001240AA"/>
    <w:rsid w:val="0012456C"/>
    <w:rsid w:val="001246E6"/>
    <w:rsid w:val="001255C0"/>
    <w:rsid w:val="0012577F"/>
    <w:rsid w:val="00125863"/>
    <w:rsid w:val="001258B3"/>
    <w:rsid w:val="00126647"/>
    <w:rsid w:val="0012667C"/>
    <w:rsid w:val="00126BAF"/>
    <w:rsid w:val="00127AD4"/>
    <w:rsid w:val="00127DD2"/>
    <w:rsid w:val="001334F3"/>
    <w:rsid w:val="001337D5"/>
    <w:rsid w:val="001349B7"/>
    <w:rsid w:val="00136790"/>
    <w:rsid w:val="00140507"/>
    <w:rsid w:val="0014136E"/>
    <w:rsid w:val="0014465F"/>
    <w:rsid w:val="00144995"/>
    <w:rsid w:val="001460EB"/>
    <w:rsid w:val="0014630A"/>
    <w:rsid w:val="00150BF5"/>
    <w:rsid w:val="00151644"/>
    <w:rsid w:val="001539E0"/>
    <w:rsid w:val="00153D49"/>
    <w:rsid w:val="00153E42"/>
    <w:rsid w:val="00154CB1"/>
    <w:rsid w:val="001561D0"/>
    <w:rsid w:val="00162B93"/>
    <w:rsid w:val="0016349C"/>
    <w:rsid w:val="001642CE"/>
    <w:rsid w:val="001642EC"/>
    <w:rsid w:val="00165791"/>
    <w:rsid w:val="00166601"/>
    <w:rsid w:val="0016680C"/>
    <w:rsid w:val="001669F3"/>
    <w:rsid w:val="00170E08"/>
    <w:rsid w:val="00170E7F"/>
    <w:rsid w:val="00175428"/>
    <w:rsid w:val="00175C51"/>
    <w:rsid w:val="00177632"/>
    <w:rsid w:val="0017786F"/>
    <w:rsid w:val="00177C68"/>
    <w:rsid w:val="00180365"/>
    <w:rsid w:val="00180C55"/>
    <w:rsid w:val="00180C75"/>
    <w:rsid w:val="00182610"/>
    <w:rsid w:val="00182AA3"/>
    <w:rsid w:val="00182CCA"/>
    <w:rsid w:val="00182D50"/>
    <w:rsid w:val="00183ED7"/>
    <w:rsid w:val="00184053"/>
    <w:rsid w:val="00186A24"/>
    <w:rsid w:val="001953F2"/>
    <w:rsid w:val="00195590"/>
    <w:rsid w:val="001A071C"/>
    <w:rsid w:val="001A2561"/>
    <w:rsid w:val="001A34DF"/>
    <w:rsid w:val="001A4793"/>
    <w:rsid w:val="001A7B1D"/>
    <w:rsid w:val="001B1624"/>
    <w:rsid w:val="001B17C2"/>
    <w:rsid w:val="001B326E"/>
    <w:rsid w:val="001B7709"/>
    <w:rsid w:val="001C0ABB"/>
    <w:rsid w:val="001C2D67"/>
    <w:rsid w:val="001C341F"/>
    <w:rsid w:val="001C3652"/>
    <w:rsid w:val="001C3FA8"/>
    <w:rsid w:val="001C76E0"/>
    <w:rsid w:val="001D1971"/>
    <w:rsid w:val="001D1F70"/>
    <w:rsid w:val="001D34C2"/>
    <w:rsid w:val="001D3ABB"/>
    <w:rsid w:val="001D58AD"/>
    <w:rsid w:val="001D60D2"/>
    <w:rsid w:val="001D6474"/>
    <w:rsid w:val="001D67F5"/>
    <w:rsid w:val="001E1304"/>
    <w:rsid w:val="001E1742"/>
    <w:rsid w:val="001E1E20"/>
    <w:rsid w:val="001E2F2C"/>
    <w:rsid w:val="001E3535"/>
    <w:rsid w:val="001E381F"/>
    <w:rsid w:val="001E429A"/>
    <w:rsid w:val="001E44C9"/>
    <w:rsid w:val="001E5AA2"/>
    <w:rsid w:val="001F0D7A"/>
    <w:rsid w:val="001F119B"/>
    <w:rsid w:val="001F33D6"/>
    <w:rsid w:val="001F4BBB"/>
    <w:rsid w:val="001F5C79"/>
    <w:rsid w:val="001F63C2"/>
    <w:rsid w:val="001F66E1"/>
    <w:rsid w:val="00202BA7"/>
    <w:rsid w:val="0020497B"/>
    <w:rsid w:val="00204EE9"/>
    <w:rsid w:val="00205957"/>
    <w:rsid w:val="00206D11"/>
    <w:rsid w:val="00207080"/>
    <w:rsid w:val="0021081E"/>
    <w:rsid w:val="00210DDD"/>
    <w:rsid w:val="00212477"/>
    <w:rsid w:val="00212EA8"/>
    <w:rsid w:val="00212EDA"/>
    <w:rsid w:val="00215165"/>
    <w:rsid w:val="00216801"/>
    <w:rsid w:val="00220D44"/>
    <w:rsid w:val="00223217"/>
    <w:rsid w:val="00223B41"/>
    <w:rsid w:val="0022607B"/>
    <w:rsid w:val="0022634C"/>
    <w:rsid w:val="002266D6"/>
    <w:rsid w:val="0022715E"/>
    <w:rsid w:val="002277D6"/>
    <w:rsid w:val="00230FF2"/>
    <w:rsid w:val="0023492B"/>
    <w:rsid w:val="00235E11"/>
    <w:rsid w:val="00236274"/>
    <w:rsid w:val="002369FE"/>
    <w:rsid w:val="00237E5C"/>
    <w:rsid w:val="00237FE4"/>
    <w:rsid w:val="002414FF"/>
    <w:rsid w:val="00241CEB"/>
    <w:rsid w:val="0024257F"/>
    <w:rsid w:val="00243F41"/>
    <w:rsid w:val="00244388"/>
    <w:rsid w:val="00246467"/>
    <w:rsid w:val="002507E8"/>
    <w:rsid w:val="00253B90"/>
    <w:rsid w:val="00253C7B"/>
    <w:rsid w:val="00260717"/>
    <w:rsid w:val="00262B79"/>
    <w:rsid w:val="00263F21"/>
    <w:rsid w:val="00264B52"/>
    <w:rsid w:val="00264D0E"/>
    <w:rsid w:val="00265D04"/>
    <w:rsid w:val="00267E18"/>
    <w:rsid w:val="00270246"/>
    <w:rsid w:val="00271CBB"/>
    <w:rsid w:val="0027283F"/>
    <w:rsid w:val="00274260"/>
    <w:rsid w:val="00275C08"/>
    <w:rsid w:val="00276513"/>
    <w:rsid w:val="00276ACB"/>
    <w:rsid w:val="00277891"/>
    <w:rsid w:val="00282536"/>
    <w:rsid w:val="00284B85"/>
    <w:rsid w:val="00285E35"/>
    <w:rsid w:val="0028618C"/>
    <w:rsid w:val="002904CB"/>
    <w:rsid w:val="002918F0"/>
    <w:rsid w:val="002A04C0"/>
    <w:rsid w:val="002A0B17"/>
    <w:rsid w:val="002A0FCE"/>
    <w:rsid w:val="002A3D9D"/>
    <w:rsid w:val="002A4D22"/>
    <w:rsid w:val="002A75DA"/>
    <w:rsid w:val="002B19FF"/>
    <w:rsid w:val="002B4B83"/>
    <w:rsid w:val="002B57AE"/>
    <w:rsid w:val="002B73F6"/>
    <w:rsid w:val="002B7D74"/>
    <w:rsid w:val="002C16E1"/>
    <w:rsid w:val="002C4503"/>
    <w:rsid w:val="002C531F"/>
    <w:rsid w:val="002C53F0"/>
    <w:rsid w:val="002C67B8"/>
    <w:rsid w:val="002C76E4"/>
    <w:rsid w:val="002C79DC"/>
    <w:rsid w:val="002C7B10"/>
    <w:rsid w:val="002C7C18"/>
    <w:rsid w:val="002C7FD8"/>
    <w:rsid w:val="002D02C8"/>
    <w:rsid w:val="002D0FBC"/>
    <w:rsid w:val="002D1E8A"/>
    <w:rsid w:val="002D6D94"/>
    <w:rsid w:val="002D7B9F"/>
    <w:rsid w:val="002D7FDA"/>
    <w:rsid w:val="002E0914"/>
    <w:rsid w:val="002E0A9A"/>
    <w:rsid w:val="002E17ED"/>
    <w:rsid w:val="002E1CD2"/>
    <w:rsid w:val="002E51AA"/>
    <w:rsid w:val="002E5AF1"/>
    <w:rsid w:val="002E615A"/>
    <w:rsid w:val="002E64A8"/>
    <w:rsid w:val="002E6555"/>
    <w:rsid w:val="002E7597"/>
    <w:rsid w:val="002F2300"/>
    <w:rsid w:val="002F2372"/>
    <w:rsid w:val="002F332B"/>
    <w:rsid w:val="002F3689"/>
    <w:rsid w:val="002F3F4B"/>
    <w:rsid w:val="002F63D5"/>
    <w:rsid w:val="002F6FB9"/>
    <w:rsid w:val="0030065B"/>
    <w:rsid w:val="003016F7"/>
    <w:rsid w:val="003017A1"/>
    <w:rsid w:val="00302AD0"/>
    <w:rsid w:val="0030423A"/>
    <w:rsid w:val="00305841"/>
    <w:rsid w:val="00305AEF"/>
    <w:rsid w:val="0030618A"/>
    <w:rsid w:val="00306AD2"/>
    <w:rsid w:val="00307620"/>
    <w:rsid w:val="00310398"/>
    <w:rsid w:val="00310727"/>
    <w:rsid w:val="00310F3B"/>
    <w:rsid w:val="00310F41"/>
    <w:rsid w:val="003114B9"/>
    <w:rsid w:val="00312860"/>
    <w:rsid w:val="00313CB9"/>
    <w:rsid w:val="003169B9"/>
    <w:rsid w:val="00316D30"/>
    <w:rsid w:val="00317905"/>
    <w:rsid w:val="00317933"/>
    <w:rsid w:val="00317F3B"/>
    <w:rsid w:val="003207E9"/>
    <w:rsid w:val="003219EF"/>
    <w:rsid w:val="00322494"/>
    <w:rsid w:val="00323710"/>
    <w:rsid w:val="00324B02"/>
    <w:rsid w:val="00332A9D"/>
    <w:rsid w:val="003343D2"/>
    <w:rsid w:val="00336D39"/>
    <w:rsid w:val="00337379"/>
    <w:rsid w:val="003407A2"/>
    <w:rsid w:val="00340C7A"/>
    <w:rsid w:val="003417FD"/>
    <w:rsid w:val="00341D34"/>
    <w:rsid w:val="0034286F"/>
    <w:rsid w:val="00342F1F"/>
    <w:rsid w:val="003434FB"/>
    <w:rsid w:val="00343837"/>
    <w:rsid w:val="00343F95"/>
    <w:rsid w:val="003469E4"/>
    <w:rsid w:val="003507D9"/>
    <w:rsid w:val="00351037"/>
    <w:rsid w:val="00352855"/>
    <w:rsid w:val="00352980"/>
    <w:rsid w:val="003536C2"/>
    <w:rsid w:val="0035413B"/>
    <w:rsid w:val="00355C5C"/>
    <w:rsid w:val="00356424"/>
    <w:rsid w:val="00356F96"/>
    <w:rsid w:val="00357269"/>
    <w:rsid w:val="00360EAF"/>
    <w:rsid w:val="00362A71"/>
    <w:rsid w:val="003635E6"/>
    <w:rsid w:val="00363BA6"/>
    <w:rsid w:val="0037040A"/>
    <w:rsid w:val="0037089F"/>
    <w:rsid w:val="00371B40"/>
    <w:rsid w:val="00371FD6"/>
    <w:rsid w:val="003724DB"/>
    <w:rsid w:val="0037303D"/>
    <w:rsid w:val="00373C8C"/>
    <w:rsid w:val="00374E3D"/>
    <w:rsid w:val="0037555D"/>
    <w:rsid w:val="003770B7"/>
    <w:rsid w:val="00377823"/>
    <w:rsid w:val="003848F8"/>
    <w:rsid w:val="00384E00"/>
    <w:rsid w:val="0038557A"/>
    <w:rsid w:val="003861E4"/>
    <w:rsid w:val="00387A2A"/>
    <w:rsid w:val="00391085"/>
    <w:rsid w:val="0039116C"/>
    <w:rsid w:val="00393BA1"/>
    <w:rsid w:val="00394463"/>
    <w:rsid w:val="00396AB6"/>
    <w:rsid w:val="00396DE0"/>
    <w:rsid w:val="00396F47"/>
    <w:rsid w:val="0039727B"/>
    <w:rsid w:val="003A1107"/>
    <w:rsid w:val="003A3E34"/>
    <w:rsid w:val="003A4497"/>
    <w:rsid w:val="003A5AAE"/>
    <w:rsid w:val="003A61D5"/>
    <w:rsid w:val="003A63BA"/>
    <w:rsid w:val="003A6BA6"/>
    <w:rsid w:val="003A6BD4"/>
    <w:rsid w:val="003A7ECB"/>
    <w:rsid w:val="003B00E3"/>
    <w:rsid w:val="003B16FD"/>
    <w:rsid w:val="003B303D"/>
    <w:rsid w:val="003B3299"/>
    <w:rsid w:val="003B4F8D"/>
    <w:rsid w:val="003B6363"/>
    <w:rsid w:val="003B6BB9"/>
    <w:rsid w:val="003B732A"/>
    <w:rsid w:val="003C07A2"/>
    <w:rsid w:val="003C1EF9"/>
    <w:rsid w:val="003C2B49"/>
    <w:rsid w:val="003C2E75"/>
    <w:rsid w:val="003C5C77"/>
    <w:rsid w:val="003D0D9A"/>
    <w:rsid w:val="003D0ED6"/>
    <w:rsid w:val="003D317E"/>
    <w:rsid w:val="003D6707"/>
    <w:rsid w:val="003D6B76"/>
    <w:rsid w:val="003D7978"/>
    <w:rsid w:val="003D7B96"/>
    <w:rsid w:val="003E068A"/>
    <w:rsid w:val="003E10ED"/>
    <w:rsid w:val="003E1D48"/>
    <w:rsid w:val="003E2358"/>
    <w:rsid w:val="003E29F3"/>
    <w:rsid w:val="003E2F52"/>
    <w:rsid w:val="003E3E51"/>
    <w:rsid w:val="003E545C"/>
    <w:rsid w:val="003F04AA"/>
    <w:rsid w:val="003F134D"/>
    <w:rsid w:val="003F2565"/>
    <w:rsid w:val="003F2631"/>
    <w:rsid w:val="003F3555"/>
    <w:rsid w:val="003F541F"/>
    <w:rsid w:val="003F6E02"/>
    <w:rsid w:val="003F6ECF"/>
    <w:rsid w:val="00402383"/>
    <w:rsid w:val="00402DC1"/>
    <w:rsid w:val="004064ED"/>
    <w:rsid w:val="00406921"/>
    <w:rsid w:val="00410243"/>
    <w:rsid w:val="00411AF4"/>
    <w:rsid w:val="00412A66"/>
    <w:rsid w:val="00413111"/>
    <w:rsid w:val="00415623"/>
    <w:rsid w:val="00416ACC"/>
    <w:rsid w:val="00417E9D"/>
    <w:rsid w:val="004208AE"/>
    <w:rsid w:val="0042127C"/>
    <w:rsid w:val="00424C39"/>
    <w:rsid w:val="004262ED"/>
    <w:rsid w:val="0042720D"/>
    <w:rsid w:val="0043131F"/>
    <w:rsid w:val="00431DF7"/>
    <w:rsid w:val="004320F0"/>
    <w:rsid w:val="00432573"/>
    <w:rsid w:val="00432722"/>
    <w:rsid w:val="004338FA"/>
    <w:rsid w:val="00434B52"/>
    <w:rsid w:val="004352DB"/>
    <w:rsid w:val="0043619A"/>
    <w:rsid w:val="00436B55"/>
    <w:rsid w:val="00441440"/>
    <w:rsid w:val="00441C99"/>
    <w:rsid w:val="00442608"/>
    <w:rsid w:val="00442D44"/>
    <w:rsid w:val="0044487F"/>
    <w:rsid w:val="00445648"/>
    <w:rsid w:val="00445B98"/>
    <w:rsid w:val="00445F27"/>
    <w:rsid w:val="00446FA8"/>
    <w:rsid w:val="0045099B"/>
    <w:rsid w:val="004539D9"/>
    <w:rsid w:val="004543C3"/>
    <w:rsid w:val="0045587A"/>
    <w:rsid w:val="00455DCD"/>
    <w:rsid w:val="00456592"/>
    <w:rsid w:val="00460D10"/>
    <w:rsid w:val="00462692"/>
    <w:rsid w:val="00464B69"/>
    <w:rsid w:val="0046581C"/>
    <w:rsid w:val="00465967"/>
    <w:rsid w:val="004661EA"/>
    <w:rsid w:val="0046650D"/>
    <w:rsid w:val="0046740F"/>
    <w:rsid w:val="00471F6A"/>
    <w:rsid w:val="00472312"/>
    <w:rsid w:val="00472DE7"/>
    <w:rsid w:val="00473941"/>
    <w:rsid w:val="004744A8"/>
    <w:rsid w:val="00475AA3"/>
    <w:rsid w:val="00481095"/>
    <w:rsid w:val="00481EB5"/>
    <w:rsid w:val="00482143"/>
    <w:rsid w:val="0048283D"/>
    <w:rsid w:val="00483212"/>
    <w:rsid w:val="00483972"/>
    <w:rsid w:val="00484F76"/>
    <w:rsid w:val="00485412"/>
    <w:rsid w:val="004857C3"/>
    <w:rsid w:val="004867FD"/>
    <w:rsid w:val="00486DDF"/>
    <w:rsid w:val="00487DF5"/>
    <w:rsid w:val="00487F26"/>
    <w:rsid w:val="00487F8B"/>
    <w:rsid w:val="00490670"/>
    <w:rsid w:val="00491D5D"/>
    <w:rsid w:val="0049316D"/>
    <w:rsid w:val="00494DA1"/>
    <w:rsid w:val="004951EF"/>
    <w:rsid w:val="004A0069"/>
    <w:rsid w:val="004A1D1B"/>
    <w:rsid w:val="004A30F8"/>
    <w:rsid w:val="004A321C"/>
    <w:rsid w:val="004A4356"/>
    <w:rsid w:val="004A4A13"/>
    <w:rsid w:val="004A4B46"/>
    <w:rsid w:val="004A5836"/>
    <w:rsid w:val="004A5FC7"/>
    <w:rsid w:val="004A662F"/>
    <w:rsid w:val="004B1196"/>
    <w:rsid w:val="004B252B"/>
    <w:rsid w:val="004B2DA0"/>
    <w:rsid w:val="004B2EFA"/>
    <w:rsid w:val="004B436B"/>
    <w:rsid w:val="004B5AD8"/>
    <w:rsid w:val="004B739F"/>
    <w:rsid w:val="004C0088"/>
    <w:rsid w:val="004C1033"/>
    <w:rsid w:val="004C22C3"/>
    <w:rsid w:val="004C7B8D"/>
    <w:rsid w:val="004D283D"/>
    <w:rsid w:val="004D2D55"/>
    <w:rsid w:val="004D3169"/>
    <w:rsid w:val="004D360A"/>
    <w:rsid w:val="004D5247"/>
    <w:rsid w:val="004E0455"/>
    <w:rsid w:val="004E3356"/>
    <w:rsid w:val="004E4E92"/>
    <w:rsid w:val="004E5891"/>
    <w:rsid w:val="004E672A"/>
    <w:rsid w:val="004E6993"/>
    <w:rsid w:val="004E7042"/>
    <w:rsid w:val="004F0241"/>
    <w:rsid w:val="004F04E1"/>
    <w:rsid w:val="004F16AD"/>
    <w:rsid w:val="004F3784"/>
    <w:rsid w:val="004F4041"/>
    <w:rsid w:val="004F4316"/>
    <w:rsid w:val="004F44F9"/>
    <w:rsid w:val="004F7BB2"/>
    <w:rsid w:val="005005FB"/>
    <w:rsid w:val="0050072B"/>
    <w:rsid w:val="0050150E"/>
    <w:rsid w:val="00501B4A"/>
    <w:rsid w:val="00502ACF"/>
    <w:rsid w:val="00502EB8"/>
    <w:rsid w:val="005049DD"/>
    <w:rsid w:val="00511803"/>
    <w:rsid w:val="00512F15"/>
    <w:rsid w:val="00512F31"/>
    <w:rsid w:val="0051481A"/>
    <w:rsid w:val="00516917"/>
    <w:rsid w:val="00517B51"/>
    <w:rsid w:val="00522060"/>
    <w:rsid w:val="0052694E"/>
    <w:rsid w:val="00527AF8"/>
    <w:rsid w:val="00531C32"/>
    <w:rsid w:val="00531C80"/>
    <w:rsid w:val="00532683"/>
    <w:rsid w:val="00533BE8"/>
    <w:rsid w:val="005401BD"/>
    <w:rsid w:val="00542B02"/>
    <w:rsid w:val="00544908"/>
    <w:rsid w:val="005467C9"/>
    <w:rsid w:val="00551CD5"/>
    <w:rsid w:val="0055259A"/>
    <w:rsid w:val="005525C2"/>
    <w:rsid w:val="00552699"/>
    <w:rsid w:val="00553D7B"/>
    <w:rsid w:val="0055486F"/>
    <w:rsid w:val="00555A68"/>
    <w:rsid w:val="00564193"/>
    <w:rsid w:val="005672BC"/>
    <w:rsid w:val="00571819"/>
    <w:rsid w:val="00575708"/>
    <w:rsid w:val="0057585F"/>
    <w:rsid w:val="00577D84"/>
    <w:rsid w:val="0058034B"/>
    <w:rsid w:val="00581C11"/>
    <w:rsid w:val="00586AA9"/>
    <w:rsid w:val="00590285"/>
    <w:rsid w:val="00590DFE"/>
    <w:rsid w:val="00590F59"/>
    <w:rsid w:val="0059446D"/>
    <w:rsid w:val="0059686D"/>
    <w:rsid w:val="00597853"/>
    <w:rsid w:val="00597A23"/>
    <w:rsid w:val="005A051A"/>
    <w:rsid w:val="005A0D4C"/>
    <w:rsid w:val="005A2117"/>
    <w:rsid w:val="005A507F"/>
    <w:rsid w:val="005A592A"/>
    <w:rsid w:val="005A6610"/>
    <w:rsid w:val="005A6825"/>
    <w:rsid w:val="005A6B68"/>
    <w:rsid w:val="005A739C"/>
    <w:rsid w:val="005B09E0"/>
    <w:rsid w:val="005B2DD7"/>
    <w:rsid w:val="005B390E"/>
    <w:rsid w:val="005B3B5A"/>
    <w:rsid w:val="005B6E43"/>
    <w:rsid w:val="005B77BB"/>
    <w:rsid w:val="005C1CA1"/>
    <w:rsid w:val="005C2D8C"/>
    <w:rsid w:val="005C39A3"/>
    <w:rsid w:val="005C6B9A"/>
    <w:rsid w:val="005D0777"/>
    <w:rsid w:val="005D0D9E"/>
    <w:rsid w:val="005D1650"/>
    <w:rsid w:val="005D2A98"/>
    <w:rsid w:val="005D3AF0"/>
    <w:rsid w:val="005D3B65"/>
    <w:rsid w:val="005D6107"/>
    <w:rsid w:val="005D7191"/>
    <w:rsid w:val="005D71B7"/>
    <w:rsid w:val="005D7C69"/>
    <w:rsid w:val="005D7DBA"/>
    <w:rsid w:val="005D7DF4"/>
    <w:rsid w:val="005E0226"/>
    <w:rsid w:val="005E1A78"/>
    <w:rsid w:val="005E2533"/>
    <w:rsid w:val="005E339B"/>
    <w:rsid w:val="005E4D9B"/>
    <w:rsid w:val="005E5062"/>
    <w:rsid w:val="005E6581"/>
    <w:rsid w:val="005E70E0"/>
    <w:rsid w:val="005E77E1"/>
    <w:rsid w:val="005E7A6A"/>
    <w:rsid w:val="005E7A9E"/>
    <w:rsid w:val="005E7BCF"/>
    <w:rsid w:val="005E7DEB"/>
    <w:rsid w:val="005F52C8"/>
    <w:rsid w:val="005F543F"/>
    <w:rsid w:val="005F60BA"/>
    <w:rsid w:val="005F67DB"/>
    <w:rsid w:val="005F6BD9"/>
    <w:rsid w:val="00600548"/>
    <w:rsid w:val="00600D18"/>
    <w:rsid w:val="00601E10"/>
    <w:rsid w:val="00603227"/>
    <w:rsid w:val="00607201"/>
    <w:rsid w:val="00607A38"/>
    <w:rsid w:val="0061189B"/>
    <w:rsid w:val="0061379F"/>
    <w:rsid w:val="006154FA"/>
    <w:rsid w:val="0062053A"/>
    <w:rsid w:val="00620D5C"/>
    <w:rsid w:val="0062227E"/>
    <w:rsid w:val="0062358F"/>
    <w:rsid w:val="0062560F"/>
    <w:rsid w:val="00627321"/>
    <w:rsid w:val="0063272E"/>
    <w:rsid w:val="00632FC1"/>
    <w:rsid w:val="006333E3"/>
    <w:rsid w:val="00635E57"/>
    <w:rsid w:val="006368DB"/>
    <w:rsid w:val="00636976"/>
    <w:rsid w:val="006376A4"/>
    <w:rsid w:val="00642230"/>
    <w:rsid w:val="00642344"/>
    <w:rsid w:val="00646A07"/>
    <w:rsid w:val="00653B96"/>
    <w:rsid w:val="0065419E"/>
    <w:rsid w:val="00656022"/>
    <w:rsid w:val="00656174"/>
    <w:rsid w:val="0065656F"/>
    <w:rsid w:val="0065780D"/>
    <w:rsid w:val="006578FF"/>
    <w:rsid w:val="006604EA"/>
    <w:rsid w:val="00660AAB"/>
    <w:rsid w:val="00661169"/>
    <w:rsid w:val="006665F6"/>
    <w:rsid w:val="00670117"/>
    <w:rsid w:val="00670E6F"/>
    <w:rsid w:val="00670F43"/>
    <w:rsid w:val="00671120"/>
    <w:rsid w:val="00671DE7"/>
    <w:rsid w:val="00672125"/>
    <w:rsid w:val="00672421"/>
    <w:rsid w:val="00673E58"/>
    <w:rsid w:val="00675320"/>
    <w:rsid w:val="006762D0"/>
    <w:rsid w:val="006767BA"/>
    <w:rsid w:val="006817C2"/>
    <w:rsid w:val="0068212B"/>
    <w:rsid w:val="00685205"/>
    <w:rsid w:val="0068535B"/>
    <w:rsid w:val="00687117"/>
    <w:rsid w:val="00687274"/>
    <w:rsid w:val="00690424"/>
    <w:rsid w:val="00690AF2"/>
    <w:rsid w:val="00691E5B"/>
    <w:rsid w:val="0069448C"/>
    <w:rsid w:val="006958AE"/>
    <w:rsid w:val="00695CE3"/>
    <w:rsid w:val="0069715E"/>
    <w:rsid w:val="006976A5"/>
    <w:rsid w:val="00697DD6"/>
    <w:rsid w:val="006A0937"/>
    <w:rsid w:val="006A1191"/>
    <w:rsid w:val="006A4C34"/>
    <w:rsid w:val="006A4FAE"/>
    <w:rsid w:val="006A5435"/>
    <w:rsid w:val="006A6C15"/>
    <w:rsid w:val="006B1982"/>
    <w:rsid w:val="006B257B"/>
    <w:rsid w:val="006B2DF9"/>
    <w:rsid w:val="006B5987"/>
    <w:rsid w:val="006B6B7C"/>
    <w:rsid w:val="006C13A0"/>
    <w:rsid w:val="006C6A12"/>
    <w:rsid w:val="006D131D"/>
    <w:rsid w:val="006D1953"/>
    <w:rsid w:val="006D29D7"/>
    <w:rsid w:val="006D3175"/>
    <w:rsid w:val="006D394F"/>
    <w:rsid w:val="006D7A4A"/>
    <w:rsid w:val="006E105A"/>
    <w:rsid w:val="006E2537"/>
    <w:rsid w:val="006E3A79"/>
    <w:rsid w:val="006E4C33"/>
    <w:rsid w:val="006E6004"/>
    <w:rsid w:val="006E6CA3"/>
    <w:rsid w:val="006E73F3"/>
    <w:rsid w:val="006F0020"/>
    <w:rsid w:val="006F12D5"/>
    <w:rsid w:val="006F243B"/>
    <w:rsid w:val="006F2E10"/>
    <w:rsid w:val="006F4389"/>
    <w:rsid w:val="006F4E06"/>
    <w:rsid w:val="006F504D"/>
    <w:rsid w:val="006F758D"/>
    <w:rsid w:val="0070130F"/>
    <w:rsid w:val="00702125"/>
    <w:rsid w:val="00702FE8"/>
    <w:rsid w:val="00703327"/>
    <w:rsid w:val="0070487D"/>
    <w:rsid w:val="007050E1"/>
    <w:rsid w:val="0070576E"/>
    <w:rsid w:val="007069A2"/>
    <w:rsid w:val="00707DC9"/>
    <w:rsid w:val="0071033F"/>
    <w:rsid w:val="0071102E"/>
    <w:rsid w:val="00711223"/>
    <w:rsid w:val="0071201A"/>
    <w:rsid w:val="00712386"/>
    <w:rsid w:val="007125DA"/>
    <w:rsid w:val="00714A04"/>
    <w:rsid w:val="00714A12"/>
    <w:rsid w:val="00715CC7"/>
    <w:rsid w:val="00715E5A"/>
    <w:rsid w:val="007164D4"/>
    <w:rsid w:val="00716E9E"/>
    <w:rsid w:val="00716FDA"/>
    <w:rsid w:val="00720528"/>
    <w:rsid w:val="007206E7"/>
    <w:rsid w:val="00721300"/>
    <w:rsid w:val="0072149B"/>
    <w:rsid w:val="00722603"/>
    <w:rsid w:val="007236E0"/>
    <w:rsid w:val="00725F19"/>
    <w:rsid w:val="007341FC"/>
    <w:rsid w:val="007357D7"/>
    <w:rsid w:val="00740B72"/>
    <w:rsid w:val="0074313B"/>
    <w:rsid w:val="00747291"/>
    <w:rsid w:val="00750F37"/>
    <w:rsid w:val="007518D6"/>
    <w:rsid w:val="00752621"/>
    <w:rsid w:val="007574C1"/>
    <w:rsid w:val="00757EAD"/>
    <w:rsid w:val="00760091"/>
    <w:rsid w:val="00761188"/>
    <w:rsid w:val="00761A41"/>
    <w:rsid w:val="00762758"/>
    <w:rsid w:val="007639DF"/>
    <w:rsid w:val="007641B3"/>
    <w:rsid w:val="00766E8F"/>
    <w:rsid w:val="0076785B"/>
    <w:rsid w:val="007701C8"/>
    <w:rsid w:val="00770EF8"/>
    <w:rsid w:val="00771706"/>
    <w:rsid w:val="007726B2"/>
    <w:rsid w:val="0077538F"/>
    <w:rsid w:val="00775DA2"/>
    <w:rsid w:val="007765C4"/>
    <w:rsid w:val="00776C92"/>
    <w:rsid w:val="00777597"/>
    <w:rsid w:val="0077788D"/>
    <w:rsid w:val="007832A8"/>
    <w:rsid w:val="00783685"/>
    <w:rsid w:val="00783B22"/>
    <w:rsid w:val="007867EB"/>
    <w:rsid w:val="00786DE0"/>
    <w:rsid w:val="007878EF"/>
    <w:rsid w:val="00791890"/>
    <w:rsid w:val="00791CEE"/>
    <w:rsid w:val="00791D13"/>
    <w:rsid w:val="007920C2"/>
    <w:rsid w:val="00793DA4"/>
    <w:rsid w:val="00794B17"/>
    <w:rsid w:val="00795133"/>
    <w:rsid w:val="00795E87"/>
    <w:rsid w:val="007966E3"/>
    <w:rsid w:val="007974E0"/>
    <w:rsid w:val="007A0A48"/>
    <w:rsid w:val="007A143D"/>
    <w:rsid w:val="007A231E"/>
    <w:rsid w:val="007A29E9"/>
    <w:rsid w:val="007A50AD"/>
    <w:rsid w:val="007A51A4"/>
    <w:rsid w:val="007A539F"/>
    <w:rsid w:val="007A53FE"/>
    <w:rsid w:val="007A6750"/>
    <w:rsid w:val="007A714B"/>
    <w:rsid w:val="007A7289"/>
    <w:rsid w:val="007B028C"/>
    <w:rsid w:val="007B210B"/>
    <w:rsid w:val="007B2AD0"/>
    <w:rsid w:val="007B3273"/>
    <w:rsid w:val="007B4D38"/>
    <w:rsid w:val="007B569A"/>
    <w:rsid w:val="007B5BD8"/>
    <w:rsid w:val="007B5EC2"/>
    <w:rsid w:val="007B6A01"/>
    <w:rsid w:val="007B6A25"/>
    <w:rsid w:val="007C1D5A"/>
    <w:rsid w:val="007C22E5"/>
    <w:rsid w:val="007C24EA"/>
    <w:rsid w:val="007C2776"/>
    <w:rsid w:val="007C30EC"/>
    <w:rsid w:val="007C5109"/>
    <w:rsid w:val="007C5680"/>
    <w:rsid w:val="007C692E"/>
    <w:rsid w:val="007D2348"/>
    <w:rsid w:val="007D267A"/>
    <w:rsid w:val="007D2F92"/>
    <w:rsid w:val="007D382A"/>
    <w:rsid w:val="007D3A1C"/>
    <w:rsid w:val="007D44AC"/>
    <w:rsid w:val="007D4B64"/>
    <w:rsid w:val="007D4BB2"/>
    <w:rsid w:val="007D4C06"/>
    <w:rsid w:val="007D4FC4"/>
    <w:rsid w:val="007D5E8C"/>
    <w:rsid w:val="007D632C"/>
    <w:rsid w:val="007D6731"/>
    <w:rsid w:val="007E1A7D"/>
    <w:rsid w:val="007E2C11"/>
    <w:rsid w:val="007E2F8B"/>
    <w:rsid w:val="007E5B84"/>
    <w:rsid w:val="007E6F77"/>
    <w:rsid w:val="007E7804"/>
    <w:rsid w:val="007F03E2"/>
    <w:rsid w:val="007F2E37"/>
    <w:rsid w:val="007F2E38"/>
    <w:rsid w:val="007F2FDA"/>
    <w:rsid w:val="007F355A"/>
    <w:rsid w:val="007F3CBF"/>
    <w:rsid w:val="007F4166"/>
    <w:rsid w:val="007F5DC6"/>
    <w:rsid w:val="007F64CC"/>
    <w:rsid w:val="007F7B66"/>
    <w:rsid w:val="007F7D33"/>
    <w:rsid w:val="00800D81"/>
    <w:rsid w:val="00800E7B"/>
    <w:rsid w:val="00802A31"/>
    <w:rsid w:val="00802CCA"/>
    <w:rsid w:val="00803F89"/>
    <w:rsid w:val="0080473C"/>
    <w:rsid w:val="008061A5"/>
    <w:rsid w:val="0080676F"/>
    <w:rsid w:val="0080742B"/>
    <w:rsid w:val="00812920"/>
    <w:rsid w:val="00812E78"/>
    <w:rsid w:val="00814791"/>
    <w:rsid w:val="00820580"/>
    <w:rsid w:val="00823A42"/>
    <w:rsid w:val="00824D30"/>
    <w:rsid w:val="00833817"/>
    <w:rsid w:val="00833AFD"/>
    <w:rsid w:val="0083415D"/>
    <w:rsid w:val="00834C9F"/>
    <w:rsid w:val="00834FDB"/>
    <w:rsid w:val="00835E2C"/>
    <w:rsid w:val="00835E91"/>
    <w:rsid w:val="00836B7A"/>
    <w:rsid w:val="00840BB2"/>
    <w:rsid w:val="00841310"/>
    <w:rsid w:val="00841561"/>
    <w:rsid w:val="00842696"/>
    <w:rsid w:val="0084386F"/>
    <w:rsid w:val="0084395C"/>
    <w:rsid w:val="008445BA"/>
    <w:rsid w:val="00847A93"/>
    <w:rsid w:val="008511AC"/>
    <w:rsid w:val="0085290F"/>
    <w:rsid w:val="00852BEF"/>
    <w:rsid w:val="00854DAD"/>
    <w:rsid w:val="00855C2D"/>
    <w:rsid w:val="0085776B"/>
    <w:rsid w:val="00857C73"/>
    <w:rsid w:val="0086196B"/>
    <w:rsid w:val="00861C08"/>
    <w:rsid w:val="0086411D"/>
    <w:rsid w:val="0086418A"/>
    <w:rsid w:val="008650CD"/>
    <w:rsid w:val="00867836"/>
    <w:rsid w:val="00867901"/>
    <w:rsid w:val="00867FC5"/>
    <w:rsid w:val="008712AE"/>
    <w:rsid w:val="008719CE"/>
    <w:rsid w:val="00871C3B"/>
    <w:rsid w:val="0087258F"/>
    <w:rsid w:val="008743A6"/>
    <w:rsid w:val="00874615"/>
    <w:rsid w:val="00875411"/>
    <w:rsid w:val="00880272"/>
    <w:rsid w:val="00880E71"/>
    <w:rsid w:val="008815D0"/>
    <w:rsid w:val="00881C73"/>
    <w:rsid w:val="008831B5"/>
    <w:rsid w:val="00885D02"/>
    <w:rsid w:val="00886472"/>
    <w:rsid w:val="0088720C"/>
    <w:rsid w:val="00890C0F"/>
    <w:rsid w:val="008921A9"/>
    <w:rsid w:val="00893ABF"/>
    <w:rsid w:val="008949CC"/>
    <w:rsid w:val="00894CE3"/>
    <w:rsid w:val="00895A8D"/>
    <w:rsid w:val="008A0FCC"/>
    <w:rsid w:val="008A138E"/>
    <w:rsid w:val="008A2C7A"/>
    <w:rsid w:val="008A38AA"/>
    <w:rsid w:val="008A43CA"/>
    <w:rsid w:val="008B1B3D"/>
    <w:rsid w:val="008B2535"/>
    <w:rsid w:val="008B3419"/>
    <w:rsid w:val="008B539C"/>
    <w:rsid w:val="008B5575"/>
    <w:rsid w:val="008B578E"/>
    <w:rsid w:val="008B57CA"/>
    <w:rsid w:val="008B5DCD"/>
    <w:rsid w:val="008B6D9B"/>
    <w:rsid w:val="008B77CC"/>
    <w:rsid w:val="008C013D"/>
    <w:rsid w:val="008C17CA"/>
    <w:rsid w:val="008C2565"/>
    <w:rsid w:val="008C27BB"/>
    <w:rsid w:val="008C2C0B"/>
    <w:rsid w:val="008C2C25"/>
    <w:rsid w:val="008C4BD5"/>
    <w:rsid w:val="008C64F2"/>
    <w:rsid w:val="008D2302"/>
    <w:rsid w:val="008D2A9D"/>
    <w:rsid w:val="008D4477"/>
    <w:rsid w:val="008D461C"/>
    <w:rsid w:val="008D4CFA"/>
    <w:rsid w:val="008D6250"/>
    <w:rsid w:val="008D6F12"/>
    <w:rsid w:val="008D71D0"/>
    <w:rsid w:val="008E0071"/>
    <w:rsid w:val="008E0397"/>
    <w:rsid w:val="008E33AA"/>
    <w:rsid w:val="008E368B"/>
    <w:rsid w:val="008E3F9E"/>
    <w:rsid w:val="008E42EE"/>
    <w:rsid w:val="008E64AB"/>
    <w:rsid w:val="008E6605"/>
    <w:rsid w:val="008E7DD8"/>
    <w:rsid w:val="008E7F6F"/>
    <w:rsid w:val="008F1B65"/>
    <w:rsid w:val="008F3811"/>
    <w:rsid w:val="008F7C7C"/>
    <w:rsid w:val="0090550A"/>
    <w:rsid w:val="00906E83"/>
    <w:rsid w:val="00907CA1"/>
    <w:rsid w:val="00912476"/>
    <w:rsid w:val="00912E8B"/>
    <w:rsid w:val="00912EEF"/>
    <w:rsid w:val="00913B60"/>
    <w:rsid w:val="009140D8"/>
    <w:rsid w:val="009143FB"/>
    <w:rsid w:val="00914639"/>
    <w:rsid w:val="00914C7C"/>
    <w:rsid w:val="00915BB1"/>
    <w:rsid w:val="00916120"/>
    <w:rsid w:val="00920572"/>
    <w:rsid w:val="009214BA"/>
    <w:rsid w:val="009214C3"/>
    <w:rsid w:val="00922BAC"/>
    <w:rsid w:val="00923314"/>
    <w:rsid w:val="00923EC2"/>
    <w:rsid w:val="009249DF"/>
    <w:rsid w:val="00924A3C"/>
    <w:rsid w:val="00925060"/>
    <w:rsid w:val="0092651B"/>
    <w:rsid w:val="009268F9"/>
    <w:rsid w:val="00926F22"/>
    <w:rsid w:val="00927C3A"/>
    <w:rsid w:val="00927D8F"/>
    <w:rsid w:val="00932D96"/>
    <w:rsid w:val="00933622"/>
    <w:rsid w:val="00934EC0"/>
    <w:rsid w:val="00935E93"/>
    <w:rsid w:val="009367C1"/>
    <w:rsid w:val="009375CC"/>
    <w:rsid w:val="00940423"/>
    <w:rsid w:val="00941819"/>
    <w:rsid w:val="00943DCF"/>
    <w:rsid w:val="00944170"/>
    <w:rsid w:val="009449DC"/>
    <w:rsid w:val="0094507A"/>
    <w:rsid w:val="00946667"/>
    <w:rsid w:val="009466D4"/>
    <w:rsid w:val="00946F89"/>
    <w:rsid w:val="00947119"/>
    <w:rsid w:val="0095040A"/>
    <w:rsid w:val="00950864"/>
    <w:rsid w:val="00950F09"/>
    <w:rsid w:val="0095173F"/>
    <w:rsid w:val="009533D9"/>
    <w:rsid w:val="00953768"/>
    <w:rsid w:val="009542D6"/>
    <w:rsid w:val="00954343"/>
    <w:rsid w:val="009545D4"/>
    <w:rsid w:val="009550FB"/>
    <w:rsid w:val="0095747C"/>
    <w:rsid w:val="0096273A"/>
    <w:rsid w:val="00962D60"/>
    <w:rsid w:val="00963B3B"/>
    <w:rsid w:val="00964189"/>
    <w:rsid w:val="00964CA4"/>
    <w:rsid w:val="00965AD8"/>
    <w:rsid w:val="00966BEA"/>
    <w:rsid w:val="00967270"/>
    <w:rsid w:val="00967BBD"/>
    <w:rsid w:val="00970314"/>
    <w:rsid w:val="009747F6"/>
    <w:rsid w:val="00980715"/>
    <w:rsid w:val="009807BF"/>
    <w:rsid w:val="009832AF"/>
    <w:rsid w:val="00985B37"/>
    <w:rsid w:val="009866CB"/>
    <w:rsid w:val="00986CC2"/>
    <w:rsid w:val="009874E8"/>
    <w:rsid w:val="00987519"/>
    <w:rsid w:val="0098773C"/>
    <w:rsid w:val="00990252"/>
    <w:rsid w:val="00991EF0"/>
    <w:rsid w:val="00995BB7"/>
    <w:rsid w:val="00996E15"/>
    <w:rsid w:val="00997EDA"/>
    <w:rsid w:val="009A118F"/>
    <w:rsid w:val="009A1D86"/>
    <w:rsid w:val="009A24C0"/>
    <w:rsid w:val="009A3446"/>
    <w:rsid w:val="009A531F"/>
    <w:rsid w:val="009A5A36"/>
    <w:rsid w:val="009A6516"/>
    <w:rsid w:val="009B07DD"/>
    <w:rsid w:val="009B131A"/>
    <w:rsid w:val="009B20A3"/>
    <w:rsid w:val="009B3A80"/>
    <w:rsid w:val="009B4717"/>
    <w:rsid w:val="009B4A6A"/>
    <w:rsid w:val="009B5177"/>
    <w:rsid w:val="009B5482"/>
    <w:rsid w:val="009B56DE"/>
    <w:rsid w:val="009B5F08"/>
    <w:rsid w:val="009B6141"/>
    <w:rsid w:val="009B74C8"/>
    <w:rsid w:val="009B7B12"/>
    <w:rsid w:val="009B7D2C"/>
    <w:rsid w:val="009C0FF0"/>
    <w:rsid w:val="009C29C8"/>
    <w:rsid w:val="009C2F13"/>
    <w:rsid w:val="009C682E"/>
    <w:rsid w:val="009C7A6C"/>
    <w:rsid w:val="009D11C1"/>
    <w:rsid w:val="009D1368"/>
    <w:rsid w:val="009D2268"/>
    <w:rsid w:val="009D571E"/>
    <w:rsid w:val="009E00A3"/>
    <w:rsid w:val="009E01B7"/>
    <w:rsid w:val="009E031A"/>
    <w:rsid w:val="009E0D97"/>
    <w:rsid w:val="009E1473"/>
    <w:rsid w:val="009E2C2B"/>
    <w:rsid w:val="009E4BC7"/>
    <w:rsid w:val="009E4E92"/>
    <w:rsid w:val="009E549D"/>
    <w:rsid w:val="009E5DD7"/>
    <w:rsid w:val="009F06A2"/>
    <w:rsid w:val="009F0ACA"/>
    <w:rsid w:val="009F292A"/>
    <w:rsid w:val="009F4FB5"/>
    <w:rsid w:val="009F5C4D"/>
    <w:rsid w:val="009F71B2"/>
    <w:rsid w:val="00A024B5"/>
    <w:rsid w:val="00A039A2"/>
    <w:rsid w:val="00A04B17"/>
    <w:rsid w:val="00A05317"/>
    <w:rsid w:val="00A06F7B"/>
    <w:rsid w:val="00A1010F"/>
    <w:rsid w:val="00A1080F"/>
    <w:rsid w:val="00A10DEF"/>
    <w:rsid w:val="00A1152A"/>
    <w:rsid w:val="00A1221C"/>
    <w:rsid w:val="00A12D01"/>
    <w:rsid w:val="00A1722D"/>
    <w:rsid w:val="00A17B5F"/>
    <w:rsid w:val="00A17BF9"/>
    <w:rsid w:val="00A20030"/>
    <w:rsid w:val="00A20EF6"/>
    <w:rsid w:val="00A27704"/>
    <w:rsid w:val="00A31320"/>
    <w:rsid w:val="00A34A6F"/>
    <w:rsid w:val="00A35452"/>
    <w:rsid w:val="00A37FD2"/>
    <w:rsid w:val="00A41B95"/>
    <w:rsid w:val="00A4336D"/>
    <w:rsid w:val="00A44976"/>
    <w:rsid w:val="00A456A3"/>
    <w:rsid w:val="00A46203"/>
    <w:rsid w:val="00A4713E"/>
    <w:rsid w:val="00A500FB"/>
    <w:rsid w:val="00A51599"/>
    <w:rsid w:val="00A53044"/>
    <w:rsid w:val="00A53067"/>
    <w:rsid w:val="00A5395F"/>
    <w:rsid w:val="00A53FFC"/>
    <w:rsid w:val="00A541D2"/>
    <w:rsid w:val="00A54285"/>
    <w:rsid w:val="00A54362"/>
    <w:rsid w:val="00A5486E"/>
    <w:rsid w:val="00A55DA8"/>
    <w:rsid w:val="00A569BA"/>
    <w:rsid w:val="00A57A23"/>
    <w:rsid w:val="00A6175A"/>
    <w:rsid w:val="00A62314"/>
    <w:rsid w:val="00A62B64"/>
    <w:rsid w:val="00A63629"/>
    <w:rsid w:val="00A6483B"/>
    <w:rsid w:val="00A70763"/>
    <w:rsid w:val="00A71163"/>
    <w:rsid w:val="00A73DE0"/>
    <w:rsid w:val="00A74159"/>
    <w:rsid w:val="00A74F47"/>
    <w:rsid w:val="00A77630"/>
    <w:rsid w:val="00A81C21"/>
    <w:rsid w:val="00A838BF"/>
    <w:rsid w:val="00A84030"/>
    <w:rsid w:val="00A92438"/>
    <w:rsid w:val="00A92942"/>
    <w:rsid w:val="00A94889"/>
    <w:rsid w:val="00A971A9"/>
    <w:rsid w:val="00A9753E"/>
    <w:rsid w:val="00AA0317"/>
    <w:rsid w:val="00AA0683"/>
    <w:rsid w:val="00AA5089"/>
    <w:rsid w:val="00AA552A"/>
    <w:rsid w:val="00AA57DF"/>
    <w:rsid w:val="00AA5E0A"/>
    <w:rsid w:val="00AA6D7B"/>
    <w:rsid w:val="00AA7600"/>
    <w:rsid w:val="00AA7EA1"/>
    <w:rsid w:val="00AB121E"/>
    <w:rsid w:val="00AB2455"/>
    <w:rsid w:val="00AB2F32"/>
    <w:rsid w:val="00AB3AC7"/>
    <w:rsid w:val="00AB5491"/>
    <w:rsid w:val="00AB57D7"/>
    <w:rsid w:val="00AB77C4"/>
    <w:rsid w:val="00AB7C23"/>
    <w:rsid w:val="00AC02B2"/>
    <w:rsid w:val="00AC18C6"/>
    <w:rsid w:val="00AC2478"/>
    <w:rsid w:val="00AC3ABC"/>
    <w:rsid w:val="00AC3DD4"/>
    <w:rsid w:val="00AC6265"/>
    <w:rsid w:val="00AC6B7A"/>
    <w:rsid w:val="00AD0932"/>
    <w:rsid w:val="00AD2348"/>
    <w:rsid w:val="00AD403C"/>
    <w:rsid w:val="00AD4640"/>
    <w:rsid w:val="00AD6020"/>
    <w:rsid w:val="00AD60AF"/>
    <w:rsid w:val="00AE3BCF"/>
    <w:rsid w:val="00AE47B6"/>
    <w:rsid w:val="00AE4C4E"/>
    <w:rsid w:val="00AE5F5E"/>
    <w:rsid w:val="00AF0344"/>
    <w:rsid w:val="00AF31E8"/>
    <w:rsid w:val="00AF5B5C"/>
    <w:rsid w:val="00AF69B3"/>
    <w:rsid w:val="00AF6D5E"/>
    <w:rsid w:val="00AF7C87"/>
    <w:rsid w:val="00B006F4"/>
    <w:rsid w:val="00B00D68"/>
    <w:rsid w:val="00B00EF2"/>
    <w:rsid w:val="00B05F5A"/>
    <w:rsid w:val="00B07094"/>
    <w:rsid w:val="00B07211"/>
    <w:rsid w:val="00B10A35"/>
    <w:rsid w:val="00B14496"/>
    <w:rsid w:val="00B14818"/>
    <w:rsid w:val="00B16876"/>
    <w:rsid w:val="00B16997"/>
    <w:rsid w:val="00B20FCF"/>
    <w:rsid w:val="00B21BDB"/>
    <w:rsid w:val="00B2233B"/>
    <w:rsid w:val="00B2453A"/>
    <w:rsid w:val="00B24DEB"/>
    <w:rsid w:val="00B25516"/>
    <w:rsid w:val="00B25AFF"/>
    <w:rsid w:val="00B2638B"/>
    <w:rsid w:val="00B324D1"/>
    <w:rsid w:val="00B33FCE"/>
    <w:rsid w:val="00B34669"/>
    <w:rsid w:val="00B34826"/>
    <w:rsid w:val="00B35363"/>
    <w:rsid w:val="00B3770B"/>
    <w:rsid w:val="00B37EA9"/>
    <w:rsid w:val="00B40663"/>
    <w:rsid w:val="00B40BBA"/>
    <w:rsid w:val="00B4205E"/>
    <w:rsid w:val="00B4389B"/>
    <w:rsid w:val="00B4390C"/>
    <w:rsid w:val="00B44DAB"/>
    <w:rsid w:val="00B4543C"/>
    <w:rsid w:val="00B45E1C"/>
    <w:rsid w:val="00B46668"/>
    <w:rsid w:val="00B46E8F"/>
    <w:rsid w:val="00B46EE9"/>
    <w:rsid w:val="00B47170"/>
    <w:rsid w:val="00B50705"/>
    <w:rsid w:val="00B51D55"/>
    <w:rsid w:val="00B51EBA"/>
    <w:rsid w:val="00B52655"/>
    <w:rsid w:val="00B53570"/>
    <w:rsid w:val="00B54901"/>
    <w:rsid w:val="00B54B7C"/>
    <w:rsid w:val="00B565C0"/>
    <w:rsid w:val="00B56808"/>
    <w:rsid w:val="00B5752F"/>
    <w:rsid w:val="00B5797D"/>
    <w:rsid w:val="00B605A8"/>
    <w:rsid w:val="00B60780"/>
    <w:rsid w:val="00B60885"/>
    <w:rsid w:val="00B61E64"/>
    <w:rsid w:val="00B62FE9"/>
    <w:rsid w:val="00B63D67"/>
    <w:rsid w:val="00B64208"/>
    <w:rsid w:val="00B67918"/>
    <w:rsid w:val="00B708CF"/>
    <w:rsid w:val="00B70F23"/>
    <w:rsid w:val="00B73FF6"/>
    <w:rsid w:val="00B74079"/>
    <w:rsid w:val="00B74D96"/>
    <w:rsid w:val="00B76230"/>
    <w:rsid w:val="00B76369"/>
    <w:rsid w:val="00B77443"/>
    <w:rsid w:val="00B77893"/>
    <w:rsid w:val="00B77A50"/>
    <w:rsid w:val="00B77C2B"/>
    <w:rsid w:val="00B77EB8"/>
    <w:rsid w:val="00B807C5"/>
    <w:rsid w:val="00B80852"/>
    <w:rsid w:val="00B80FBA"/>
    <w:rsid w:val="00B8151B"/>
    <w:rsid w:val="00B816EE"/>
    <w:rsid w:val="00B8206C"/>
    <w:rsid w:val="00B87785"/>
    <w:rsid w:val="00B877A2"/>
    <w:rsid w:val="00B878B3"/>
    <w:rsid w:val="00B87AD9"/>
    <w:rsid w:val="00B92050"/>
    <w:rsid w:val="00B93F80"/>
    <w:rsid w:val="00B955BB"/>
    <w:rsid w:val="00B97106"/>
    <w:rsid w:val="00B972E1"/>
    <w:rsid w:val="00BA1038"/>
    <w:rsid w:val="00BA2385"/>
    <w:rsid w:val="00BA6170"/>
    <w:rsid w:val="00BB01E7"/>
    <w:rsid w:val="00BB10BD"/>
    <w:rsid w:val="00BB1766"/>
    <w:rsid w:val="00BB2A77"/>
    <w:rsid w:val="00BB6B00"/>
    <w:rsid w:val="00BB6D63"/>
    <w:rsid w:val="00BC0965"/>
    <w:rsid w:val="00BC2219"/>
    <w:rsid w:val="00BC3E4C"/>
    <w:rsid w:val="00BC5EF4"/>
    <w:rsid w:val="00BD1362"/>
    <w:rsid w:val="00BD19DB"/>
    <w:rsid w:val="00BD2833"/>
    <w:rsid w:val="00BD5EFA"/>
    <w:rsid w:val="00BD6979"/>
    <w:rsid w:val="00BE079E"/>
    <w:rsid w:val="00BE1721"/>
    <w:rsid w:val="00BE369C"/>
    <w:rsid w:val="00BE39E3"/>
    <w:rsid w:val="00BE7C09"/>
    <w:rsid w:val="00BF0A18"/>
    <w:rsid w:val="00BF0A5F"/>
    <w:rsid w:val="00BF0B83"/>
    <w:rsid w:val="00BF410C"/>
    <w:rsid w:val="00BF5319"/>
    <w:rsid w:val="00BF6A4E"/>
    <w:rsid w:val="00BF732A"/>
    <w:rsid w:val="00C00192"/>
    <w:rsid w:val="00C02155"/>
    <w:rsid w:val="00C02515"/>
    <w:rsid w:val="00C02A77"/>
    <w:rsid w:val="00C031D2"/>
    <w:rsid w:val="00C03D2F"/>
    <w:rsid w:val="00C04017"/>
    <w:rsid w:val="00C05C56"/>
    <w:rsid w:val="00C06E22"/>
    <w:rsid w:val="00C07524"/>
    <w:rsid w:val="00C0757C"/>
    <w:rsid w:val="00C137EE"/>
    <w:rsid w:val="00C140A2"/>
    <w:rsid w:val="00C23693"/>
    <w:rsid w:val="00C23C98"/>
    <w:rsid w:val="00C24406"/>
    <w:rsid w:val="00C2443F"/>
    <w:rsid w:val="00C24CB9"/>
    <w:rsid w:val="00C2551C"/>
    <w:rsid w:val="00C26C85"/>
    <w:rsid w:val="00C2784A"/>
    <w:rsid w:val="00C305B0"/>
    <w:rsid w:val="00C305E6"/>
    <w:rsid w:val="00C31D42"/>
    <w:rsid w:val="00C33BBF"/>
    <w:rsid w:val="00C36B90"/>
    <w:rsid w:val="00C36DBB"/>
    <w:rsid w:val="00C41175"/>
    <w:rsid w:val="00C4169D"/>
    <w:rsid w:val="00C4228D"/>
    <w:rsid w:val="00C42847"/>
    <w:rsid w:val="00C438BF"/>
    <w:rsid w:val="00C446A6"/>
    <w:rsid w:val="00C4507C"/>
    <w:rsid w:val="00C45236"/>
    <w:rsid w:val="00C45D40"/>
    <w:rsid w:val="00C46C63"/>
    <w:rsid w:val="00C47F6E"/>
    <w:rsid w:val="00C5240B"/>
    <w:rsid w:val="00C526A9"/>
    <w:rsid w:val="00C53AB0"/>
    <w:rsid w:val="00C53F43"/>
    <w:rsid w:val="00C54512"/>
    <w:rsid w:val="00C5557E"/>
    <w:rsid w:val="00C55C3F"/>
    <w:rsid w:val="00C55D44"/>
    <w:rsid w:val="00C628DF"/>
    <w:rsid w:val="00C63CF4"/>
    <w:rsid w:val="00C64BD6"/>
    <w:rsid w:val="00C65955"/>
    <w:rsid w:val="00C67BDB"/>
    <w:rsid w:val="00C709BA"/>
    <w:rsid w:val="00C72FAD"/>
    <w:rsid w:val="00C734BB"/>
    <w:rsid w:val="00C74F8C"/>
    <w:rsid w:val="00C75203"/>
    <w:rsid w:val="00C762CC"/>
    <w:rsid w:val="00C809C7"/>
    <w:rsid w:val="00C80CCC"/>
    <w:rsid w:val="00C81809"/>
    <w:rsid w:val="00C8429A"/>
    <w:rsid w:val="00C86296"/>
    <w:rsid w:val="00C91176"/>
    <w:rsid w:val="00C91EAB"/>
    <w:rsid w:val="00C91FAE"/>
    <w:rsid w:val="00C95A0B"/>
    <w:rsid w:val="00C95BCE"/>
    <w:rsid w:val="00C97B77"/>
    <w:rsid w:val="00CA01F7"/>
    <w:rsid w:val="00CA2528"/>
    <w:rsid w:val="00CA2C31"/>
    <w:rsid w:val="00CA4296"/>
    <w:rsid w:val="00CA4A70"/>
    <w:rsid w:val="00CA61BA"/>
    <w:rsid w:val="00CA66D6"/>
    <w:rsid w:val="00CA6F0A"/>
    <w:rsid w:val="00CA7D9A"/>
    <w:rsid w:val="00CB1523"/>
    <w:rsid w:val="00CB35EE"/>
    <w:rsid w:val="00CB38BD"/>
    <w:rsid w:val="00CB61D8"/>
    <w:rsid w:val="00CB6707"/>
    <w:rsid w:val="00CB6DDF"/>
    <w:rsid w:val="00CC1352"/>
    <w:rsid w:val="00CC2AEB"/>
    <w:rsid w:val="00CC4895"/>
    <w:rsid w:val="00CC4F2F"/>
    <w:rsid w:val="00CD00DE"/>
    <w:rsid w:val="00CD05C6"/>
    <w:rsid w:val="00CD0E9B"/>
    <w:rsid w:val="00CD1928"/>
    <w:rsid w:val="00CD28F2"/>
    <w:rsid w:val="00CD5923"/>
    <w:rsid w:val="00CD592C"/>
    <w:rsid w:val="00CD6806"/>
    <w:rsid w:val="00CD6C79"/>
    <w:rsid w:val="00CD73C5"/>
    <w:rsid w:val="00CE0458"/>
    <w:rsid w:val="00CE0AE8"/>
    <w:rsid w:val="00CE0B9A"/>
    <w:rsid w:val="00CE0DFF"/>
    <w:rsid w:val="00CE21A7"/>
    <w:rsid w:val="00CE2ED8"/>
    <w:rsid w:val="00CE2F97"/>
    <w:rsid w:val="00CE4097"/>
    <w:rsid w:val="00CE53BB"/>
    <w:rsid w:val="00CE7CF9"/>
    <w:rsid w:val="00CF0AC6"/>
    <w:rsid w:val="00CF2776"/>
    <w:rsid w:val="00CF3BE9"/>
    <w:rsid w:val="00CF3BF8"/>
    <w:rsid w:val="00CF4C6E"/>
    <w:rsid w:val="00CF523E"/>
    <w:rsid w:val="00CF7C74"/>
    <w:rsid w:val="00D029C7"/>
    <w:rsid w:val="00D02C34"/>
    <w:rsid w:val="00D03A7E"/>
    <w:rsid w:val="00D044F9"/>
    <w:rsid w:val="00D04C78"/>
    <w:rsid w:val="00D04F73"/>
    <w:rsid w:val="00D11727"/>
    <w:rsid w:val="00D151A8"/>
    <w:rsid w:val="00D1701C"/>
    <w:rsid w:val="00D17406"/>
    <w:rsid w:val="00D178B0"/>
    <w:rsid w:val="00D21D97"/>
    <w:rsid w:val="00D239F1"/>
    <w:rsid w:val="00D23F29"/>
    <w:rsid w:val="00D24019"/>
    <w:rsid w:val="00D242AC"/>
    <w:rsid w:val="00D26704"/>
    <w:rsid w:val="00D30603"/>
    <w:rsid w:val="00D31C01"/>
    <w:rsid w:val="00D33F72"/>
    <w:rsid w:val="00D34496"/>
    <w:rsid w:val="00D34789"/>
    <w:rsid w:val="00D34CEF"/>
    <w:rsid w:val="00D34E32"/>
    <w:rsid w:val="00D3688B"/>
    <w:rsid w:val="00D40794"/>
    <w:rsid w:val="00D41479"/>
    <w:rsid w:val="00D42804"/>
    <w:rsid w:val="00D438ED"/>
    <w:rsid w:val="00D44F94"/>
    <w:rsid w:val="00D46CD0"/>
    <w:rsid w:val="00D4746A"/>
    <w:rsid w:val="00D50C70"/>
    <w:rsid w:val="00D51C0D"/>
    <w:rsid w:val="00D51F66"/>
    <w:rsid w:val="00D523A3"/>
    <w:rsid w:val="00D528F9"/>
    <w:rsid w:val="00D52F2F"/>
    <w:rsid w:val="00D53254"/>
    <w:rsid w:val="00D53ABE"/>
    <w:rsid w:val="00D5472A"/>
    <w:rsid w:val="00D54E12"/>
    <w:rsid w:val="00D55DBB"/>
    <w:rsid w:val="00D600D9"/>
    <w:rsid w:val="00D603A5"/>
    <w:rsid w:val="00D60E4B"/>
    <w:rsid w:val="00D61169"/>
    <w:rsid w:val="00D61619"/>
    <w:rsid w:val="00D64F4D"/>
    <w:rsid w:val="00D652EE"/>
    <w:rsid w:val="00D659BC"/>
    <w:rsid w:val="00D65C13"/>
    <w:rsid w:val="00D67A83"/>
    <w:rsid w:val="00D67F42"/>
    <w:rsid w:val="00D70A86"/>
    <w:rsid w:val="00D70F0E"/>
    <w:rsid w:val="00D70F48"/>
    <w:rsid w:val="00D71CCD"/>
    <w:rsid w:val="00D73090"/>
    <w:rsid w:val="00D766E1"/>
    <w:rsid w:val="00D77A6B"/>
    <w:rsid w:val="00D8029F"/>
    <w:rsid w:val="00D807A2"/>
    <w:rsid w:val="00D8214E"/>
    <w:rsid w:val="00D82318"/>
    <w:rsid w:val="00D838E5"/>
    <w:rsid w:val="00D8393D"/>
    <w:rsid w:val="00D847C1"/>
    <w:rsid w:val="00D8528E"/>
    <w:rsid w:val="00D858A3"/>
    <w:rsid w:val="00D8640A"/>
    <w:rsid w:val="00D86BEB"/>
    <w:rsid w:val="00D87A24"/>
    <w:rsid w:val="00D913F9"/>
    <w:rsid w:val="00D923A1"/>
    <w:rsid w:val="00D92B88"/>
    <w:rsid w:val="00D92F04"/>
    <w:rsid w:val="00D9368E"/>
    <w:rsid w:val="00D9405D"/>
    <w:rsid w:val="00D960BA"/>
    <w:rsid w:val="00D976C8"/>
    <w:rsid w:val="00D97EC8"/>
    <w:rsid w:val="00DA009C"/>
    <w:rsid w:val="00DA060B"/>
    <w:rsid w:val="00DA4EAB"/>
    <w:rsid w:val="00DA6309"/>
    <w:rsid w:val="00DA7FF0"/>
    <w:rsid w:val="00DB05B3"/>
    <w:rsid w:val="00DB0FAF"/>
    <w:rsid w:val="00DB1293"/>
    <w:rsid w:val="00DB136E"/>
    <w:rsid w:val="00DB1377"/>
    <w:rsid w:val="00DB37A2"/>
    <w:rsid w:val="00DB3817"/>
    <w:rsid w:val="00DB38AD"/>
    <w:rsid w:val="00DB3E9F"/>
    <w:rsid w:val="00DB409F"/>
    <w:rsid w:val="00DB4E24"/>
    <w:rsid w:val="00DB5CEC"/>
    <w:rsid w:val="00DB60BC"/>
    <w:rsid w:val="00DB642D"/>
    <w:rsid w:val="00DB6C9D"/>
    <w:rsid w:val="00DC26DA"/>
    <w:rsid w:val="00DC3F51"/>
    <w:rsid w:val="00DC4892"/>
    <w:rsid w:val="00DD19EF"/>
    <w:rsid w:val="00DD39BD"/>
    <w:rsid w:val="00DE24EA"/>
    <w:rsid w:val="00DE2FFC"/>
    <w:rsid w:val="00DE3CCF"/>
    <w:rsid w:val="00DE56DF"/>
    <w:rsid w:val="00DE6893"/>
    <w:rsid w:val="00DF0D47"/>
    <w:rsid w:val="00DF20AE"/>
    <w:rsid w:val="00DF555E"/>
    <w:rsid w:val="00DF7A9C"/>
    <w:rsid w:val="00E00454"/>
    <w:rsid w:val="00E01308"/>
    <w:rsid w:val="00E01DC5"/>
    <w:rsid w:val="00E02F99"/>
    <w:rsid w:val="00E0499D"/>
    <w:rsid w:val="00E0725E"/>
    <w:rsid w:val="00E104AB"/>
    <w:rsid w:val="00E10778"/>
    <w:rsid w:val="00E11DB3"/>
    <w:rsid w:val="00E12C40"/>
    <w:rsid w:val="00E12DD0"/>
    <w:rsid w:val="00E206E8"/>
    <w:rsid w:val="00E217D3"/>
    <w:rsid w:val="00E218E5"/>
    <w:rsid w:val="00E229CE"/>
    <w:rsid w:val="00E22D3F"/>
    <w:rsid w:val="00E23C5B"/>
    <w:rsid w:val="00E23D28"/>
    <w:rsid w:val="00E24E77"/>
    <w:rsid w:val="00E27563"/>
    <w:rsid w:val="00E27B49"/>
    <w:rsid w:val="00E3427C"/>
    <w:rsid w:val="00E353D0"/>
    <w:rsid w:val="00E35854"/>
    <w:rsid w:val="00E36275"/>
    <w:rsid w:val="00E404EC"/>
    <w:rsid w:val="00E46B25"/>
    <w:rsid w:val="00E46BC2"/>
    <w:rsid w:val="00E51C3C"/>
    <w:rsid w:val="00E528DE"/>
    <w:rsid w:val="00E52B3F"/>
    <w:rsid w:val="00E536D0"/>
    <w:rsid w:val="00E53C9D"/>
    <w:rsid w:val="00E54CA3"/>
    <w:rsid w:val="00E5758F"/>
    <w:rsid w:val="00E57D12"/>
    <w:rsid w:val="00E60A66"/>
    <w:rsid w:val="00E6126E"/>
    <w:rsid w:val="00E62800"/>
    <w:rsid w:val="00E63E52"/>
    <w:rsid w:val="00E65001"/>
    <w:rsid w:val="00E655BA"/>
    <w:rsid w:val="00E655F6"/>
    <w:rsid w:val="00E658ED"/>
    <w:rsid w:val="00E65DC0"/>
    <w:rsid w:val="00E65DCA"/>
    <w:rsid w:val="00E70BD0"/>
    <w:rsid w:val="00E74C71"/>
    <w:rsid w:val="00E758FE"/>
    <w:rsid w:val="00E76D28"/>
    <w:rsid w:val="00E80542"/>
    <w:rsid w:val="00E82063"/>
    <w:rsid w:val="00E85BAB"/>
    <w:rsid w:val="00E86134"/>
    <w:rsid w:val="00E86822"/>
    <w:rsid w:val="00E86DAA"/>
    <w:rsid w:val="00E872B3"/>
    <w:rsid w:val="00E879E1"/>
    <w:rsid w:val="00E90842"/>
    <w:rsid w:val="00E90CE9"/>
    <w:rsid w:val="00E923F7"/>
    <w:rsid w:val="00E92C5E"/>
    <w:rsid w:val="00E93225"/>
    <w:rsid w:val="00E941FB"/>
    <w:rsid w:val="00E94E3C"/>
    <w:rsid w:val="00E95A92"/>
    <w:rsid w:val="00E96DF8"/>
    <w:rsid w:val="00E971E3"/>
    <w:rsid w:val="00EA0C2F"/>
    <w:rsid w:val="00EA0D71"/>
    <w:rsid w:val="00EA2E31"/>
    <w:rsid w:val="00EA33F4"/>
    <w:rsid w:val="00EA475C"/>
    <w:rsid w:val="00EA6FBC"/>
    <w:rsid w:val="00EA717C"/>
    <w:rsid w:val="00EA793C"/>
    <w:rsid w:val="00EA7ADA"/>
    <w:rsid w:val="00EB076B"/>
    <w:rsid w:val="00EB0945"/>
    <w:rsid w:val="00EB1640"/>
    <w:rsid w:val="00EB26F8"/>
    <w:rsid w:val="00EB2A67"/>
    <w:rsid w:val="00EB2C26"/>
    <w:rsid w:val="00EB3CD4"/>
    <w:rsid w:val="00EB6DE8"/>
    <w:rsid w:val="00EC0C2D"/>
    <w:rsid w:val="00EC1880"/>
    <w:rsid w:val="00EC3344"/>
    <w:rsid w:val="00EC3741"/>
    <w:rsid w:val="00EC7A07"/>
    <w:rsid w:val="00ED06F6"/>
    <w:rsid w:val="00ED25DB"/>
    <w:rsid w:val="00ED2858"/>
    <w:rsid w:val="00ED391A"/>
    <w:rsid w:val="00ED6CDD"/>
    <w:rsid w:val="00ED7C9A"/>
    <w:rsid w:val="00EE142B"/>
    <w:rsid w:val="00EE4B14"/>
    <w:rsid w:val="00EE5CE9"/>
    <w:rsid w:val="00EE5D01"/>
    <w:rsid w:val="00EF0124"/>
    <w:rsid w:val="00EF2C91"/>
    <w:rsid w:val="00EF31C0"/>
    <w:rsid w:val="00EF5832"/>
    <w:rsid w:val="00EF5D67"/>
    <w:rsid w:val="00EF7272"/>
    <w:rsid w:val="00EF776A"/>
    <w:rsid w:val="00EF7E4F"/>
    <w:rsid w:val="00F00747"/>
    <w:rsid w:val="00F0200D"/>
    <w:rsid w:val="00F0509D"/>
    <w:rsid w:val="00F068E7"/>
    <w:rsid w:val="00F06FF6"/>
    <w:rsid w:val="00F07CDD"/>
    <w:rsid w:val="00F10F46"/>
    <w:rsid w:val="00F12715"/>
    <w:rsid w:val="00F12D93"/>
    <w:rsid w:val="00F130BE"/>
    <w:rsid w:val="00F155AD"/>
    <w:rsid w:val="00F16C77"/>
    <w:rsid w:val="00F17AC8"/>
    <w:rsid w:val="00F20660"/>
    <w:rsid w:val="00F20D86"/>
    <w:rsid w:val="00F2215B"/>
    <w:rsid w:val="00F23B59"/>
    <w:rsid w:val="00F23D3C"/>
    <w:rsid w:val="00F2488F"/>
    <w:rsid w:val="00F25D3D"/>
    <w:rsid w:val="00F26587"/>
    <w:rsid w:val="00F2689F"/>
    <w:rsid w:val="00F268F4"/>
    <w:rsid w:val="00F27090"/>
    <w:rsid w:val="00F27129"/>
    <w:rsid w:val="00F2793E"/>
    <w:rsid w:val="00F325BB"/>
    <w:rsid w:val="00F3608A"/>
    <w:rsid w:val="00F3778D"/>
    <w:rsid w:val="00F43AFF"/>
    <w:rsid w:val="00F45E3E"/>
    <w:rsid w:val="00F47457"/>
    <w:rsid w:val="00F507DC"/>
    <w:rsid w:val="00F52239"/>
    <w:rsid w:val="00F54197"/>
    <w:rsid w:val="00F549CD"/>
    <w:rsid w:val="00F55D4D"/>
    <w:rsid w:val="00F571B0"/>
    <w:rsid w:val="00F57F7F"/>
    <w:rsid w:val="00F6055D"/>
    <w:rsid w:val="00F619D3"/>
    <w:rsid w:val="00F61AB3"/>
    <w:rsid w:val="00F62A9E"/>
    <w:rsid w:val="00F6433D"/>
    <w:rsid w:val="00F64522"/>
    <w:rsid w:val="00F65CE3"/>
    <w:rsid w:val="00F66EB0"/>
    <w:rsid w:val="00F71270"/>
    <w:rsid w:val="00F720CD"/>
    <w:rsid w:val="00F76C6A"/>
    <w:rsid w:val="00F77158"/>
    <w:rsid w:val="00F77707"/>
    <w:rsid w:val="00F80BD1"/>
    <w:rsid w:val="00F81563"/>
    <w:rsid w:val="00F8191C"/>
    <w:rsid w:val="00F82791"/>
    <w:rsid w:val="00F8365E"/>
    <w:rsid w:val="00F843AC"/>
    <w:rsid w:val="00F845BB"/>
    <w:rsid w:val="00F8499B"/>
    <w:rsid w:val="00F8535C"/>
    <w:rsid w:val="00F85E6F"/>
    <w:rsid w:val="00F874F5"/>
    <w:rsid w:val="00F91EE6"/>
    <w:rsid w:val="00F93155"/>
    <w:rsid w:val="00F934F3"/>
    <w:rsid w:val="00F93C36"/>
    <w:rsid w:val="00F94534"/>
    <w:rsid w:val="00F95C69"/>
    <w:rsid w:val="00FA0AF2"/>
    <w:rsid w:val="00FA18D1"/>
    <w:rsid w:val="00FA2261"/>
    <w:rsid w:val="00FA240B"/>
    <w:rsid w:val="00FA4302"/>
    <w:rsid w:val="00FA47FB"/>
    <w:rsid w:val="00FA572A"/>
    <w:rsid w:val="00FA586F"/>
    <w:rsid w:val="00FA5DC4"/>
    <w:rsid w:val="00FB0DB8"/>
    <w:rsid w:val="00FB2BA6"/>
    <w:rsid w:val="00FB3033"/>
    <w:rsid w:val="00FB353E"/>
    <w:rsid w:val="00FB36C1"/>
    <w:rsid w:val="00FB4019"/>
    <w:rsid w:val="00FB469D"/>
    <w:rsid w:val="00FC1816"/>
    <w:rsid w:val="00FC3059"/>
    <w:rsid w:val="00FC310F"/>
    <w:rsid w:val="00FC41AF"/>
    <w:rsid w:val="00FC4217"/>
    <w:rsid w:val="00FC4C23"/>
    <w:rsid w:val="00FC5A22"/>
    <w:rsid w:val="00FC6310"/>
    <w:rsid w:val="00FC64BE"/>
    <w:rsid w:val="00FD1409"/>
    <w:rsid w:val="00FD2965"/>
    <w:rsid w:val="00FD2B82"/>
    <w:rsid w:val="00FD2FB8"/>
    <w:rsid w:val="00FD3F82"/>
    <w:rsid w:val="00FD50D4"/>
    <w:rsid w:val="00FD670F"/>
    <w:rsid w:val="00FE0891"/>
    <w:rsid w:val="00FE10D3"/>
    <w:rsid w:val="00FE740E"/>
    <w:rsid w:val="00FF2F8D"/>
    <w:rsid w:val="00FF3443"/>
    <w:rsid w:val="00FF6FC2"/>
    <w:rsid w:val="00FF7079"/>
    <w:rsid w:val="00FF7576"/>
    <w:rsid w:val="00FF7DBD"/>
    <w:rsid w:val="00FF7FBC"/>
    <w:rsid w:val="01052FDF"/>
    <w:rsid w:val="018126EE"/>
    <w:rsid w:val="01BA4909"/>
    <w:rsid w:val="02064B6F"/>
    <w:rsid w:val="02194251"/>
    <w:rsid w:val="030829EF"/>
    <w:rsid w:val="03801D64"/>
    <w:rsid w:val="05734AB8"/>
    <w:rsid w:val="05A706B1"/>
    <w:rsid w:val="05D844CC"/>
    <w:rsid w:val="05E16106"/>
    <w:rsid w:val="06AE24AB"/>
    <w:rsid w:val="07F945EB"/>
    <w:rsid w:val="0826342B"/>
    <w:rsid w:val="0A4F3AA2"/>
    <w:rsid w:val="0AD066E3"/>
    <w:rsid w:val="0BE71F37"/>
    <w:rsid w:val="0EF00B2E"/>
    <w:rsid w:val="0FD74DED"/>
    <w:rsid w:val="10B81C6D"/>
    <w:rsid w:val="11472E91"/>
    <w:rsid w:val="1205005C"/>
    <w:rsid w:val="12141198"/>
    <w:rsid w:val="126D2C29"/>
    <w:rsid w:val="12A21ED5"/>
    <w:rsid w:val="12BC4946"/>
    <w:rsid w:val="14DC6D10"/>
    <w:rsid w:val="154056C2"/>
    <w:rsid w:val="158F74A4"/>
    <w:rsid w:val="167810C3"/>
    <w:rsid w:val="16885261"/>
    <w:rsid w:val="16DE6045"/>
    <w:rsid w:val="171A49EB"/>
    <w:rsid w:val="18C23D3A"/>
    <w:rsid w:val="18EE5BE4"/>
    <w:rsid w:val="1A250652"/>
    <w:rsid w:val="1AC815D1"/>
    <w:rsid w:val="1B224BDF"/>
    <w:rsid w:val="1C5344DC"/>
    <w:rsid w:val="1DCC626B"/>
    <w:rsid w:val="1E6B2527"/>
    <w:rsid w:val="1EA700D7"/>
    <w:rsid w:val="1F713604"/>
    <w:rsid w:val="219A6E1E"/>
    <w:rsid w:val="222D0D66"/>
    <w:rsid w:val="24646839"/>
    <w:rsid w:val="25174B59"/>
    <w:rsid w:val="256B7C7B"/>
    <w:rsid w:val="25826CF0"/>
    <w:rsid w:val="25B032A3"/>
    <w:rsid w:val="264D067E"/>
    <w:rsid w:val="27F56715"/>
    <w:rsid w:val="27F9430F"/>
    <w:rsid w:val="29565BD3"/>
    <w:rsid w:val="2AA36739"/>
    <w:rsid w:val="2D0A083A"/>
    <w:rsid w:val="2D28478B"/>
    <w:rsid w:val="2EB35574"/>
    <w:rsid w:val="305502D9"/>
    <w:rsid w:val="313F077A"/>
    <w:rsid w:val="319E1F99"/>
    <w:rsid w:val="322D0DDC"/>
    <w:rsid w:val="347B4A7C"/>
    <w:rsid w:val="35100D69"/>
    <w:rsid w:val="356C772C"/>
    <w:rsid w:val="36407E1F"/>
    <w:rsid w:val="36C3270A"/>
    <w:rsid w:val="36F12EE3"/>
    <w:rsid w:val="388C0E52"/>
    <w:rsid w:val="38D112B9"/>
    <w:rsid w:val="3A5E5E40"/>
    <w:rsid w:val="3B10559B"/>
    <w:rsid w:val="3B64508E"/>
    <w:rsid w:val="3CB10AE3"/>
    <w:rsid w:val="3DC01751"/>
    <w:rsid w:val="3DF73E98"/>
    <w:rsid w:val="3EA92A22"/>
    <w:rsid w:val="401144E6"/>
    <w:rsid w:val="410B7187"/>
    <w:rsid w:val="41CE12F2"/>
    <w:rsid w:val="42DA2312"/>
    <w:rsid w:val="462C1A14"/>
    <w:rsid w:val="462D7F15"/>
    <w:rsid w:val="468432B8"/>
    <w:rsid w:val="471A50C1"/>
    <w:rsid w:val="475278BE"/>
    <w:rsid w:val="49292C2A"/>
    <w:rsid w:val="49646C85"/>
    <w:rsid w:val="4C4E7595"/>
    <w:rsid w:val="4D194FFA"/>
    <w:rsid w:val="4ED25BBE"/>
    <w:rsid w:val="4F7555F8"/>
    <w:rsid w:val="50A56809"/>
    <w:rsid w:val="5276409A"/>
    <w:rsid w:val="55660438"/>
    <w:rsid w:val="558D714D"/>
    <w:rsid w:val="55EB6469"/>
    <w:rsid w:val="57796DC8"/>
    <w:rsid w:val="57AB2CF1"/>
    <w:rsid w:val="58795B4B"/>
    <w:rsid w:val="58DF79E4"/>
    <w:rsid w:val="597857E3"/>
    <w:rsid w:val="5A694853"/>
    <w:rsid w:val="5C2051BF"/>
    <w:rsid w:val="5D3E57E7"/>
    <w:rsid w:val="5DA327CA"/>
    <w:rsid w:val="5E3F59FA"/>
    <w:rsid w:val="5FB67882"/>
    <w:rsid w:val="5FCD8467"/>
    <w:rsid w:val="631567AD"/>
    <w:rsid w:val="632058D7"/>
    <w:rsid w:val="63865713"/>
    <w:rsid w:val="64446389"/>
    <w:rsid w:val="64EE7D57"/>
    <w:rsid w:val="662207AB"/>
    <w:rsid w:val="663C4E7B"/>
    <w:rsid w:val="66485A55"/>
    <w:rsid w:val="6817003C"/>
    <w:rsid w:val="68D503DF"/>
    <w:rsid w:val="690D52EE"/>
    <w:rsid w:val="696353F4"/>
    <w:rsid w:val="6A021CE1"/>
    <w:rsid w:val="6A3A6264"/>
    <w:rsid w:val="6AF24D91"/>
    <w:rsid w:val="6BD439E3"/>
    <w:rsid w:val="6DE567DC"/>
    <w:rsid w:val="6E104A8E"/>
    <w:rsid w:val="6F681C60"/>
    <w:rsid w:val="6F72683F"/>
    <w:rsid w:val="6F9D714A"/>
    <w:rsid w:val="6FA128E1"/>
    <w:rsid w:val="704C65F7"/>
    <w:rsid w:val="709D79B5"/>
    <w:rsid w:val="713638A1"/>
    <w:rsid w:val="71804EA4"/>
    <w:rsid w:val="73946D78"/>
    <w:rsid w:val="74677D1F"/>
    <w:rsid w:val="74703D48"/>
    <w:rsid w:val="74AB7E4E"/>
    <w:rsid w:val="74B531D5"/>
    <w:rsid w:val="750B57DA"/>
    <w:rsid w:val="75BF204E"/>
    <w:rsid w:val="76097619"/>
    <w:rsid w:val="76CC1646"/>
    <w:rsid w:val="77025FF5"/>
    <w:rsid w:val="771E3304"/>
    <w:rsid w:val="774D7857"/>
    <w:rsid w:val="776B6385"/>
    <w:rsid w:val="77C84250"/>
    <w:rsid w:val="77D2617E"/>
    <w:rsid w:val="78881F77"/>
    <w:rsid w:val="79886C8A"/>
    <w:rsid w:val="79A254E7"/>
    <w:rsid w:val="7A63403A"/>
    <w:rsid w:val="7AA52AAD"/>
    <w:rsid w:val="7B153A9C"/>
    <w:rsid w:val="7B3B25D2"/>
    <w:rsid w:val="7C777C35"/>
    <w:rsid w:val="7CB33409"/>
    <w:rsid w:val="7D24722A"/>
    <w:rsid w:val="7EAB5EE6"/>
    <w:rsid w:val="7F144E7E"/>
    <w:rsid w:val="7FD6606D"/>
    <w:rsid w:val="81FF5813"/>
    <w:rsid w:val="FCE55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ind w:firstLine="151" w:firstLineChars="151"/>
      <w:outlineLvl w:val="0"/>
    </w:pPr>
    <w:rPr>
      <w:b/>
      <w:bCs/>
      <w:kern w:val="44"/>
      <w:sz w:val="28"/>
      <w:szCs w:val="44"/>
    </w:rPr>
  </w:style>
  <w:style w:type="paragraph" w:styleId="3">
    <w:name w:val="heading 2"/>
    <w:basedOn w:val="1"/>
    <w:next w:val="1"/>
    <w:link w:val="24"/>
    <w:unhideWhenUsed/>
    <w:qFormat/>
    <w:uiPriority w:val="9"/>
    <w:pPr>
      <w:keepNext/>
      <w:keepLines/>
      <w:ind w:firstLine="282" w:firstLineChars="134"/>
      <w:outlineLvl w:val="1"/>
    </w:pPr>
    <w:rPr>
      <w:rFonts w:cstheme="majorBidi"/>
      <w:b/>
      <w:bCs/>
      <w:szCs w:val="21"/>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qFormat/>
    <w:uiPriority w:val="99"/>
    <w:pPr>
      <w:jc w:val="left"/>
    </w:pPr>
    <w:rPr>
      <w:rFonts w:ascii="Times New Roman" w:hAnsi="Times New Roman" w:eastAsia="宋体" w:cs="Times New Roman"/>
      <w:szCs w:val="24"/>
    </w:rPr>
  </w:style>
  <w:style w:type="paragraph" w:styleId="5">
    <w:name w:val="Balloon Text"/>
    <w:basedOn w:val="1"/>
    <w:link w:val="31"/>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26"/>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9">
    <w:name w:val="footnote text"/>
    <w:basedOn w:val="1"/>
    <w:link w:val="39"/>
    <w:semiHidden/>
    <w:unhideWhenUsed/>
    <w:qFormat/>
    <w:uiPriority w:val="99"/>
    <w:pPr>
      <w:snapToGrid w:val="0"/>
      <w:jc w:val="left"/>
    </w:pPr>
    <w:rPr>
      <w:sz w:val="18"/>
      <w:szCs w:val="18"/>
    </w:r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1">
    <w:name w:val="Title"/>
    <w:basedOn w:val="1"/>
    <w:next w:val="1"/>
    <w:link w:val="27"/>
    <w:qFormat/>
    <w:uiPriority w:val="10"/>
    <w:pPr>
      <w:spacing w:before="240" w:after="60"/>
      <w:jc w:val="center"/>
      <w:outlineLvl w:val="0"/>
    </w:pPr>
    <w:rPr>
      <w:rFonts w:eastAsia="宋体" w:asciiTheme="majorHAnsi" w:hAnsiTheme="majorHAnsi" w:cstheme="majorBidi"/>
      <w:b/>
      <w:bCs/>
      <w:sz w:val="32"/>
      <w:szCs w:val="32"/>
    </w:rPr>
  </w:style>
  <w:style w:type="paragraph" w:styleId="12">
    <w:name w:val="annotation subject"/>
    <w:basedOn w:val="4"/>
    <w:next w:val="4"/>
    <w:link w:val="32"/>
    <w:unhideWhenUsed/>
    <w:qFormat/>
    <w:uiPriority w:val="99"/>
    <w:rPr>
      <w:rFonts w:asciiTheme="minorHAnsi" w:hAnsiTheme="minorHAnsi" w:eastAsiaTheme="minorEastAsia" w:cstheme="minorBidi"/>
      <w:b/>
      <w:bCs/>
      <w:szCs w:val="22"/>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qFormat/>
    <w:uiPriority w:val="99"/>
    <w:rPr>
      <w:color w:val="0000FF"/>
      <w:u w:val="single"/>
    </w:rPr>
  </w:style>
  <w:style w:type="character" w:styleId="17">
    <w:name w:val="annotation reference"/>
    <w:semiHidden/>
    <w:qFormat/>
    <w:uiPriority w:val="0"/>
    <w:rPr>
      <w:sz w:val="21"/>
      <w:szCs w:val="21"/>
    </w:rPr>
  </w:style>
  <w:style w:type="character" w:styleId="18">
    <w:name w:val="footnote reference"/>
    <w:basedOn w:val="15"/>
    <w:semiHidden/>
    <w:unhideWhenUsed/>
    <w:qFormat/>
    <w:uiPriority w:val="99"/>
    <w:rPr>
      <w:vertAlign w:val="superscript"/>
    </w:rPr>
  </w:style>
  <w:style w:type="character" w:customStyle="1" w:styleId="19">
    <w:name w:val="页眉 字符"/>
    <w:basedOn w:val="15"/>
    <w:link w:val="7"/>
    <w:qFormat/>
    <w:uiPriority w:val="99"/>
    <w:rPr>
      <w:sz w:val="18"/>
      <w:szCs w:val="18"/>
    </w:rPr>
  </w:style>
  <w:style w:type="character" w:customStyle="1" w:styleId="20">
    <w:name w:val="页脚 字符"/>
    <w:basedOn w:val="15"/>
    <w:link w:val="6"/>
    <w:qFormat/>
    <w:uiPriority w:val="99"/>
    <w:rPr>
      <w:sz w:val="18"/>
      <w:szCs w:val="18"/>
    </w:rPr>
  </w:style>
  <w:style w:type="paragraph" w:customStyle="1" w:styleId="21">
    <w:name w:val="列出段落1"/>
    <w:basedOn w:val="1"/>
    <w:qFormat/>
    <w:uiPriority w:val="34"/>
    <w:pPr>
      <w:ind w:firstLine="420" w:firstLineChars="200"/>
    </w:pPr>
  </w:style>
  <w:style w:type="paragraph" w:customStyle="1" w:styleId="2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23">
    <w:name w:val="标题 1 字符"/>
    <w:basedOn w:val="15"/>
    <w:link w:val="2"/>
    <w:qFormat/>
    <w:uiPriority w:val="9"/>
    <w:rPr>
      <w:b/>
      <w:bCs/>
      <w:kern w:val="44"/>
      <w:sz w:val="28"/>
      <w:szCs w:val="44"/>
    </w:rPr>
  </w:style>
  <w:style w:type="character" w:customStyle="1" w:styleId="24">
    <w:name w:val="标题 2 字符"/>
    <w:basedOn w:val="15"/>
    <w:link w:val="3"/>
    <w:qFormat/>
    <w:uiPriority w:val="9"/>
    <w:rPr>
      <w:rFonts w:cstheme="majorBidi"/>
      <w:b/>
      <w:bCs/>
      <w:kern w:val="2"/>
      <w:sz w:val="21"/>
      <w:szCs w:val="21"/>
    </w:rPr>
  </w:style>
  <w:style w:type="character" w:customStyle="1" w:styleId="25">
    <w:name w:val="批注文字 字符"/>
    <w:basedOn w:val="15"/>
    <w:link w:val="4"/>
    <w:qFormat/>
    <w:uiPriority w:val="99"/>
    <w:rPr>
      <w:rFonts w:ascii="Times New Roman" w:hAnsi="Times New Roman" w:eastAsia="宋体" w:cs="Times New Roman"/>
      <w:szCs w:val="24"/>
    </w:rPr>
  </w:style>
  <w:style w:type="character" w:customStyle="1" w:styleId="26">
    <w:name w:val="副标题 字符"/>
    <w:basedOn w:val="15"/>
    <w:link w:val="8"/>
    <w:qFormat/>
    <w:uiPriority w:val="11"/>
    <w:rPr>
      <w:rFonts w:eastAsia="宋体" w:asciiTheme="majorHAnsi" w:hAnsiTheme="majorHAnsi" w:cstheme="majorBidi"/>
      <w:b/>
      <w:bCs/>
      <w:kern w:val="28"/>
      <w:sz w:val="32"/>
      <w:szCs w:val="32"/>
    </w:rPr>
  </w:style>
  <w:style w:type="character" w:customStyle="1" w:styleId="27">
    <w:name w:val="标题 字符"/>
    <w:basedOn w:val="15"/>
    <w:link w:val="11"/>
    <w:qFormat/>
    <w:uiPriority w:val="10"/>
    <w:rPr>
      <w:rFonts w:eastAsia="宋体" w:asciiTheme="majorHAnsi" w:hAnsiTheme="majorHAnsi" w:cstheme="majorBidi"/>
      <w:b/>
      <w:bCs/>
      <w:kern w:val="2"/>
      <w:sz w:val="32"/>
      <w:szCs w:val="32"/>
    </w:rPr>
  </w:style>
  <w:style w:type="paragraph" w:customStyle="1" w:styleId="28">
    <w:name w:val="列出段落111"/>
    <w:basedOn w:val="1"/>
    <w:link w:val="29"/>
    <w:qFormat/>
    <w:uiPriority w:val="34"/>
    <w:pPr>
      <w:widowControl/>
      <w:jc w:val="left"/>
    </w:pPr>
    <w:rPr>
      <w:rFonts w:ascii="Times New Roman" w:hAnsi="Times New Roman"/>
    </w:rPr>
  </w:style>
  <w:style w:type="character" w:customStyle="1" w:styleId="29">
    <w:name w:val="列出段落 Char"/>
    <w:basedOn w:val="15"/>
    <w:link w:val="28"/>
    <w:qFormat/>
    <w:uiPriority w:val="34"/>
    <w:rPr>
      <w:rFonts w:ascii="Times New Roman" w:hAnsi="Times New Roman"/>
      <w:kern w:val="2"/>
      <w:sz w:val="21"/>
      <w:szCs w:val="22"/>
    </w:rPr>
  </w:style>
  <w:style w:type="paragraph" w:customStyle="1" w:styleId="30">
    <w:name w:val="列出段落2"/>
    <w:basedOn w:val="1"/>
    <w:qFormat/>
    <w:uiPriority w:val="99"/>
    <w:pPr>
      <w:ind w:firstLine="420" w:firstLineChars="200"/>
    </w:pPr>
  </w:style>
  <w:style w:type="character" w:customStyle="1" w:styleId="31">
    <w:name w:val="批注框文本 字符"/>
    <w:basedOn w:val="15"/>
    <w:link w:val="5"/>
    <w:semiHidden/>
    <w:qFormat/>
    <w:uiPriority w:val="99"/>
    <w:rPr>
      <w:sz w:val="18"/>
      <w:szCs w:val="18"/>
    </w:rPr>
  </w:style>
  <w:style w:type="character" w:customStyle="1" w:styleId="32">
    <w:name w:val="批注主题 字符"/>
    <w:basedOn w:val="25"/>
    <w:link w:val="12"/>
    <w:qFormat/>
    <w:uiPriority w:val="99"/>
    <w:rPr>
      <w:rFonts w:ascii="Times New Roman" w:hAnsi="Times New Roman" w:eastAsia="宋体" w:cs="Times New Roman"/>
      <w:b/>
      <w:bCs/>
      <w:kern w:val="2"/>
      <w:sz w:val="21"/>
      <w:szCs w:val="22"/>
    </w:rPr>
  </w:style>
  <w:style w:type="character" w:customStyle="1" w:styleId="33">
    <w:name w:val="fontstyle01"/>
    <w:basedOn w:val="15"/>
    <w:qFormat/>
    <w:uiPriority w:val="0"/>
    <w:rPr>
      <w:rFonts w:hint="eastAsia" w:ascii="楷体" w:hAnsi="楷体" w:eastAsia="楷体"/>
      <w:color w:val="000000"/>
      <w:sz w:val="22"/>
      <w:szCs w:val="22"/>
    </w:rPr>
  </w:style>
  <w:style w:type="paragraph" w:customStyle="1" w:styleId="34">
    <w:name w:val="列出段落11"/>
    <w:basedOn w:val="1"/>
    <w:qFormat/>
    <w:uiPriority w:val="34"/>
    <w:pPr>
      <w:widowControl/>
      <w:jc w:val="left"/>
    </w:pPr>
    <w:rPr>
      <w:rFonts w:ascii="Times New Roman" w:hAnsi="Times New Roman" w:eastAsia="宋体" w:cs="Times New Roman"/>
    </w:rPr>
  </w:style>
  <w:style w:type="paragraph" w:customStyle="1" w:styleId="35">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6">
    <w:name w:val="网格型1"/>
    <w:basedOn w:val="1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2"/>
    <w:basedOn w:val="1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11"/>
    <w:basedOn w:val="1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9">
    <w:name w:val="脚注文本 字符"/>
    <w:basedOn w:val="15"/>
    <w:link w:val="9"/>
    <w:semiHidden/>
    <w:qFormat/>
    <w:uiPriority w:val="99"/>
    <w:rPr>
      <w:kern w:val="2"/>
      <w:sz w:val="18"/>
      <w:szCs w:val="18"/>
    </w:rPr>
  </w:style>
  <w:style w:type="paragraph" w:styleId="40">
    <w:name w:val="List Paragraph"/>
    <w:basedOn w:val="1"/>
    <w:qFormat/>
    <w:uiPriority w:val="34"/>
    <w:pPr>
      <w:ind w:firstLine="420" w:firstLineChars="200"/>
    </w:pPr>
  </w:style>
  <w:style w:type="paragraph" w:customStyle="1" w:styleId="4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2">
    <w:name w:val="修订3"/>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BOC</Company>
  <Pages>45</Pages>
  <Words>6322</Words>
  <Characters>36041</Characters>
  <Lines>300</Lines>
  <Paragraphs>84</Paragraphs>
  <TotalTime>4</TotalTime>
  <ScaleCrop>false</ScaleCrop>
  <LinksUpToDate>false</LinksUpToDate>
  <CharactersWithSpaces>42279</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2025-08-23T03:08:00Z</dcterms:created>
  <dc:creator>周威</dc:creator>
  <cp:lastModifiedBy>6377579</cp:lastModifiedBy>
  <cp:lastPrinted>2021-09-02T01:53:00Z</cp:lastPrinted>
  <dcterms:modified xsi:type="dcterms:W3CDTF">2026-04-30T15:27:01Z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830CB310F658452BA0B60B2CE8FCAF99</vt:lpwstr>
  </property>
  <property fmtid="{D5CDD505-2E9C-101B-9397-08002B2CF9AE}" pid="3" name="KSOProductBuildVer">
    <vt:lpwstr>2052-11.8.2.12313</vt:lpwstr>
  </property>
</Properties>
</file>