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120" w:after="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中银理财-稳富鑫远固收增强270天持有期4号</w:t>
      </w:r>
    </w:p>
    <w:p>
      <w:pPr>
        <w:pStyle w:val="11"/>
        <w:spacing w:before="120" w:after="0"/>
        <w:rPr>
          <w:rFonts w:ascii="黑体" w:hAnsi="黑体" w:eastAsia="黑体"/>
          <w:color w:val="000000" w:themeColor="text1"/>
          <w14:textFill>
            <w14:solidFill>
              <w14:schemeClr w14:val="tx1"/>
            </w14:solidFill>
          </w14:textFill>
        </w:rPr>
      </w:pPr>
      <w:bookmarkStart w:id="2" w:name="_GoBack"/>
      <w:r>
        <w:rPr>
          <w:rFonts w:ascii="黑体" w:hAnsi="黑体" w:eastAsia="黑体"/>
          <w:color w:val="000000" w:themeColor="text1"/>
          <w14:textFill>
            <w14:solidFill>
              <w14:schemeClr w14:val="tx1"/>
            </w14:solidFill>
          </w14:textFill>
        </w:rPr>
        <w:t>产品说明书</w:t>
      </w:r>
    </w:p>
    <w:bookmarkEnd w:id="2"/>
    <w:p>
      <w:pPr>
        <w:pStyle w:val="8"/>
        <w:spacing w:before="120" w:after="0"/>
        <w:rPr>
          <w:rFonts w:ascii="黑体" w:hAnsi="黑体" w:eastAsia="黑体"/>
          <w:color w:val="000000" w:themeColor="text1"/>
          <w14:textFill>
            <w14:solidFill>
              <w14:schemeClr w14:val="tx1"/>
            </w14:solidFill>
          </w14:textFill>
        </w:rPr>
      </w:pPr>
      <w:r>
        <w:rPr>
          <w:rFonts w:ascii="黑体" w:hAnsi="黑体" w:eastAsia="黑体"/>
          <w:color w:val="000000" w:themeColor="text1"/>
          <w:kern w:val="2"/>
          <w14:textFill>
            <w14:solidFill>
              <w14:schemeClr w14:val="tx1"/>
            </w14:solidFill>
          </w14:textFill>
        </w:rPr>
        <w:t>【产品代码：</w:t>
      </w:r>
      <w:r>
        <w:rPr>
          <w:rFonts w:hint="eastAsia" w:ascii="黑体" w:hAnsi="黑体" w:eastAsia="黑体"/>
          <w:color w:val="000000" w:themeColor="text1"/>
          <w:kern w:val="2"/>
          <w14:textFill>
            <w14:solidFill>
              <w14:schemeClr w14:val="tx1"/>
            </w14:solidFill>
          </w14:textFill>
        </w:rPr>
        <w:t>WFXY270D4</w:t>
      </w:r>
      <w:r>
        <w:rPr>
          <w:rFonts w:ascii="黑体" w:hAnsi="黑体" w:eastAsia="黑体"/>
          <w:color w:val="000000" w:themeColor="text1"/>
          <w14:textFill>
            <w14:solidFill>
              <w14:schemeClr w14:val="tx1"/>
            </w14:solidFill>
          </w14:textFill>
        </w:rPr>
        <w:t>】</w:t>
      </w:r>
    </w:p>
    <w:p>
      <w:pPr>
        <w:pStyle w:val="8"/>
        <w:spacing w:before="120" w:after="0"/>
        <w:rPr>
          <w:rFonts w:ascii="黑体" w:hAnsi="黑体" w:eastAsia="黑体"/>
          <w:color w:val="000000" w:themeColor="text1"/>
          <w:kern w:val="2"/>
          <w14:textFill>
            <w14:solidFill>
              <w14:schemeClr w14:val="tx1"/>
            </w14:solidFill>
          </w14:textFill>
        </w:rPr>
      </w:pPr>
      <w:r>
        <w:rPr>
          <w:rFonts w:hint="eastAsia" w:ascii="黑体" w:hAnsi="黑体" w:eastAsia="黑体"/>
          <w:color w:val="000000" w:themeColor="text1"/>
          <w:kern w:val="2"/>
          <w14:textFill>
            <w14:solidFill>
              <w14:schemeClr w14:val="tx1"/>
            </w14:solidFill>
          </w14:textFill>
        </w:rPr>
        <w:t>【产品登记编码：Z7001026000278】</w:t>
      </w:r>
    </w:p>
    <w:p>
      <w:pPr>
        <w:ind w:firstLine="420"/>
        <w:rPr>
          <w:rFonts w:ascii="黑体" w:hAnsi="黑体" w:eastAsia="黑体"/>
          <w:color w:val="000000" w:themeColor="text1"/>
          <w14:textFill>
            <w14:solidFill>
              <w14:schemeClr w14:val="tx1"/>
            </w14:solidFill>
          </w14:textFill>
        </w:rPr>
      </w:pPr>
    </w:p>
    <w:tbl>
      <w:tblPr>
        <w:tblStyle w:val="13"/>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268"/>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9" w:hRule="atLeast"/>
          <w:jc w:val="center"/>
        </w:trPr>
        <w:tc>
          <w:tcPr>
            <w:tcW w:w="8895" w:type="dxa"/>
            <w:gridSpan w:val="3"/>
            <w:vAlign w:val="center"/>
          </w:tcPr>
          <w:p>
            <w:pP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特别提示：</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b/>
                <w:color w:val="000000" w:themeColor="text1"/>
                <w:szCs w:val="21"/>
                <w14:textFill>
                  <w14:solidFill>
                    <w14:schemeClr w14:val="tx1"/>
                  </w14:solidFill>
                </w14:textFill>
              </w:rPr>
              <w:t>理财非存款、产品有风险、投资须谨慎。</w:t>
            </w:r>
            <w:r>
              <w:rPr>
                <w:rFonts w:ascii="黑体" w:hAnsi="黑体" w:eastAsia="黑体" w:cs="Arial Unicode MS"/>
                <w:color w:val="000000" w:themeColor="text1"/>
                <w:szCs w:val="21"/>
                <w14:textFill>
                  <w14:solidFill>
                    <w14:schemeClr w14:val="tx1"/>
                  </w14:solidFill>
                </w14:textFill>
              </w:rPr>
              <w:t>投资者</w:t>
            </w:r>
            <w:r>
              <w:rPr>
                <w:rFonts w:hint="eastAsia" w:ascii="黑体" w:hAnsi="黑体" w:eastAsia="黑体" w:cs="Arial Unicode MS"/>
                <w:color w:val="000000" w:themeColor="text1"/>
                <w:szCs w:val="21"/>
                <w14:textFill>
                  <w14:solidFill>
                    <w14:schemeClr w14:val="tx1"/>
                  </w14:solidFill>
                </w14:textFill>
              </w:rPr>
              <w:t>（客户）应</w:t>
            </w:r>
            <w:r>
              <w:rPr>
                <w:rFonts w:ascii="黑体" w:hAnsi="黑体" w:eastAsia="黑体" w:cs="Arial Unicode MS"/>
                <w:color w:val="000000" w:themeColor="text1"/>
                <w:szCs w:val="21"/>
                <w14:textFill>
                  <w14:solidFill>
                    <w14:schemeClr w14:val="tx1"/>
                  </w14:solidFill>
                </w14:textFill>
              </w:rPr>
              <w:t>本着“充分了解风险、自主选择购买”的原则自愿将其合法所有的资金用于认</w:t>
            </w:r>
            <w:r>
              <w:rPr>
                <w:rFonts w:hint="eastAsia" w:ascii="黑体" w:hAnsi="黑体" w:eastAsia="黑体" w:cs="Arial Unicode MS"/>
                <w:color w:val="000000" w:themeColor="text1"/>
                <w:szCs w:val="21"/>
                <w14:textFill>
                  <w14:solidFill>
                    <w14:schemeClr w14:val="tx1"/>
                  </w14:solidFill>
                </w14:textFill>
              </w:rPr>
              <w:t>（申）</w:t>
            </w:r>
            <w:r>
              <w:rPr>
                <w:rFonts w:ascii="黑体" w:hAnsi="黑体" w:eastAsia="黑体" w:cs="Arial Unicode MS"/>
                <w:color w:val="000000" w:themeColor="text1"/>
                <w:szCs w:val="21"/>
                <w14:textFill>
                  <w14:solidFill>
                    <w14:schemeClr w14:val="tx1"/>
                  </w14:solidFill>
                </w14:textFill>
              </w:rPr>
              <w:t>购</w:t>
            </w:r>
            <w:r>
              <w:rPr>
                <w:rFonts w:hint="eastAsia" w:ascii="黑体" w:hAnsi="黑体" w:eastAsia="黑体" w:cs="Arial Unicode MS"/>
                <w:color w:val="000000" w:themeColor="text1"/>
                <w:szCs w:val="21"/>
                <w14:textFill>
                  <w14:solidFill>
                    <w14:schemeClr w14:val="tx1"/>
                  </w14:solidFill>
                </w14:textFill>
              </w:rPr>
              <w:t>中银理财</w:t>
            </w:r>
            <w:r>
              <w:rPr>
                <w:rFonts w:ascii="黑体" w:hAnsi="黑体" w:eastAsia="黑体" w:cs="Arial Unicode MS"/>
                <w:color w:val="000000" w:themeColor="text1"/>
                <w:szCs w:val="21"/>
                <w14:textFill>
                  <w14:solidFill>
                    <w14:schemeClr w14:val="tx1"/>
                  </w14:solidFill>
                </w14:textFill>
              </w:rPr>
              <w:t>有限</w:t>
            </w:r>
            <w:r>
              <w:rPr>
                <w:rFonts w:hint="eastAsia" w:ascii="黑体" w:hAnsi="黑体" w:eastAsia="黑体" w:cs="Arial Unicode MS"/>
                <w:color w:val="000000" w:themeColor="text1"/>
                <w:szCs w:val="21"/>
                <w14:textFill>
                  <w14:solidFill>
                    <w14:schemeClr w14:val="tx1"/>
                  </w14:solidFill>
                </w14:textFill>
              </w:rPr>
              <w:t>责任</w:t>
            </w:r>
            <w:r>
              <w:rPr>
                <w:rFonts w:ascii="黑体" w:hAnsi="黑体" w:eastAsia="黑体" w:cs="Arial Unicode MS"/>
                <w:color w:val="000000" w:themeColor="text1"/>
                <w:szCs w:val="21"/>
                <w14:textFill>
                  <w14:solidFill>
                    <w14:schemeClr w14:val="tx1"/>
                  </w14:solidFill>
                </w14:textFill>
              </w:rPr>
              <w:t>公司</w:t>
            </w:r>
            <w:r>
              <w:rPr>
                <w:rFonts w:hint="eastAsia" w:ascii="黑体" w:hAnsi="黑体" w:eastAsia="黑体" w:cs="Arial Unicode MS"/>
                <w:color w:val="000000" w:themeColor="text1"/>
                <w:szCs w:val="21"/>
                <w14:textFill>
                  <w14:solidFill>
                    <w14:schemeClr w14:val="tx1"/>
                  </w14:solidFill>
                </w14:textFill>
              </w:rPr>
              <w:t>（以下简称“中银理财”）</w:t>
            </w:r>
            <w:r>
              <w:rPr>
                <w:rFonts w:ascii="黑体" w:hAnsi="黑体" w:eastAsia="黑体" w:cs="Arial Unicode MS"/>
                <w:color w:val="000000" w:themeColor="text1"/>
                <w:szCs w:val="21"/>
                <w14:textFill>
                  <w14:solidFill>
                    <w14:schemeClr w14:val="tx1"/>
                  </w14:solidFill>
                </w14:textFill>
              </w:rPr>
              <w:t>发行的理财产品</w:t>
            </w:r>
            <w:r>
              <w:rPr>
                <w:rFonts w:hint="eastAsia" w:ascii="黑体" w:hAnsi="黑体" w:eastAsia="黑体" w:cs="Arial Unicode MS"/>
                <w:color w:val="000000" w:themeColor="text1"/>
                <w:szCs w:val="21"/>
                <w14:textFill>
                  <w14:solidFill>
                    <w14:schemeClr w14:val="tx1"/>
                  </w14:solidFill>
                </w14:textFill>
              </w:rPr>
              <w:t>。本理财产品有投资风险，不保证资金本金和理财收益，如出现所投资的金融资产市场价格下跌</w:t>
            </w:r>
            <w:r>
              <w:rPr>
                <w:rFonts w:ascii="黑体" w:hAnsi="黑体" w:eastAsia="黑体" w:cs="Arial Unicode MS"/>
                <w:color w:val="000000" w:themeColor="text1"/>
                <w:szCs w:val="21"/>
                <w14:textFill>
                  <w14:solidFill>
                    <w14:schemeClr w14:val="tx1"/>
                  </w14:solidFill>
                </w14:textFill>
              </w:rPr>
              <w:t>、</w:t>
            </w:r>
            <w:r>
              <w:rPr>
                <w:rFonts w:hint="eastAsia" w:ascii="黑体" w:hAnsi="黑体" w:eastAsia="黑体" w:cs="Arial Unicode MS"/>
                <w:color w:val="000000" w:themeColor="text1"/>
                <w:szCs w:val="21"/>
                <w14:textFill>
                  <w14:solidFill>
                    <w14:schemeClr w14:val="tx1"/>
                  </w14:solidFill>
                </w14:textFill>
              </w:rPr>
              <w:t>未按时足额支付</w:t>
            </w:r>
            <w:r>
              <w:rPr>
                <w:rFonts w:ascii="黑体" w:hAnsi="黑体" w:eastAsia="黑体" w:cs="Arial Unicode MS"/>
                <w:color w:val="000000" w:themeColor="text1"/>
                <w:szCs w:val="21"/>
                <w14:textFill>
                  <w14:solidFill>
                    <w14:schemeClr w14:val="tx1"/>
                  </w14:solidFill>
                </w14:textFill>
              </w:rPr>
              <w:t>本金</w:t>
            </w:r>
            <w:r>
              <w:rPr>
                <w:rFonts w:hint="eastAsia" w:ascii="黑体" w:hAnsi="黑体" w:eastAsia="黑体" w:cs="Arial Unicode MS"/>
                <w:color w:val="000000" w:themeColor="text1"/>
                <w:szCs w:val="21"/>
                <w14:textFill>
                  <w14:solidFill>
                    <w14:schemeClr w14:val="tx1"/>
                  </w14:solidFill>
                </w14:textFill>
              </w:rPr>
              <w:t>及/或收益或提前终止等不利情况，则将出现理财收益为零或本金损失的情形，并存在被中银理财提前终止的可能，请充分认识投资风险，谨慎投资。</w:t>
            </w:r>
          </w:p>
          <w:p>
            <w:pPr>
              <w:pStyle w:val="28"/>
              <w:numPr>
                <w:ilvl w:val="0"/>
                <w:numId w:val="1"/>
              </w:numPr>
              <w:tabs>
                <w:tab w:val="left" w:pos="885"/>
                <w:tab w:val="left" w:pos="1003"/>
              </w:tabs>
              <w:ind w:left="886" w:leftChars="218" w:hanging="428"/>
              <w:jc w:val="both"/>
              <w:rPr>
                <w:rFonts w:ascii="黑体" w:hAnsi="黑体" w:eastAsia="黑体" w:cs="Arial Unicode MS"/>
                <w:b/>
                <w:color w:val="000000" w:themeColor="text1"/>
                <w:szCs w:val="21"/>
                <w14:textFill>
                  <w14:solidFill>
                    <w14:schemeClr w14:val="tx1"/>
                  </w14:solidFill>
                </w14:textFill>
              </w:rPr>
            </w:pPr>
            <w:r>
              <w:rPr>
                <w:rFonts w:hint="eastAsia" w:ascii="黑体" w:hAnsi="黑体" w:eastAsia="黑体" w:cs="Arial Unicode MS"/>
                <w:b/>
                <w:color w:val="000000" w:themeColor="text1"/>
                <w:szCs w:val="21"/>
                <w14:textFill>
                  <w14:solidFill>
                    <w14:schemeClr w14:val="tx1"/>
                  </w14:solidFill>
                </w14:textFill>
              </w:rPr>
              <w:t>理财产品过往业绩不代表其未来表现，不等于理财产品实际收益，投资须谨慎。</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主要风险列示：包括市场风险、信用风险、流动性风险、操作风险、管理风险、法律风险、政策风险、产品不成立风险、提前终止的风险、信息传递风险、赎回款项支付延迟风险、投资标的特有风险、其他风险等。（详见“九、风险揭示”部分）。</w:t>
            </w:r>
          </w:p>
          <w:p>
            <w:pPr>
              <w:pStyle w:val="28"/>
              <w:numPr>
                <w:ilvl w:val="0"/>
                <w:numId w:val="1"/>
              </w:numPr>
              <w:tabs>
                <w:tab w:val="left" w:pos="885"/>
                <w:tab w:val="left" w:pos="1003"/>
              </w:tabs>
              <w:ind w:left="886"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中银理财郑重提示：投资者在认（申）购本理财产品前应仔细阅读本《产品</w:t>
            </w:r>
            <w:r>
              <w:rPr>
                <w:rFonts w:ascii="黑体" w:hAnsi="黑体" w:eastAsia="黑体" w:cs="Arial Unicode MS"/>
                <w:color w:val="000000" w:themeColor="text1"/>
                <w:szCs w:val="21"/>
                <w14:textFill>
                  <w14:solidFill>
                    <w14:schemeClr w14:val="tx1"/>
                  </w14:solidFill>
                </w14:textFill>
              </w:rPr>
              <w:t>说明书</w:t>
            </w:r>
            <w:r>
              <w:rPr>
                <w:rFonts w:hint="eastAsia" w:ascii="黑体" w:hAnsi="黑体" w:eastAsia="黑体" w:cs="Arial Unicode MS"/>
                <w:color w:val="000000" w:themeColor="text1"/>
                <w:szCs w:val="21"/>
                <w14:textFill>
                  <w14:solidFill>
                    <w14:schemeClr w14:val="tx1"/>
                  </w14:solidFill>
                </w14:textFill>
              </w:rPr>
              <w:t>》</w:t>
            </w:r>
            <w:r>
              <w:rPr>
                <w:rFonts w:ascii="黑体" w:hAnsi="黑体" w:eastAsia="黑体" w:cs="Arial Unicode MS"/>
                <w:color w:val="000000" w:themeColor="text1"/>
                <w:szCs w:val="21"/>
                <w14:textFill>
                  <w14:solidFill>
                    <w14:schemeClr w14:val="tx1"/>
                  </w14:solidFill>
                </w14:textFill>
              </w:rPr>
              <w:t>及</w:t>
            </w:r>
            <w:r>
              <w:rPr>
                <w:rFonts w:hint="eastAsia" w:ascii="黑体" w:hAnsi="黑体" w:eastAsia="黑体" w:cs="Arial Unicode MS"/>
                <w:color w:val="000000" w:themeColor="text1"/>
                <w:szCs w:val="21"/>
                <w14:textFill>
                  <w14:solidFill>
                    <w14:schemeClr w14:val="tx1"/>
                  </w14:solidFill>
                </w14:textFill>
              </w:rPr>
              <w:t>《</w:t>
            </w:r>
            <w:r>
              <w:rPr>
                <w:rFonts w:ascii="黑体" w:hAnsi="黑体" w:eastAsia="黑体" w:cs="Arial Unicode MS"/>
                <w:color w:val="000000" w:themeColor="text1"/>
                <w:szCs w:val="21"/>
                <w14:textFill>
                  <w14:solidFill>
                    <w14:schemeClr w14:val="tx1"/>
                  </w14:solidFill>
                </w14:textFill>
              </w:rPr>
              <w:t>风险</w:t>
            </w:r>
            <w:r>
              <w:rPr>
                <w:rFonts w:hint="eastAsia" w:ascii="黑体" w:hAnsi="黑体" w:eastAsia="黑体" w:cs="Arial Unicode MS"/>
                <w:color w:val="000000" w:themeColor="text1"/>
                <w:szCs w:val="21"/>
                <w14:textFill>
                  <w14:solidFill>
                    <w14:schemeClr w14:val="tx1"/>
                  </w14:solidFill>
                </w14:textFill>
              </w:rPr>
              <w:t>揭示书》，确保完全明白该项投资的性质和所涉及的风险，详细了解和审慎评估该理财产品的资金投资方向、风险类型和收益等基本情况，在慎重考虑后自行决定购买与自身风险承受能力和资产管理需求匹配的理财产品。业绩比较基准不是预期收益率，不代表产品的未来表现和实际收益，不构成对产品收益的承诺。投资者所能获得的最终收益以中银理财根据本理财产品的投资运作情况实际支付给投资者的收益为准。</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投资者通过代销机构或直接与中银理财签署理财产品投资协议书等销售文件后，代销机构或中银理财在划款时，不再通过任何方式与投资者进行最后确认，直接划款。</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本理财产品说明书在法律许可的范围内由中银理财负责解释。</w:t>
            </w:r>
          </w:p>
          <w:p>
            <w:pPr>
              <w:pStyle w:val="28"/>
              <w:numPr>
                <w:ilvl w:val="0"/>
                <w:numId w:val="1"/>
              </w:numPr>
              <w:tabs>
                <w:tab w:val="left" w:pos="885"/>
                <w:tab w:val="left" w:pos="1003"/>
              </w:tabs>
              <w:ind w:left="886" w:leftChars="218" w:hanging="428"/>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购买理财产品后，投资者应随时关注该理财产品的信息披露情况，及时、主动获取相关信息。</w:t>
            </w:r>
          </w:p>
          <w:p>
            <w:pPr>
              <w:pStyle w:val="28"/>
              <w:tabs>
                <w:tab w:val="left" w:pos="885"/>
                <w:tab w:val="left" w:pos="1003"/>
              </w:tabs>
              <w:ind w:left="210" w:leftChars="100" w:firstLine="210" w:firstLineChars="100"/>
              <w:jc w:val="both"/>
              <w:rPr>
                <w:rFonts w:ascii="黑体" w:hAnsi="黑体" w:eastAsia="黑体" w:cs="Arial Unicode MS"/>
                <w:color w:val="000000" w:themeColor="text1"/>
                <w:szCs w:val="21"/>
                <w14:textFill>
                  <w14:solidFill>
                    <w14:schemeClr w14:val="tx1"/>
                  </w14:solidFill>
                </w14:textFill>
              </w:rPr>
            </w:pPr>
            <w:r>
              <w:rPr>
                <w:rFonts w:hint="eastAsia" w:ascii="黑体" w:hAnsi="黑体" w:eastAsia="黑体" w:cs="Arial Unicode MS"/>
                <w:color w:val="000000" w:themeColor="text1"/>
                <w:szCs w:val="21"/>
                <w14:textFill>
                  <w14:solidFill>
                    <w14:schemeClr w14:val="tx1"/>
                  </w14:solidFill>
                </w14:textFill>
              </w:rPr>
              <w:t>下面关于本理财产品的风险评级和相关描述，为中银理财内部评级。该产品通过代理销售机构渠道销售的，理财产品评级应当以代理销售机构最终披露的评级结果为准。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05" w:type="dxa"/>
            <w:vAlign w:val="center"/>
          </w:tcPr>
          <w:p>
            <w:pPr>
              <w:pStyle w:val="10"/>
              <w:spacing w:before="0" w:beforeAutospacing="0" w:after="0" w:afterAutospacing="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风险级别</w:t>
            </w:r>
          </w:p>
        </w:tc>
        <w:tc>
          <w:tcPr>
            <w:tcW w:w="2268" w:type="dxa"/>
            <w:vAlign w:val="center"/>
          </w:tcPr>
          <w:p>
            <w:pPr>
              <w:pStyle w:val="10"/>
              <w:spacing w:before="0" w:beforeAutospacing="0" w:after="0" w:afterAutospacing="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2、中低风险产品</w:t>
            </w:r>
          </w:p>
        </w:tc>
        <w:tc>
          <w:tcPr>
            <w:tcW w:w="5322" w:type="dxa"/>
            <w:vAlign w:val="center"/>
          </w:tcPr>
          <w:p>
            <w:pPr>
              <w:pStyle w:val="10"/>
              <w:spacing w:before="0" w:beforeAutospacing="0" w:after="0" w:afterAutospacing="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出现本金损失的概率较低，且有一定净值波动率的产品。</w:t>
            </w:r>
          </w:p>
        </w:tc>
      </w:tr>
    </w:tbl>
    <w:p>
      <w:pPr>
        <w:ind w:firstLine="420"/>
        <w:rPr>
          <w:rFonts w:ascii="黑体" w:hAnsi="黑体" w:eastAsia="黑体"/>
          <w:color w:val="000000" w:themeColor="text1"/>
          <w14:textFill>
            <w14:solidFill>
              <w14:schemeClr w14:val="tx1"/>
            </w14:solidFill>
          </w14:textFill>
        </w:rPr>
      </w:pPr>
    </w:p>
    <w:p>
      <w:pPr>
        <w:ind w:firstLine="420"/>
        <w:rPr>
          <w:rFonts w:ascii="黑体" w:hAnsi="黑体" w:eastAsia="黑体"/>
          <w:color w:val="000000" w:themeColor="text1"/>
          <w14:textFill>
            <w14:solidFill>
              <w14:schemeClr w14:val="tx1"/>
            </w14:solidFill>
          </w14:textFill>
        </w:rPr>
      </w:pPr>
    </w:p>
    <w:p>
      <w:pPr>
        <w:ind w:firstLine="420"/>
        <w:rPr>
          <w:rFonts w:ascii="黑体" w:hAnsi="黑体" w:eastAsia="黑体"/>
          <w:color w:val="000000" w:themeColor="text1"/>
          <w14:textFill>
            <w14:solidFill>
              <w14:schemeClr w14:val="tx1"/>
            </w14:solidFill>
          </w14:textFill>
        </w:rPr>
      </w:pPr>
    </w:p>
    <w:p>
      <w:pPr>
        <w:ind w:firstLine="420"/>
        <w:rPr>
          <w:rFonts w:ascii="黑体" w:hAnsi="黑体" w:eastAsia="黑体"/>
          <w:color w:val="000000" w:themeColor="text1"/>
          <w14:textFill>
            <w14:solidFill>
              <w14:schemeClr w14:val="tx1"/>
            </w14:solidFill>
          </w14:textFill>
        </w:rPr>
      </w:pPr>
    </w:p>
    <w:p>
      <w:pPr>
        <w:rPr>
          <w:color w:val="000000" w:themeColor="text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理财产品基本信息</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shd w:val="clear" w:color="auto" w:fill="auto"/>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投资者类型</w:t>
            </w:r>
          </w:p>
        </w:tc>
        <w:tc>
          <w:tcPr>
            <w:tcW w:w="6727" w:type="dxa"/>
            <w:shd w:val="clear" w:color="auto" w:fill="auto"/>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经产品销售机构风险承受能力评估为稳健型、平衡型、进取型和激进型的个人投资者、机构投资者。具体以销售机构风险评级结果和销售要求为准。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理财产品名称</w:t>
            </w:r>
          </w:p>
        </w:tc>
        <w:tc>
          <w:tcPr>
            <w:tcW w:w="6727" w:type="dxa"/>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sz w:val="21"/>
                <w:szCs w:val="21"/>
              </w:rPr>
              <w:t>中银理财-稳富鑫远固收增强270天持有期4号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理财产品简称</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中银理财-稳富鑫远固收增强270天持有期4号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理财产品代码</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sz w:val="21"/>
                <w:szCs w:val="21"/>
              </w:rPr>
              <w:t>WFXY270D4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sz w:val="21"/>
                <w:szCs w:val="21"/>
              </w:rPr>
            </w:pPr>
            <w:r>
              <w:rPr>
                <w:rFonts w:hint="eastAsia" w:ascii="楷体" w:hAnsi="楷体" w:eastAsia="楷体"/>
                <w:sz w:val="21"/>
                <w:szCs w:val="21"/>
              </w:rPr>
              <w:t>理财产品份额代码</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sz w:val="21"/>
                <w:szCs w:val="21"/>
              </w:rPr>
            </w:pPr>
            <w:r>
              <w:rPr>
                <w:rFonts w:hint="eastAsia" w:ascii="楷体" w:hAnsi="楷体" w:eastAsia="楷体"/>
                <w:sz w:val="21"/>
                <w:szCs w:val="21"/>
              </w:rPr>
              <w:t>WFXY270D4B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340" w:type="dxa"/>
            <w:tcBorders>
              <w:bottom w:val="single" w:color="auto" w:sz="4" w:space="0"/>
            </w:tcBorders>
            <w:vAlign w:val="center"/>
          </w:tcPr>
          <w:p>
            <w:pPr>
              <w:pStyle w:val="10"/>
              <w:spacing w:before="0" w:beforeAutospacing="0" w:after="0" w:afterAutospacing="0"/>
              <w:ind w:left="9" w:hanging="9" w:hangingChars="4"/>
              <w:jc w:val="both"/>
              <w:rPr>
                <w:rFonts w:ascii="楷体" w:hAnsi="楷体" w:eastAsia="楷体"/>
                <w:b/>
                <w:color w:val="000000" w:themeColor="text1"/>
                <w:sz w:val="22"/>
                <w:szCs w:val="21"/>
                <w14:textFill>
                  <w14:solidFill>
                    <w14:schemeClr w14:val="tx1"/>
                  </w14:solidFill>
                </w14:textFill>
              </w:rPr>
            </w:pPr>
            <w:r>
              <w:rPr>
                <w:rFonts w:hint="eastAsia" w:ascii="楷体" w:hAnsi="楷体" w:eastAsia="楷体"/>
                <w:b/>
                <w:color w:val="000000" w:themeColor="text1"/>
                <w:sz w:val="22"/>
                <w:szCs w:val="21"/>
                <w14:textFill>
                  <w14:solidFill>
                    <w14:schemeClr w14:val="tx1"/>
                  </w14:solidFill>
                </w14:textFill>
              </w:rPr>
              <w:t>全国银行业理财信息</w:t>
            </w:r>
          </w:p>
          <w:p>
            <w:pPr>
              <w:pStyle w:val="10"/>
              <w:spacing w:before="0" w:beforeAutospacing="0" w:after="0" w:afterAutospacing="0"/>
              <w:ind w:left="9" w:hanging="9"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b/>
                <w:color w:val="000000" w:themeColor="text1"/>
                <w:sz w:val="22"/>
                <w:szCs w:val="21"/>
                <w14:textFill>
                  <w14:solidFill>
                    <w14:schemeClr w14:val="tx1"/>
                  </w14:solidFill>
                </w14:textFill>
              </w:rPr>
              <w:t>登记系统登记编码</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b/>
                <w:color w:val="000000" w:themeColor="text1"/>
                <w:sz w:val="21"/>
                <w14:textFill>
                  <w14:solidFill>
                    <w14:schemeClr w14:val="tx1"/>
                  </w14:solidFill>
                </w14:textFill>
              </w:rPr>
            </w:pPr>
            <w:r>
              <w:rPr>
                <w:rFonts w:hint="eastAsia" w:ascii="楷体" w:hAnsi="楷体" w:eastAsia="楷体"/>
                <w:b/>
                <w:color w:val="000000" w:themeColor="text1"/>
                <w:sz w:val="21"/>
                <w14:textFill>
                  <w14:solidFill>
                    <w14:schemeClr w14:val="tx1"/>
                  </w14:solidFill>
                </w14:textFill>
              </w:rPr>
              <w:t>【Z7001026000278】</w:t>
            </w:r>
          </w:p>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b/>
                <w:color w:val="000000" w:themeColor="text1"/>
                <w:sz w:val="21"/>
                <w14:textFill>
                  <w14:solidFill>
                    <w14:schemeClr w14:val="tx1"/>
                  </w14:solidFill>
                </w14:textFill>
              </w:rPr>
              <w:t>投资者可根据登记编码在中国理财网（</w:t>
            </w:r>
            <w:r>
              <w:fldChar w:fldCharType="begin"/>
            </w:r>
            <w:r>
              <w:instrText xml:space="preserve"> HYPERLINK "http://www.chinawealth.com.cn" </w:instrText>
            </w:r>
            <w:r>
              <w:fldChar w:fldCharType="separate"/>
            </w:r>
            <w:r>
              <w:rPr>
                <w:rFonts w:ascii="楷体" w:hAnsi="楷体" w:eastAsia="楷体"/>
                <w:b/>
                <w:color w:val="000000" w:themeColor="text1"/>
                <w:sz w:val="21"/>
                <w14:textFill>
                  <w14:solidFill>
                    <w14:schemeClr w14:val="tx1"/>
                  </w14:solidFill>
                </w14:textFill>
              </w:rPr>
              <w:t>www.chinawealth.com.cn</w:t>
            </w:r>
            <w:r>
              <w:rPr>
                <w:rFonts w:ascii="楷体" w:hAnsi="楷体" w:eastAsia="楷体"/>
                <w:b/>
                <w:color w:val="000000" w:themeColor="text1"/>
                <w:sz w:val="21"/>
                <w14:textFill>
                  <w14:solidFill>
                    <w14:schemeClr w14:val="tx1"/>
                  </w14:solidFill>
                </w14:textFill>
              </w:rPr>
              <w:fldChar w:fldCharType="end"/>
            </w:r>
            <w:r>
              <w:rPr>
                <w:rFonts w:ascii="楷体" w:hAnsi="楷体" w:eastAsia="楷体"/>
                <w:b/>
                <w:color w:val="000000" w:themeColor="text1"/>
                <w:sz w:val="21"/>
                <w14:textFill>
                  <w14:solidFill>
                    <w14:schemeClr w14:val="tx1"/>
                  </w14:solidFill>
                </w14:textFill>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理财本金/理财本金返还/理财收益币种</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理财产品管理人</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中银理财有限</w:t>
            </w:r>
            <w:r>
              <w:rPr>
                <w:rFonts w:ascii="楷体" w:hAnsi="楷体" w:eastAsia="楷体"/>
                <w:color w:val="000000" w:themeColor="text1"/>
                <w:sz w:val="21"/>
                <w:szCs w:val="21"/>
                <w14:textFill>
                  <w14:solidFill>
                    <w14:schemeClr w14:val="tx1"/>
                  </w14:solidFill>
                </w14:textFill>
              </w:rPr>
              <w:t>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理财产品托管人</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理财产品销售机构</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湖南银行股份有限公司（简称“湖南银行”），以及与中银理财有限责任公司签订代理销售协议并提供相关服务的其他销售机构。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产品类型</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固定收益类非保本浮动收益型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产品运作模式</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开放式净值型产品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募集方式</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投资目标</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以灵活的资产配置策略力争超越业绩比较基准的收益水平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投资策略</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14:textFill>
                  <w14:solidFill>
                    <w14:schemeClr w14:val="tx1"/>
                  </w14:solidFill>
                </w14:textFill>
              </w:rPr>
              <w:t>本理财产品会根据经济周期及市场走势变化，以债券、债券型证券投资基金、债券回购等固定收益类资产配置为主来获取稳健收益，同时辅以一定比例的黄金等贵金属类资产投资，力争让客户在风险相对可控的情况下分享多市场快速发展的红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理财产品份额类别</w:t>
            </w:r>
          </w:p>
        </w:tc>
        <w:tc>
          <w:tcPr>
            <w:tcW w:w="6727" w:type="dxa"/>
            <w:shd w:val="clear" w:color="auto" w:fill="auto"/>
            <w:vAlign w:val="center"/>
          </w:tcPr>
          <w:p>
            <w:pPr>
              <w:pStyle w:val="10"/>
              <w:spacing w:before="0" w:beforeAutospacing="0" w:after="0" w:afterAutospacing="0"/>
              <w:ind w:left="8" w:hanging="8" w:hangingChars="4"/>
              <w:jc w:val="both"/>
              <w:rPr>
                <w:rFonts w:ascii="楷体" w:hAnsi="楷体" w:eastAsia="楷体"/>
                <w:color w:val="000000" w:themeColor="text1"/>
                <w:sz w:val="21"/>
                <w14:textFill>
                  <w14:solidFill>
                    <w14:schemeClr w14:val="tx1"/>
                  </w14:solidFill>
                </w14:textFill>
              </w:rPr>
            </w:pPr>
            <w:r>
              <w:rPr>
                <w:rFonts w:hint="eastAsia" w:ascii="楷体" w:hAnsi="楷体" w:eastAsia="楷体"/>
                <w:color w:val="000000" w:themeColor="text1"/>
                <w:sz w:val="21"/>
                <w14:textFill>
                  <w14:solidFill>
                    <w14:schemeClr w14:val="tx1"/>
                  </w14:solidFill>
                </w14:textFill>
              </w:rPr>
              <w:t>本理财产品根据投资者购买理财的销售机构、理财产品起点金额、投资者类别等因素设置不同产品份额，每类产品份额设置单独的份额代码，并分别计算和公告产品份额净值。投资者可根据实际情况自行选择购买的产品份额类别。</w:t>
            </w:r>
          </w:p>
          <w:p>
            <w:pPr>
              <w:pStyle w:val="10"/>
              <w:spacing w:before="0" w:beforeAutospacing="0" w:after="0" w:afterAutospacing="0"/>
              <w:ind w:left="2"/>
              <w:jc w:val="both"/>
              <w:rPr>
                <w:rFonts w:ascii="楷体" w:hAnsi="楷体" w:eastAsia="楷体"/>
                <w:color w:val="000000" w:themeColor="text1"/>
                <w:sz w:val="21"/>
                <w14:textFill>
                  <w14:solidFill>
                    <w14:schemeClr w14:val="tx1"/>
                  </w14:solidFill>
                </w14:textFill>
              </w:rPr>
            </w:pPr>
            <w:r>
              <w:rPr>
                <w:rFonts w:hint="eastAsia" w:ascii="楷体" w:hAnsi="楷体" w:eastAsia="楷体"/>
                <w:color w:val="000000" w:themeColor="text1"/>
                <w:sz w:val="21"/>
                <w14:textFill>
                  <w14:solidFill>
                    <w14:schemeClr w14:val="tx1"/>
                  </w14:solidFill>
                </w14:textFill>
              </w:rPr>
              <w:t>本产品B类份额（份额代码【WFXY270D4B】）：湖南银行渠道客户专属，本份额仅面向个人投资者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募集规模上限</w:t>
            </w:r>
          </w:p>
        </w:tc>
        <w:tc>
          <w:tcPr>
            <w:tcW w:w="6727" w:type="dxa"/>
          </w:tcPr>
          <w:p>
            <w:pPr>
              <w:topLinePunct/>
              <w:spacing w:line="360" w:lineRule="exact"/>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人民币【3000亿】元</w:t>
            </w:r>
            <w:r>
              <w:rPr>
                <w:rFonts w:hint="eastAsia" w:ascii="楷体" w:hAnsi="楷体" w:eastAsia="楷体"/>
                <w:szCs w:val="21"/>
              </w:rPr>
              <w:t>。</w:t>
            </w:r>
          </w:p>
          <w:p>
            <w:pPr>
              <w:topLinePunct/>
              <w:spacing w:line="360" w:lineRule="exact"/>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产品管理人有权根据实际需要对本理财产品募集资金规模进行调整，本理财产品最终规模以产品管理人实际募集的资金数额为准。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理财产品认购起点金额</w:t>
            </w:r>
          </w:p>
        </w:tc>
        <w:tc>
          <w:tcPr>
            <w:tcW w:w="6727" w:type="dxa"/>
            <w:vAlign w:val="center"/>
          </w:tcPr>
          <w:p>
            <w:pPr>
              <w:widowControl/>
              <w:autoSpaceDE w:val="0"/>
              <w:autoSpaceDN w:val="0"/>
              <w:ind w:left="8" w:hanging="8" w:hangingChars="4"/>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kern w:val="0"/>
                <w:szCs w:val="21"/>
              </w:rPr>
              <w:t>本产品A类份额认购起点金额为人民币【100万】元，认购起点金额以上按照人民币【0.01】元的整数倍累进认购。</w:t>
            </w:r>
            <w:r>
              <w:rPr>
                <w:rFonts w:hint="eastAsia" w:ascii="楷体" w:hAnsi="楷体" w:eastAsia="楷体" w:cs="Arial Unicode MS"/>
                <w:kern w:val="0"/>
                <w:szCs w:val="21"/>
              </w:rPr>
              <w:br w:type="textWrapping"/>
            </w:r>
            <w:r>
              <w:rPr>
                <w:rFonts w:hint="eastAsia" w:ascii="楷体" w:hAnsi="楷体" w:eastAsia="楷体" w:cs="Arial Unicode MS"/>
                <w:kern w:val="0"/>
                <w:szCs w:val="21"/>
              </w:rPr>
              <w:t>详见“三、认购”部分。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理财产品份额面值</w:t>
            </w:r>
          </w:p>
        </w:tc>
        <w:tc>
          <w:tcPr>
            <w:tcW w:w="6727" w:type="dxa"/>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ascii="楷体" w:hAnsi="楷体" w:eastAsia="楷体"/>
                <w:color w:val="000000" w:themeColor="text1"/>
                <w:sz w:val="21"/>
                <w:szCs w:val="21"/>
                <w14:textFill>
                  <w14:solidFill>
                    <w14:schemeClr w14:val="tx1"/>
                  </w14:solidFill>
                </w14:textFill>
              </w:rPr>
              <w:t>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认购期</w:t>
            </w:r>
          </w:p>
        </w:tc>
        <w:tc>
          <w:tcPr>
            <w:tcW w:w="6727" w:type="dxa"/>
            <w:tcBorders>
              <w:bottom w:val="single" w:color="auto" w:sz="4" w:space="0"/>
            </w:tcBorders>
          </w:tcPr>
          <w:p>
            <w:pPr>
              <w:pStyle w:val="10"/>
              <w:wordWrap w:val="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【2026】年【2】月【25】日至【2026】年【3】月【3】日，具体以理财产品销售机构实际受理时间为准。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理财产品成立日</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【2026】年【3】月【4】日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理财产品存续期限</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产品无固定存续期限（若产品提前终止，以理财产品实际存续天数为准）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0" w:type="dxa"/>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最短持有期</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自产品认购/申购确认日（含当日）起270个自然日。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开放日</w:t>
            </w:r>
          </w:p>
        </w:tc>
        <w:tc>
          <w:tcPr>
            <w:tcW w:w="6727" w:type="dxa"/>
            <w:tcBorders>
              <w:bottom w:val="single" w:color="auto" w:sz="4" w:space="0"/>
            </w:tcBorders>
            <w:vAlign w:val="center"/>
          </w:tcPr>
          <w:p>
            <w:pPr>
              <w:pStyle w:val="22"/>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产品成立日（不含）后的每个工作日为本产品开放日。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shd w:val="clear" w:color="auto" w:fill="auto"/>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理财产品份额净值</w:t>
            </w:r>
          </w:p>
        </w:tc>
        <w:tc>
          <w:tcPr>
            <w:tcW w:w="6727" w:type="dxa"/>
            <w:tcBorders>
              <w:bottom w:val="single" w:color="auto" w:sz="4" w:space="0"/>
            </w:tcBorders>
            <w:shd w:val="clear" w:color="auto" w:fill="auto"/>
            <w:vAlign w:val="center"/>
          </w:tcPr>
          <w:p>
            <w:pPr>
              <w:pStyle w:val="22"/>
              <w:jc w:val="both"/>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本产品的估值日为产品成立日及开放日。</w:t>
            </w:r>
            <w:r>
              <w:rPr>
                <w:rFonts w:hint="eastAsia" w:ascii="楷体" w:hAnsi="楷体" w:eastAsia="楷体" w:cs="楷体"/>
                <w:color w:val="000000" w:themeColor="text1"/>
                <w:sz w:val="21"/>
                <w:szCs w:val="21"/>
                <w14:textFill>
                  <w14:solidFill>
                    <w14:schemeClr w14:val="tx1"/>
                  </w14:solidFill>
                </w14:textFill>
              </w:rPr>
              <w:t>详见“十、理财产品估值”部分。</w:t>
            </w:r>
          </w:p>
          <w:p>
            <w:pPr>
              <w:pStyle w:val="22"/>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理财产品管理人在估值日后【</w:t>
            </w:r>
            <w:r>
              <w:rPr>
                <w:rFonts w:ascii="楷体" w:hAnsi="楷体" w:eastAsia="楷体" w:cs="楷体"/>
                <w:color w:val="000000" w:themeColor="text1"/>
                <w:sz w:val="21"/>
                <w:szCs w:val="21"/>
                <w14:textFill>
                  <w14:solidFill>
                    <w14:schemeClr w14:val="tx1"/>
                  </w14:solidFill>
                </w14:textFill>
              </w:rPr>
              <w:t>2</w:t>
            </w:r>
            <w:r>
              <w:rPr>
                <w:rFonts w:hint="eastAsia" w:ascii="楷体" w:hAnsi="楷体" w:eastAsia="楷体" w:cs="楷体"/>
                <w:color w:val="000000" w:themeColor="text1"/>
                <w:sz w:val="21"/>
                <w:szCs w:val="21"/>
                <w14:textFill>
                  <w14:solidFill>
                    <w14:schemeClr w14:val="tx1"/>
                  </w14:solidFill>
                </w14:textFill>
              </w:rPr>
              <w:t>】个工作日内公布理财产品的份额净值，理财产品份额净值可能小于1元。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申购及赎回</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在本产品成立日</w:t>
            </w:r>
            <w:r>
              <w:rPr>
                <w:rFonts w:hint="eastAsia" w:ascii="楷体" w:hAnsi="楷体" w:eastAsia="楷体"/>
                <w:color w:val="000000" w:themeColor="text1"/>
                <w:szCs w:val="21"/>
                <w14:textFill>
                  <w14:solidFill>
                    <w14:schemeClr w14:val="tx1"/>
                  </w14:solidFill>
                </w14:textFill>
              </w:rPr>
              <w:t>（不含）</w:t>
            </w:r>
            <w:r>
              <w:rPr>
                <w:rFonts w:hint="eastAsia" w:ascii="楷体" w:hAnsi="楷体" w:eastAsia="楷体" w:cs="Arial Unicode MS"/>
                <w:color w:val="000000" w:themeColor="text1"/>
                <w:kern w:val="0"/>
                <w:szCs w:val="18"/>
                <w14:textFill>
                  <w14:solidFill>
                    <w14:schemeClr w14:val="tx1"/>
                  </w14:solidFill>
                </w14:textFill>
              </w:rPr>
              <w:t>后，投资者可在每个开放日提交申购申请。</w:t>
            </w:r>
            <w:r>
              <w:rPr>
                <w:rFonts w:hint="eastAsia" w:ascii="楷体" w:hAnsi="楷体" w:eastAsia="楷体" w:cs="Arial Unicode MS"/>
                <w:b/>
                <w:color w:val="000000" w:themeColor="text1"/>
                <w:kern w:val="0"/>
                <w:szCs w:val="18"/>
                <w14:textFill>
                  <w14:solidFill>
                    <w14:schemeClr w14:val="tx1"/>
                  </w14:solidFill>
                </w14:textFill>
              </w:rPr>
              <w:t>投资者每笔认购/申购申请确认的理财产品份额需在该笔理财产品份额最短持有期内的倒数第二个工作日（含当日）起方可赎回。</w:t>
            </w:r>
            <w:r>
              <w:rPr>
                <w:rFonts w:hint="eastAsia" w:ascii="楷体" w:hAnsi="楷体" w:eastAsia="楷体" w:cs="楷体"/>
                <w:color w:val="000000" w:themeColor="text1"/>
                <w:kern w:val="0"/>
                <w:szCs w:val="21"/>
                <w14:textFill>
                  <w14:solidFill>
                    <w14:schemeClr w14:val="tx1"/>
                  </w14:solidFill>
                </w14:textFill>
              </w:rPr>
              <w:t>开放日申请于申请当日后第</w:t>
            </w:r>
            <w:r>
              <w:rPr>
                <w:rFonts w:ascii="楷体" w:hAnsi="楷体" w:eastAsia="楷体" w:cs="楷体"/>
                <w:color w:val="000000" w:themeColor="text1"/>
                <w:kern w:val="0"/>
                <w:szCs w:val="21"/>
                <w14:textFill>
                  <w14:solidFill>
                    <w14:schemeClr w14:val="tx1"/>
                  </w14:solidFill>
                </w14:textFill>
              </w:rPr>
              <w:t>2</w:t>
            </w:r>
            <w:r>
              <w:rPr>
                <w:rFonts w:hint="eastAsia" w:ascii="楷体" w:hAnsi="楷体" w:eastAsia="楷体" w:cs="楷体"/>
                <w:color w:val="000000" w:themeColor="text1"/>
                <w:kern w:val="0"/>
                <w:szCs w:val="21"/>
                <w14:textFill>
                  <w14:solidFill>
                    <w14:schemeClr w14:val="tx1"/>
                  </w14:solidFill>
                </w14:textFill>
              </w:rPr>
              <w:t>个工作日内确认。本产品工作日指除周六日、中国公休日及法定节假日外的其他日，即中国证券市场的法定交易日。详见“七、申购和赎回”部分。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申购及赎回起点金额/份额</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楷体"/>
                <w:color w:val="000000" w:themeColor="text1"/>
                <w:kern w:val="0"/>
                <w:szCs w:val="21"/>
                <w14:textFill>
                  <w14:solidFill>
                    <w14:schemeClr w14:val="tx1"/>
                  </w14:solidFill>
                </w14:textFill>
              </w:rPr>
              <w:t>本产品B类份额初次申购起点金额为人民币【1】元，高于起点金额以人民币【0.01】元的整数倍递增；追加申购金额为【0.01】元的整数倍。赎回份额为0.01份或0.01份的整数倍。</w:t>
            </w:r>
          </w:p>
          <w:p>
            <w:pPr>
              <w:widowControl/>
              <w:autoSpaceDE w:val="0"/>
              <w:autoSpaceDN w:val="0"/>
              <w:ind w:left="8" w:hanging="8" w:hangingChars="4"/>
              <w:rPr>
                <w:rFonts w:ascii="楷体" w:hAnsi="楷体" w:eastAsia="楷体" w:cs="楷体"/>
                <w:kern w:val="0"/>
                <w:szCs w:val="21"/>
              </w:rPr>
            </w:pPr>
            <w:r>
              <w:rPr>
                <w:rFonts w:hint="eastAsia" w:ascii="楷体" w:hAnsi="楷体" w:eastAsia="楷体" w:cs="楷体"/>
                <w:color w:val="000000" w:themeColor="text1"/>
                <w:kern w:val="0"/>
                <w:szCs w:val="21"/>
                <w14:textFill>
                  <w14:solidFill>
                    <w14:schemeClr w14:val="tx1"/>
                  </w14:solidFill>
                </w14:textFill>
              </w:rPr>
              <w:t>详见“七、申购和赎回”部分。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资金来源限制</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color w:val="000000" w:themeColor="text1"/>
                <w:kern w:val="0"/>
                <w:szCs w:val="21"/>
                <w14:textFill>
                  <w14:solidFill>
                    <w14:schemeClr w14:val="tx1"/>
                  </w14:solidFill>
                </w14:textFill>
              </w:rPr>
            </w:pPr>
            <w:r>
              <w:rPr>
                <w:rFonts w:hint="eastAsia" w:ascii="楷体" w:hAnsi="楷体" w:eastAsia="楷体" w:cs="Arial Unicode MS"/>
                <w:b/>
                <w:bCs/>
                <w:color w:val="000000" w:themeColor="text1"/>
                <w:kern w:val="0"/>
                <w:szCs w:val="18"/>
                <w14:textFill>
                  <w14:solidFill>
                    <w14:schemeClr w14:val="tx1"/>
                  </w14:solidFill>
                </w14:textFill>
              </w:rPr>
              <w:t>投资者不得使用贷款、发行债券等筹集的非自有资金投资本理财产品。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巨额赎回限制</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Arial Unicode MS"/>
                <w:b/>
                <w:bCs/>
                <w:color w:val="000000" w:themeColor="text1"/>
                <w:kern w:val="0"/>
                <w:szCs w:val="18"/>
                <w14:textFill>
                  <w14:solidFill>
                    <w14:schemeClr w14:val="tx1"/>
                  </w14:solidFill>
                </w14:textFill>
              </w:rPr>
            </w:pPr>
            <w:r>
              <w:rPr>
                <w:rFonts w:hint="eastAsia" w:ascii="楷体" w:hAnsi="楷体" w:eastAsia="楷体" w:cs="Arial Unicode MS"/>
                <w:b/>
                <w:bCs/>
                <w:color w:val="000000" w:themeColor="text1"/>
                <w:kern w:val="0"/>
                <w:szCs w:val="21"/>
                <w14:textFill>
                  <w14:solidFill>
                    <w14:schemeClr w14:val="tx1"/>
                  </w14:solidFill>
                </w14:textFill>
              </w:rPr>
              <w:t>本理财产品单个开放日净赎回申请份额（赎回申请份额总数扣除申购申请份额总数）超过前一日终理财产品总份额的</w:t>
            </w:r>
            <w:r>
              <w:rPr>
                <w:rFonts w:ascii="楷体" w:hAnsi="楷体" w:eastAsia="楷体" w:cs="Arial Unicode MS"/>
                <w:b/>
                <w:bCs/>
                <w:color w:val="000000" w:themeColor="text1"/>
                <w:kern w:val="0"/>
                <w:szCs w:val="21"/>
                <w14:textFill>
                  <w14:solidFill>
                    <w14:schemeClr w14:val="tx1"/>
                  </w14:solidFill>
                </w14:textFill>
              </w:rPr>
              <w:t>10%</w:t>
            </w:r>
            <w:r>
              <w:rPr>
                <w:rFonts w:hint="eastAsia" w:ascii="楷体" w:hAnsi="楷体" w:eastAsia="楷体" w:cs="Arial Unicode MS"/>
                <w:b/>
                <w:bCs/>
                <w:kern w:val="0"/>
                <w:szCs w:val="18"/>
              </w:rPr>
              <w:t>时</w:t>
            </w:r>
            <w:r>
              <w:rPr>
                <w:rFonts w:ascii="楷体" w:hAnsi="楷体" w:eastAsia="楷体" w:cs="Arial Unicode MS"/>
                <w:b/>
                <w:bCs/>
                <w:kern w:val="0"/>
                <w:szCs w:val="18"/>
              </w:rPr>
              <w:t>，</w:t>
            </w:r>
            <w:r>
              <w:rPr>
                <w:rFonts w:hint="eastAsia" w:ascii="楷体" w:hAnsi="楷体" w:eastAsia="楷体" w:cs="Arial Unicode MS"/>
                <w:b/>
                <w:bCs/>
                <w:kern w:val="0"/>
                <w:szCs w:val="18"/>
              </w:rPr>
              <w:t>产</w:t>
            </w:r>
            <w:r>
              <w:rPr>
                <w:rFonts w:hint="eastAsia" w:ascii="楷体" w:hAnsi="楷体" w:eastAsia="楷体" w:cs="Arial Unicode MS"/>
                <w:b/>
                <w:bCs/>
                <w:color w:val="000000" w:themeColor="text1"/>
                <w:kern w:val="0"/>
                <w:szCs w:val="18"/>
                <w14:textFill>
                  <w14:solidFill>
                    <w14:schemeClr w14:val="tx1"/>
                  </w14:solidFill>
                </w14:textFill>
              </w:rPr>
              <w:t>品管理人</w:t>
            </w:r>
            <w:r>
              <w:rPr>
                <w:rFonts w:ascii="楷体" w:hAnsi="楷体" w:eastAsia="楷体" w:cs="Arial Unicode MS"/>
                <w:b/>
                <w:bCs/>
                <w:color w:val="000000" w:themeColor="text1"/>
                <w:kern w:val="0"/>
                <w:szCs w:val="18"/>
                <w14:textFill>
                  <w14:solidFill>
                    <w14:schemeClr w14:val="tx1"/>
                  </w14:solidFill>
                </w14:textFill>
              </w:rPr>
              <w:t>有权启动</w:t>
            </w:r>
            <w:r>
              <w:rPr>
                <w:rFonts w:hint="eastAsia" w:ascii="楷体" w:hAnsi="楷体" w:eastAsia="楷体" w:cs="Arial Unicode MS"/>
                <w:b/>
                <w:bCs/>
                <w:color w:val="000000" w:themeColor="text1"/>
                <w:kern w:val="0"/>
                <w:szCs w:val="18"/>
                <w14:textFill>
                  <w14:solidFill>
                    <w14:schemeClr w14:val="tx1"/>
                  </w14:solidFill>
                </w14:textFill>
              </w:rPr>
              <w:t>巨额赎回限制条款</w:t>
            </w:r>
            <w:r>
              <w:rPr>
                <w:rFonts w:ascii="楷体" w:hAnsi="楷体" w:eastAsia="楷体" w:cs="Arial Unicode MS"/>
                <w:b/>
                <w:bCs/>
                <w:color w:val="000000" w:themeColor="text1"/>
                <w:kern w:val="0"/>
                <w:szCs w:val="18"/>
                <w14:textFill>
                  <w14:solidFill>
                    <w14:schemeClr w14:val="tx1"/>
                  </w14:solidFill>
                </w14:textFill>
              </w:rPr>
              <w:t>，详见</w:t>
            </w:r>
            <w:r>
              <w:rPr>
                <w:rFonts w:hint="eastAsia" w:ascii="楷体" w:hAnsi="楷体" w:eastAsia="楷体" w:cs="楷体"/>
                <w:b/>
                <w:bCs/>
                <w:color w:val="000000" w:themeColor="text1"/>
                <w:kern w:val="0"/>
                <w:szCs w:val="21"/>
                <w14:textFill>
                  <w14:solidFill>
                    <w14:schemeClr w14:val="tx1"/>
                  </w14:solidFill>
                </w14:textFill>
              </w:rPr>
              <w:t>“七、申购和赎回”</w:t>
            </w:r>
            <w:r>
              <w:rPr>
                <w:rFonts w:hint="eastAsia" w:ascii="楷体" w:hAnsi="楷体" w:eastAsia="楷体" w:cs="Arial Unicode MS"/>
                <w:b/>
                <w:bCs/>
                <w:color w:val="000000" w:themeColor="text1"/>
                <w:kern w:val="0"/>
                <w:szCs w:val="18"/>
                <w14:textFill>
                  <w14:solidFill>
                    <w14:schemeClr w14:val="tx1"/>
                  </w14:solidFill>
                </w14:textFill>
              </w:rPr>
              <w:t>的第（七）部分“巨额赎回限制”。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s="楷体"/>
                <w:b/>
                <w:bCs/>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业绩比较基准及测算</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b/>
                <w:bCs/>
                <w:szCs w:val="21"/>
              </w:rPr>
            </w:pPr>
            <w:r>
              <w:rPr>
                <w:rFonts w:hint="eastAsia" w:ascii="楷体" w:hAnsi="楷体" w:eastAsia="楷体" w:cs="楷体"/>
                <w:color w:val="000000" w:themeColor="text1"/>
                <w:szCs w:val="21"/>
                <w14:textFill>
                  <w14:solidFill>
                    <w14:schemeClr w14:val="tx1"/>
                  </w14:solidFill>
                </w14:textFill>
              </w:rPr>
              <w:t>本产品</w:t>
            </w:r>
            <w:r>
              <w:rPr>
                <w:rFonts w:hint="eastAsia" w:ascii="楷体" w:hAnsi="楷体" w:eastAsia="楷体" w:cs="楷体"/>
                <w:szCs w:val="21"/>
              </w:rPr>
              <w:t>B类份额业绩比较基准为【2.00%-2.40%】（年化），生效日期：2026年5月8日（如业绩比较基准调整，将根据信息披露规则进行披露）。业绩比较基准用年化收益率表示，是产品管理人基于产品性质、投资策略、过往经验等因素对产品设定的投资目标，</w:t>
            </w:r>
            <w:r>
              <w:rPr>
                <w:rFonts w:hint="eastAsia" w:ascii="楷体" w:hAnsi="楷体" w:eastAsia="楷体" w:cs="楷体"/>
                <w:b/>
                <w:bCs/>
                <w:szCs w:val="21"/>
              </w:rPr>
              <w:t>仅用于评价投资结果和测算业绩报酬，业绩比较基准不是预期收益率，不代表产品的未来表现和实际收益，不构成对产品收益的承诺。</w:t>
            </w:r>
          </w:p>
          <w:p>
            <w:pPr>
              <w:widowControl/>
              <w:autoSpaceDE w:val="0"/>
              <w:autoSpaceDN w:val="0"/>
              <w:ind w:left="8" w:hanging="8" w:hangingChars="4"/>
              <w:rPr>
                <w:rFonts w:ascii="楷体" w:hAnsi="楷体" w:eastAsia="楷体" w:cs="楷体"/>
                <w:b/>
                <w:bCs/>
                <w:szCs w:val="21"/>
              </w:rPr>
            </w:pPr>
            <w:r>
              <w:rPr>
                <w:rFonts w:hint="eastAsia" w:ascii="楷体" w:hAnsi="楷体" w:eastAsia="楷体" w:cs="楷体"/>
                <w:b/>
                <w:bCs/>
                <w:szCs w:val="21"/>
              </w:rPr>
              <w:t>业绩比较基准测算：</w:t>
            </w:r>
          </w:p>
          <w:p>
            <w:pPr>
              <w:widowControl/>
              <w:autoSpaceDE w:val="0"/>
              <w:autoSpaceDN w:val="0"/>
              <w:ind w:left="8" w:hanging="8" w:hangingChars="4"/>
              <w:rPr>
                <w:rFonts w:ascii="楷体" w:hAnsi="楷体" w:eastAsia="楷体" w:cs="楷体"/>
                <w:szCs w:val="21"/>
              </w:rPr>
            </w:pPr>
            <w:r>
              <w:rPr>
                <w:rFonts w:hint="eastAsia" w:ascii="楷体" w:hAnsi="楷体" w:eastAsia="楷体" w:cs="楷体"/>
                <w:szCs w:val="21"/>
              </w:rPr>
              <w:t>业绩比较基准由产品管理人依据理财产品的投资范围、投资策略、资产配置计划，并综合考虑市场环境等因素测算。</w:t>
            </w:r>
          </w:p>
          <w:p>
            <w:pPr>
              <w:widowControl/>
              <w:autoSpaceDE w:val="0"/>
              <w:autoSpaceDN w:val="0"/>
              <w:ind w:left="8" w:hanging="8" w:hangingChars="4"/>
              <w:rPr>
                <w:rFonts w:ascii="楷体" w:hAnsi="楷体" w:eastAsia="楷体" w:cs="楷体"/>
                <w:szCs w:val="21"/>
              </w:rPr>
            </w:pPr>
            <w:r>
              <w:rPr>
                <w:rFonts w:hint="eastAsia" w:ascii="楷体" w:hAnsi="楷体" w:eastAsia="楷体" w:cs="楷体"/>
                <w:szCs w:val="21"/>
              </w:rPr>
              <w:t>本理财产品为【固定收益类】产品，主要投资于【债券、存款、货币市场工具等固定收益类资产，并通过投资基金、股票等配置少量权益类资产，同时适当参与商品以及金融衍生品交易】。以产品【投资货币市场工具仓位0%-20%，存款仓位0%-20%，利率债仓位0%-10%，信用债仓位20%-100%，权益类资产仓位0%-10%，商品与金融衍生品类资产仓位0%-5%，组合杠杆率110%】为例，业绩比较基准参考本产品发行时已知的【SGE黄金9999】、【沪深300指数】、【中债-新综合财富（1年以下）指数】，考虑本理财产品综合费率、资本利得收益并结合产品投资策略进行测算得出。 (产品示例仅供参考，具体投资比例可根据各类资产的收益水平、流动性特征、信用风险等因素动态调整，投资范围、投资限制、投资策略详见“二、理财产品投资”部分。)</w:t>
            </w:r>
          </w:p>
          <w:p>
            <w:pPr>
              <w:widowControl/>
              <w:autoSpaceDE w:val="0"/>
              <w:autoSpaceDN w:val="0"/>
              <w:ind w:left="8" w:hanging="8" w:hangingChars="4"/>
              <w:rPr>
                <w:rFonts w:ascii="楷体" w:hAnsi="楷体" w:eastAsia="楷体" w:cs="楷体"/>
                <w:b/>
                <w:bCs/>
                <w:color w:val="000000" w:themeColor="text1"/>
                <w:kern w:val="0"/>
                <w:szCs w:val="21"/>
                <w14:textFill>
                  <w14:solidFill>
                    <w14:schemeClr w14:val="tx1"/>
                  </w14:solidFill>
                </w14:textFill>
              </w:rPr>
            </w:pPr>
            <w:r>
              <w:rPr>
                <w:rFonts w:hint="eastAsia" w:ascii="楷体" w:hAnsi="楷体" w:eastAsia="楷体" w:cs="楷体"/>
                <w:b/>
                <w:szCs w:val="21"/>
              </w:rPr>
              <w:t>当监管政策、市场环境、产品性质等因素发生变化，导致理财产品的业绩比较基准必须进行调整时，产品管理人有权调整产品业绩比较基准，并至少提前【3】个工作日通过相应信息披露渠道公布调整情况和调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赎回款项到账日</w:t>
            </w:r>
          </w:p>
        </w:tc>
        <w:tc>
          <w:tcPr>
            <w:tcW w:w="6727" w:type="dxa"/>
            <w:tcBorders>
              <w:bottom w:val="single" w:color="auto" w:sz="4" w:space="0"/>
            </w:tcBorders>
            <w:vAlign w:val="center"/>
          </w:tcPr>
          <w:p>
            <w:pPr>
              <w:pStyle w:val="10"/>
              <w:widowControl w:val="0"/>
              <w:overflowPunct w:val="0"/>
              <w:topLinePunct/>
              <w:autoSpaceDE w:val="0"/>
              <w:autoSpaceDN w:val="0"/>
              <w:spacing w:before="0" w:beforeAutospacing="0" w:after="0" w:afterAutospacing="0"/>
              <w:jc w:val="both"/>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投资者赎回申请</w:t>
            </w:r>
            <w:r>
              <w:rPr>
                <w:rFonts w:ascii="楷体" w:hAnsi="楷体" w:eastAsia="楷体" w:cs="楷体"/>
                <w:color w:val="000000" w:themeColor="text1"/>
                <w:sz w:val="21"/>
                <w:szCs w:val="21"/>
                <w14:textFill>
                  <w14:solidFill>
                    <w14:schemeClr w14:val="tx1"/>
                  </w14:solidFill>
                </w14:textFill>
              </w:rPr>
              <w:t>成功后，</w:t>
            </w:r>
            <w:r>
              <w:rPr>
                <w:rFonts w:hint="eastAsia" w:ascii="楷体" w:hAnsi="楷体" w:eastAsia="楷体" w:cs="楷体"/>
                <w:color w:val="000000" w:themeColor="text1"/>
                <w:sz w:val="21"/>
                <w:szCs w:val="21"/>
                <w14:textFill>
                  <w14:solidFill>
                    <w14:schemeClr w14:val="tx1"/>
                  </w14:solidFill>
                </w14:textFill>
              </w:rPr>
              <w:t>赎回款项于理财产品赎回确认日后【</w:t>
            </w:r>
            <w:r>
              <w:rPr>
                <w:rFonts w:ascii="楷体" w:hAnsi="楷体" w:eastAsia="楷体" w:cs="楷体"/>
                <w:color w:val="000000" w:themeColor="text1"/>
                <w:sz w:val="21"/>
                <w:szCs w:val="21"/>
                <w14:textFill>
                  <w14:solidFill>
                    <w14:schemeClr w14:val="tx1"/>
                  </w14:solidFill>
                </w14:textFill>
              </w:rPr>
              <w:t>2</w:t>
            </w:r>
            <w:r>
              <w:rPr>
                <w:rFonts w:hint="eastAsia" w:ascii="楷体" w:hAnsi="楷体" w:eastAsia="楷体" w:cs="楷体"/>
                <w:color w:val="000000" w:themeColor="text1"/>
                <w:sz w:val="21"/>
                <w:szCs w:val="21"/>
                <w14:textFill>
                  <w14:solidFill>
                    <w14:schemeClr w14:val="tx1"/>
                  </w14:solidFill>
                </w14:textFill>
              </w:rPr>
              <w:t>】个工作日内到账。在触动巨额赎回限制时</w:t>
            </w:r>
            <w:r>
              <w:rPr>
                <w:rFonts w:ascii="楷体" w:hAnsi="楷体" w:eastAsia="楷体" w:cs="楷体"/>
                <w:color w:val="000000" w:themeColor="text1"/>
                <w:sz w:val="21"/>
                <w:szCs w:val="21"/>
                <w14:textFill>
                  <w14:solidFill>
                    <w14:schemeClr w14:val="tx1"/>
                  </w14:solidFill>
                </w14:textFill>
              </w:rPr>
              <w:t>，</w:t>
            </w:r>
            <w:r>
              <w:rPr>
                <w:rFonts w:hint="eastAsia" w:ascii="楷体" w:hAnsi="楷体" w:eastAsia="楷体" w:cs="楷体"/>
                <w:color w:val="000000" w:themeColor="text1"/>
                <w:sz w:val="21"/>
                <w:szCs w:val="21"/>
                <w14:textFill>
                  <w14:solidFill>
                    <w14:schemeClr w14:val="tx1"/>
                  </w14:solidFill>
                </w14:textFill>
              </w:rPr>
              <w:t>赎回款项</w:t>
            </w:r>
            <w:r>
              <w:rPr>
                <w:rFonts w:ascii="楷体" w:hAnsi="楷体" w:eastAsia="楷体" w:cs="楷体"/>
                <w:color w:val="000000" w:themeColor="text1"/>
                <w:sz w:val="21"/>
                <w:szCs w:val="21"/>
                <w14:textFill>
                  <w14:solidFill>
                    <w14:schemeClr w14:val="tx1"/>
                  </w14:solidFill>
                </w14:textFill>
              </w:rPr>
              <w:t>的支付按照“</w:t>
            </w:r>
            <w:r>
              <w:rPr>
                <w:rFonts w:hint="eastAsia" w:ascii="楷体" w:hAnsi="楷体" w:eastAsia="楷体" w:cs="楷体"/>
                <w:color w:val="000000" w:themeColor="text1"/>
                <w:sz w:val="21"/>
                <w:szCs w:val="21"/>
                <w14:textFill>
                  <w14:solidFill>
                    <w14:schemeClr w14:val="tx1"/>
                  </w14:solidFill>
                </w14:textFill>
              </w:rPr>
              <w:t>七</w:t>
            </w:r>
            <w:r>
              <w:rPr>
                <w:rFonts w:ascii="楷体" w:hAnsi="楷体" w:eastAsia="楷体" w:cs="楷体"/>
                <w:color w:val="000000" w:themeColor="text1"/>
                <w:sz w:val="21"/>
                <w:szCs w:val="21"/>
                <w14:textFill>
                  <w14:solidFill>
                    <w14:schemeClr w14:val="tx1"/>
                  </w14:solidFill>
                </w14:textFill>
              </w:rPr>
              <w:t>、</w:t>
            </w:r>
            <w:r>
              <w:rPr>
                <w:rFonts w:hint="eastAsia" w:ascii="楷体" w:hAnsi="楷体" w:eastAsia="楷体" w:cs="楷体"/>
                <w:color w:val="000000" w:themeColor="text1"/>
                <w:sz w:val="21"/>
                <w:szCs w:val="21"/>
                <w14:textFill>
                  <w14:solidFill>
                    <w14:schemeClr w14:val="tx1"/>
                  </w14:solidFill>
                </w14:textFill>
              </w:rPr>
              <w:t>申购</w:t>
            </w:r>
            <w:r>
              <w:rPr>
                <w:rFonts w:ascii="楷体" w:hAnsi="楷体" w:eastAsia="楷体" w:cs="楷体"/>
                <w:color w:val="000000" w:themeColor="text1"/>
                <w:sz w:val="21"/>
                <w:szCs w:val="21"/>
                <w14:textFill>
                  <w14:solidFill>
                    <w14:schemeClr w14:val="tx1"/>
                  </w14:solidFill>
                </w14:textFill>
              </w:rPr>
              <w:t>和赎回”</w:t>
            </w:r>
            <w:r>
              <w:rPr>
                <w:rFonts w:hint="eastAsia" w:ascii="楷体" w:hAnsi="楷体" w:eastAsia="楷体" w:cs="楷体"/>
                <w:color w:val="000000" w:themeColor="text1"/>
                <w:sz w:val="21"/>
                <w:szCs w:val="21"/>
                <w14:textFill>
                  <w14:solidFill>
                    <w14:schemeClr w14:val="tx1"/>
                  </w14:solidFill>
                </w14:textFill>
              </w:rPr>
              <w:t>的</w:t>
            </w:r>
            <w:r>
              <w:rPr>
                <w:rFonts w:ascii="楷体" w:hAnsi="楷体" w:eastAsia="楷体" w:cs="楷体"/>
                <w:color w:val="000000" w:themeColor="text1"/>
                <w:sz w:val="21"/>
                <w:szCs w:val="21"/>
                <w14:textFill>
                  <w14:solidFill>
                    <w14:schemeClr w14:val="tx1"/>
                  </w14:solidFill>
                </w14:textFill>
              </w:rPr>
              <w:t>第（</w:t>
            </w:r>
            <w:r>
              <w:rPr>
                <w:rFonts w:hint="eastAsia" w:ascii="楷体" w:hAnsi="楷体" w:eastAsia="楷体" w:cs="楷体"/>
                <w:color w:val="000000" w:themeColor="text1"/>
                <w:sz w:val="21"/>
                <w:szCs w:val="21"/>
                <w14:textFill>
                  <w14:solidFill>
                    <w14:schemeClr w14:val="tx1"/>
                  </w14:solidFill>
                </w14:textFill>
              </w:rPr>
              <w:t>七</w:t>
            </w:r>
            <w:r>
              <w:rPr>
                <w:rFonts w:ascii="楷体" w:hAnsi="楷体" w:eastAsia="楷体" w:cs="楷体"/>
                <w:color w:val="000000" w:themeColor="text1"/>
                <w:sz w:val="21"/>
                <w:szCs w:val="21"/>
                <w14:textFill>
                  <w14:solidFill>
                    <w14:schemeClr w14:val="tx1"/>
                  </w14:solidFill>
                </w14:textFill>
              </w:rPr>
              <w:t>）部分</w:t>
            </w:r>
            <w:r>
              <w:rPr>
                <w:rFonts w:hint="eastAsia" w:ascii="楷体" w:hAnsi="楷体" w:eastAsia="楷体" w:cs="楷体"/>
                <w:color w:val="000000" w:themeColor="text1"/>
                <w:sz w:val="21"/>
                <w:szCs w:val="21"/>
                <w14:textFill>
                  <w14:solidFill>
                    <w14:schemeClr w14:val="tx1"/>
                  </w14:solidFill>
                </w14:textFill>
              </w:rPr>
              <w:t>“巨额赎回限制</w:t>
            </w:r>
            <w:r>
              <w:rPr>
                <w:rFonts w:ascii="楷体" w:hAnsi="楷体" w:eastAsia="楷体" w:cs="楷体"/>
                <w:color w:val="000000" w:themeColor="text1"/>
                <w:sz w:val="21"/>
                <w:szCs w:val="21"/>
                <w14:textFill>
                  <w14:solidFill>
                    <w14:schemeClr w14:val="tx1"/>
                  </w14:solidFill>
                </w14:textFill>
              </w:rPr>
              <w:t>”</w:t>
            </w:r>
            <w:r>
              <w:rPr>
                <w:rFonts w:hint="eastAsia" w:ascii="楷体" w:hAnsi="楷体" w:eastAsia="楷体" w:cs="楷体"/>
                <w:color w:val="000000" w:themeColor="text1"/>
                <w:sz w:val="21"/>
                <w:szCs w:val="21"/>
                <w14:textFill>
                  <w14:solidFill>
                    <w14:schemeClr w14:val="tx1"/>
                  </w14:solidFill>
                </w14:textFill>
              </w:rPr>
              <w:t>的</w:t>
            </w:r>
            <w:r>
              <w:rPr>
                <w:rFonts w:ascii="楷体" w:hAnsi="楷体" w:eastAsia="楷体" w:cs="楷体"/>
                <w:color w:val="000000" w:themeColor="text1"/>
                <w:sz w:val="21"/>
                <w:szCs w:val="21"/>
                <w14:textFill>
                  <w14:solidFill>
                    <w14:schemeClr w14:val="tx1"/>
                  </w14:solidFill>
                </w14:textFill>
              </w:rPr>
              <w:t>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340" w:type="dxa"/>
            <w:tcBorders>
              <w:bottom w:val="single" w:color="auto" w:sz="4" w:space="0"/>
            </w:tcBorders>
            <w:vAlign w:val="center"/>
          </w:tcPr>
          <w:p>
            <w:pPr>
              <w:pStyle w:val="10"/>
              <w:widowControl w:val="0"/>
              <w:tabs>
                <w:tab w:val="left" w:pos="720"/>
              </w:tabs>
              <w:topLinePunct/>
              <w:adjustRightInd w:val="0"/>
              <w:snapToGrid w:val="0"/>
              <w:spacing w:before="0" w:beforeAutospacing="0" w:after="0" w:afterAutospacing="0" w:line="360" w:lineRule="exact"/>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21"/>
                <w14:textFill>
                  <w14:solidFill>
                    <w14:schemeClr w14:val="tx1"/>
                  </w14:solidFill>
                </w14:textFill>
              </w:rPr>
              <w:t>理财产品费用</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固定管理费：【0.20%】</w:t>
            </w:r>
            <w:r>
              <w:rPr>
                <w:rFonts w:ascii="楷体" w:hAnsi="楷体" w:eastAsia="楷体" w:cs="楷体"/>
                <w:b/>
                <w:color w:val="000000" w:themeColor="text1"/>
                <w:kern w:val="0"/>
                <w:szCs w:val="21"/>
                <w14:textFill>
                  <w14:solidFill>
                    <w14:schemeClr w14:val="tx1"/>
                  </w14:solidFill>
                </w14:textFill>
              </w:rPr>
              <w:t>（年化）</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销售服务费</w:t>
            </w:r>
            <w:r>
              <w:rPr>
                <w:rFonts w:ascii="楷体" w:hAnsi="楷体" w:eastAsia="楷体" w:cs="楷体"/>
                <w:b/>
                <w:color w:val="000000" w:themeColor="text1"/>
                <w:kern w:val="0"/>
                <w:szCs w:val="21"/>
                <w14:textFill>
                  <w14:solidFill>
                    <w14:schemeClr w14:val="tx1"/>
                  </w14:solidFill>
                </w14:textFill>
              </w:rPr>
              <w:t>：</w:t>
            </w:r>
            <w:r>
              <w:rPr>
                <w:rFonts w:hint="eastAsia" w:ascii="楷体" w:hAnsi="楷体" w:eastAsia="楷体"/>
                <w:b/>
                <w:szCs w:val="18"/>
              </w:rPr>
              <w:t>B类份额【0.30%】（年化）</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托管费：【0.02%】（年化）</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认购费、赎回费：【0.00</w:t>
            </w:r>
            <w:r>
              <w:rPr>
                <w:rFonts w:ascii="楷体" w:hAnsi="楷体" w:eastAsia="楷体" w:cs="楷体"/>
                <w:b/>
                <w:color w:val="000000" w:themeColor="text1"/>
                <w:kern w:val="0"/>
                <w:szCs w:val="21"/>
                <w14:textFill>
                  <w14:solidFill>
                    <w14:schemeClr w14:val="tx1"/>
                  </w14:solidFill>
                </w14:textFill>
              </w:rPr>
              <w:t>%</w:t>
            </w:r>
            <w:r>
              <w:rPr>
                <w:rFonts w:hint="eastAsia" w:ascii="楷体" w:hAnsi="楷体" w:eastAsia="楷体" w:cs="楷体"/>
                <w:b/>
                <w:color w:val="000000" w:themeColor="text1"/>
                <w:kern w:val="0"/>
                <w:szCs w:val="21"/>
                <w14:textFill>
                  <w14:solidFill>
                    <w14:schemeClr w14:val="tx1"/>
                  </w14:solidFill>
                </w14:textFill>
              </w:rPr>
              <w:t>】</w:t>
            </w:r>
          </w:p>
          <w:p>
            <w:pPr>
              <w:widowControl/>
              <w:autoSpaceDE w:val="0"/>
              <w:autoSpaceDN w:val="0"/>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申购费：【0.00</w:t>
            </w:r>
            <w:r>
              <w:rPr>
                <w:rFonts w:ascii="楷体" w:hAnsi="楷体" w:eastAsia="楷体" w:cs="楷体"/>
                <w:b/>
                <w:color w:val="000000" w:themeColor="text1"/>
                <w:kern w:val="0"/>
                <w:szCs w:val="21"/>
                <w14:textFill>
                  <w14:solidFill>
                    <w14:schemeClr w14:val="tx1"/>
                  </w14:solidFill>
                </w14:textFill>
              </w:rPr>
              <w:t>%</w:t>
            </w:r>
            <w:r>
              <w:rPr>
                <w:rFonts w:hint="eastAsia" w:ascii="楷体" w:hAnsi="楷体" w:eastAsia="楷体" w:cs="楷体"/>
                <w:b/>
                <w:color w:val="000000" w:themeColor="text1"/>
                <w:kern w:val="0"/>
                <w:szCs w:val="21"/>
                <w14:textFill>
                  <w14:solidFill>
                    <w14:schemeClr w14:val="tx1"/>
                  </w14:solidFill>
                </w14:textFill>
              </w:rPr>
              <w:t>】</w:t>
            </w:r>
          </w:p>
          <w:p>
            <w:pPr>
              <w:widowControl/>
              <w:autoSpaceDE w:val="0"/>
              <w:autoSpaceDN w:val="0"/>
              <w:rPr>
                <w:rFonts w:ascii="楷体" w:hAnsi="楷体" w:eastAsia="楷体" w:cs="楷体"/>
                <w:b/>
                <w:kern w:val="0"/>
                <w:szCs w:val="21"/>
              </w:rPr>
            </w:pPr>
            <w:r>
              <w:rPr>
                <w:rFonts w:hint="eastAsia" w:ascii="楷体" w:hAnsi="楷体" w:eastAsia="楷体" w:cs="楷体"/>
                <w:b/>
                <w:kern w:val="0"/>
                <w:szCs w:val="21"/>
              </w:rPr>
              <w:t>超额业绩报酬：本理财产品暂不收取超额业绩报酬。（中银理财有权根据市场及产品运作情况调整超额业绩报酬的收费条件、标准和方式，并至少提前</w:t>
            </w:r>
            <w:r>
              <w:rPr>
                <w:rFonts w:ascii="楷体" w:hAnsi="楷体" w:eastAsia="楷体" w:cs="楷体"/>
                <w:b/>
                <w:kern w:val="0"/>
                <w:szCs w:val="21"/>
              </w:rPr>
              <w:t>3个工作日事先通过本产品说明书约定的信息披露渠道进行公告。若投资者在公告约定的收费起始日（不含当日）之前已经完成本产品的认购、申购申请，即投资者提出认购、申购申请的日期在公告约定的收费起始日（不含当日）之前，则就该等份额而言不适用超额业绩报酬收取的相关条款；若投资者在公告约定的收费起始日（含当日）后提出认购、申购申请，即投资者申请认购、申购的日期在公告约定的收费起始日（含当日）之后，则仅对此类份额适用超额业绩报酬收取的相关</w:t>
            </w:r>
            <w:r>
              <w:rPr>
                <w:rFonts w:hint="eastAsia" w:ascii="楷体" w:hAnsi="楷体" w:eastAsia="楷体" w:cs="楷体"/>
                <w:b/>
                <w:kern w:val="0"/>
                <w:szCs w:val="21"/>
              </w:rPr>
              <w:t>条款，超额业绩报酬的收费条件、标准和方式等要素以管理人公告约定为准。举例：若公告约定的收费起始日为</w:t>
            </w:r>
            <w:r>
              <w:rPr>
                <w:rFonts w:ascii="楷体" w:hAnsi="楷体" w:eastAsia="楷体" w:cs="楷体"/>
                <w:b/>
                <w:kern w:val="0"/>
                <w:szCs w:val="21"/>
              </w:rPr>
              <w:t>T日，投资者分别在T日（不含当日）之前申请申购本理财产品份额、T日当日申请追加申购本理财产品份额，则在T日（不含当日）之前申购的理财产品份额不适用超额业绩报酬收取的相关条款，而在T日当日追加申购的理财产品份额适用于超额业绩报酬收取的相关条款。）</w:t>
            </w:r>
          </w:p>
          <w:p>
            <w:pPr>
              <w:widowControl/>
              <w:autoSpaceDE w:val="0"/>
              <w:autoSpaceDN w:val="0"/>
              <w:rPr>
                <w:rFonts w:ascii="楷体" w:hAnsi="楷体" w:eastAsia="楷体" w:cs="Arial Unicode MS"/>
                <w:b/>
                <w:kern w:val="0"/>
                <w:szCs w:val="21"/>
              </w:rPr>
            </w:pPr>
            <w:r>
              <w:rPr>
                <w:rFonts w:hint="eastAsia" w:ascii="楷体" w:hAnsi="楷体" w:eastAsia="楷体" w:cs="楷体"/>
                <w:b/>
                <w:color w:val="000000" w:themeColor="text1"/>
                <w:kern w:val="0"/>
                <w:szCs w:val="21"/>
                <w14:textFill>
                  <w14:solidFill>
                    <w14:schemeClr w14:val="tx1"/>
                  </w14:solidFill>
                </w14:textFill>
              </w:rPr>
              <w:t>其他：1、投资账户开立及维护费、交易手续费、资金汇划费、清算费；2、与产品相</w:t>
            </w:r>
            <w:r>
              <w:rPr>
                <w:rFonts w:hint="eastAsia" w:ascii="楷体" w:hAnsi="楷体" w:eastAsia="楷体" w:cs="Arial Unicode MS"/>
                <w:b/>
                <w:kern w:val="0"/>
                <w:szCs w:val="21"/>
              </w:rPr>
              <w:t>关的审计费、诉讼费、仲裁费、律师费、执行费、信息披露费；3、增值税及附加税费等；4、以及其他按照国家有关规定可以列入的费用。上述税费（如有）在实际发生时按照实际发生额支付。</w:t>
            </w:r>
          </w:p>
          <w:p>
            <w:pPr>
              <w:widowControl/>
              <w:autoSpaceDE w:val="0"/>
              <w:autoSpaceDN w:val="0"/>
              <w:jc w:val="left"/>
              <w:rPr>
                <w:rFonts w:ascii="楷体" w:hAnsi="楷体" w:eastAsia="楷体" w:cs="楷体"/>
                <w:b/>
                <w:color w:val="000000" w:themeColor="text1"/>
                <w:kern w:val="0"/>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上述产品费用详见“五、理财产品费用”部分。</w:t>
            </w:r>
          </w:p>
          <w:p>
            <w:pPr>
              <w:widowControl/>
              <w:autoSpaceDE w:val="0"/>
              <w:autoSpaceDN w:val="0"/>
              <w:jc w:val="left"/>
              <w:rPr>
                <w:rFonts w:ascii="楷体" w:hAnsi="楷体" w:eastAsia="楷体"/>
                <w:b/>
                <w:color w:val="000000" w:themeColor="text1"/>
                <w:szCs w:val="18"/>
                <w14:textFill>
                  <w14:solidFill>
                    <w14:schemeClr w14:val="tx1"/>
                  </w14:solidFill>
                </w14:textFill>
              </w:rPr>
            </w:pPr>
            <w:r>
              <w:rPr>
                <w:rFonts w:hint="eastAsia" w:ascii="楷体" w:hAnsi="楷体" w:eastAsia="楷体" w:cs="楷体"/>
                <w:b/>
                <w:color w:val="000000" w:themeColor="text1"/>
                <w:kern w:val="0"/>
                <w:szCs w:val="21"/>
                <w14:textFill>
                  <w14:solidFill>
                    <w14:schemeClr w14:val="tx1"/>
                  </w14:solidFill>
                </w14:textFill>
              </w:rPr>
              <w:t>各销售机构或各类份额的销售服务费或有不同。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理财产品收益分配</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i/>
                <w:color w:val="000000" w:themeColor="text1"/>
                <w:kern w:val="0"/>
                <w14:textFill>
                  <w14:solidFill>
                    <w14:schemeClr w14:val="tx1"/>
                  </w14:solidFill>
                </w14:textFill>
              </w:rPr>
            </w:pPr>
            <w:r>
              <w:rPr>
                <w:rFonts w:hint="eastAsia" w:ascii="楷体" w:hAnsi="楷体" w:eastAsia="楷体"/>
                <w:color w:val="000000" w:themeColor="text1"/>
                <w:szCs w:val="18"/>
                <w14:textFill>
                  <w14:solidFill>
                    <w14:schemeClr w14:val="tx1"/>
                  </w14:solidFill>
                </w14:textFill>
              </w:rPr>
              <w:t>当理财产品份额净值高于面值时可进行收益分配，理财产品收益分配后将相应调减理财产品份额净值，调减后的每份理财产品份额的净值不能低于面值。</w:t>
            </w:r>
            <w:r>
              <w:rPr>
                <w:rFonts w:hint="eastAsia" w:ascii="楷体" w:hAnsi="楷体" w:eastAsia="楷体" w:cs="楷体"/>
                <w:color w:val="000000" w:themeColor="text1"/>
                <w:szCs w:val="21"/>
                <w14:textFill>
                  <w14:solidFill>
                    <w14:schemeClr w14:val="tx1"/>
                  </w14:solidFill>
                </w14:textFill>
              </w:rPr>
              <w:t>详见“六、理财产品收益分配”。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widowControl w:val="0"/>
              <w:tabs>
                <w:tab w:val="left" w:pos="720"/>
              </w:tabs>
              <w:topLinePunct/>
              <w:adjustRightInd w:val="0"/>
              <w:snapToGrid w:val="0"/>
              <w:spacing w:before="0" w:beforeAutospacing="0" w:after="0" w:afterAutospacing="0" w:line="360" w:lineRule="exact"/>
              <w:jc w:val="both"/>
              <w:rPr>
                <w:rFonts w:ascii="楷体" w:hAnsi="楷体" w:eastAsia="楷体"/>
                <w:color w:val="000000" w:themeColor="text1"/>
                <w:sz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提前终止</w:t>
            </w:r>
          </w:p>
        </w:tc>
        <w:tc>
          <w:tcPr>
            <w:tcW w:w="6727" w:type="dxa"/>
            <w:tcBorders>
              <w:bottom w:val="single" w:color="auto" w:sz="4" w:space="0"/>
            </w:tcBorders>
            <w:vAlign w:val="center"/>
          </w:tcPr>
          <w:p>
            <w:pPr>
              <w:pStyle w:val="10"/>
              <w:tabs>
                <w:tab w:val="left" w:pos="720"/>
              </w:tabs>
              <w:topLinePunct/>
              <w:adjustRightInd w:val="0"/>
              <w:spacing w:before="0" w:beforeAutospacing="0" w:after="0" w:afterAutospacing="0"/>
              <w:jc w:val="both"/>
              <w:rPr>
                <w:rFonts w:ascii="楷体" w:hAnsi="楷体" w:eastAsia="楷体"/>
                <w:color w:val="000000" w:themeColor="text1"/>
                <w:sz w:val="21"/>
                <w14:textFill>
                  <w14:solidFill>
                    <w14:schemeClr w14:val="tx1"/>
                  </w14:solidFill>
                </w14:textFill>
              </w:rPr>
            </w:pPr>
            <w:r>
              <w:rPr>
                <w:rFonts w:hint="eastAsia" w:ascii="楷体" w:hAnsi="楷体" w:eastAsia="楷体" w:cstheme="minorBidi"/>
                <w:color w:val="000000" w:themeColor="text1"/>
                <w:kern w:val="2"/>
                <w:sz w:val="21"/>
                <w:szCs w:val="18"/>
                <w14:textFill>
                  <w14:solidFill>
                    <w14:schemeClr w14:val="tx1"/>
                  </w14:solidFill>
                </w14:textFill>
              </w:rPr>
              <w:t>本理财产品存续期内，投资者无权单方面主动决定终止本理财产品。为保护投资者利益，理财产品管理人有权按照本理财产品资金运作的实际情况，主动终止本理财产品。如理财产品管理人需要提前终止本理财产品，将至少提前【3】个工作日（含）予以公告。详见“八、提前终止”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工作日释义</w:t>
            </w:r>
          </w:p>
        </w:tc>
        <w:tc>
          <w:tcPr>
            <w:tcW w:w="6727" w:type="dxa"/>
            <w:tcBorders>
              <w:bottom w:val="single" w:color="auto" w:sz="4" w:space="0"/>
            </w:tcBorders>
            <w:vAlign w:val="center"/>
          </w:tcPr>
          <w:p>
            <w:pPr>
              <w:widowControl/>
              <w:autoSpaceDE w:val="0"/>
              <w:autoSpaceDN w:val="0"/>
              <w:ind w:left="8" w:hanging="8" w:hangingChars="4"/>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szCs w:val="21"/>
              </w:rPr>
              <w:t>指除周六日、中国公休日及法定节假日外的其他日，即中国证券市场的法定交易日。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340" w:type="dxa"/>
            <w:tcBorders>
              <w:bottom w:val="single" w:color="auto" w:sz="4" w:space="0"/>
            </w:tcBorders>
            <w:vAlign w:val="center"/>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b/>
                <w:bCs/>
                <w:color w:val="000000" w:themeColor="text1"/>
                <w:sz w:val="21"/>
                <w:szCs w:val="21"/>
                <w14:textFill>
                  <w14:solidFill>
                    <w14:schemeClr w14:val="tx1"/>
                  </w14:solidFill>
                </w14:textFill>
              </w:rPr>
              <w:t>理财产品税款</w:t>
            </w:r>
          </w:p>
        </w:tc>
        <w:tc>
          <w:tcPr>
            <w:tcW w:w="6727" w:type="dxa"/>
            <w:tcBorders>
              <w:bottom w:val="single" w:color="auto" w:sz="4" w:space="0"/>
            </w:tcBorders>
          </w:tcPr>
          <w:p>
            <w:pPr>
              <w:pStyle w:val="10"/>
              <w:spacing w:before="0" w:beforeAutospacing="0" w:after="0" w:afterAutospacing="0"/>
              <w:ind w:left="8" w:hanging="8" w:hangingChars="4"/>
              <w:jc w:val="both"/>
              <w:rPr>
                <w:rFonts w:ascii="楷体" w:hAnsi="楷体" w:eastAsia="楷体"/>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根据中国税收相关法律法规、税收政策等要求，本理财产品运营过程中发生的增值税应税行为，以理财产品管理人为纳税人。签约各方同意本理财产品在运营过程应缴纳的增值税及附加税费（包括但不限于城市维护建设税、教育费附加及地方教育附加等）由产品管理人从理财产品财产中支付，并由产品管理人根据中国税务机关要求，履行相关纳税申报义务，由此可能会使理财产品净值或实际收益降低，请投资者知悉。投资者从理财产品取得的收益应缴纳的税款，由投资者自行申报及缴纳。</w:t>
            </w:r>
          </w:p>
        </w:tc>
      </w:tr>
    </w:tbl>
    <w:p>
      <w:pPr>
        <w:pStyle w:val="10"/>
        <w:widowControl w:val="0"/>
        <w:overflowPunct w:val="0"/>
        <w:topLinePunct/>
        <w:autoSpaceDE w:val="0"/>
        <w:autoSpaceDN w:val="0"/>
        <w:spacing w:before="0" w:beforeAutospacing="0" w:after="0" w:afterAutospacing="0"/>
        <w:ind w:firstLine="480"/>
        <w:rPr>
          <w:rFonts w:ascii="楷体" w:hAnsi="楷体" w:eastAsia="楷体"/>
          <w:color w:val="000000" w:themeColor="text1"/>
          <w14:textFill>
            <w14:solidFill>
              <w14:schemeClr w14:val="tx1"/>
            </w14:solidFill>
          </w14:textFill>
        </w:rPr>
      </w:pPr>
      <w:bookmarkStart w:id="0" w:name="law_firsthit"/>
      <w:bookmarkEnd w:id="0"/>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理财产品投资</w:t>
      </w:r>
    </w:p>
    <w:p>
      <w:pPr>
        <w:pStyle w:val="3"/>
        <w:numPr>
          <w:ilvl w:val="0"/>
          <w:numId w:val="3"/>
        </w:numPr>
        <w:ind w:firstLine="282"/>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投资范围</w:t>
      </w:r>
    </w:p>
    <w:p>
      <w:pPr>
        <w:pStyle w:val="10"/>
        <w:widowControl w:val="0"/>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 xml:space="preserve">    本理财产品募集的资金主要投资于以下金融工具：</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1．境内外货币市场工具，含现金、银行存款（含同业存放、协议存款、结构性存款等）、同业存单、大额可转让存单、债券回购（含逆回购）、资金拆借等；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2．境内外国债、地方政府债、政策性金融债、中央银行票据、政府机构债券；</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3．境内外金融债，短期融资券、超短期融资券、中期票据、长期限含权中期票据、二级资本工具、无固定期限资本债券、非公开定向债务融资工具、外国借款人在我国市场发行的债券、结构性票据等；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4．境内外企业债券、公司债券、可转债、可交换债、交易所非公开发行债券等；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5．境内外公开发行的黄金ETF、黄金ETF联接基金等各类证券投资基金，以及各类资产管理产品或计划；</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6．境内外资产证券化产品的优先档；</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7．权益类资产，包括：境内外优先股、上海证券交易所（含科创板）、深圳证券交易所、北京证券交易所以及其他国务院同意设立的证券交易所挂牌交易的股票、新股申购、定向增发、内地与香港股票市场交易互联互通机制下（包含沪港通和深港通）允许买卖的香港联合交易所上市股票，及监管批准的其它互联互通机制下的交易所上市股票, 以及监管允许配置的境外市场的各类权益资产等；</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8．外汇即期；境内外商品现货；境内外利率衍生品、汇率衍生品、信用衍生品、权益衍生品、商品衍生品，具体工具包括但不限于各类期货、远期、互换/掉期、期权、信用风险缓释工具/信用保护工具、债券借贷以及其他符合监管规定的商品及金融衍生品；</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9. 其他资产管理产品。</w:t>
      </w:r>
    </w:p>
    <w:p>
      <w:pPr>
        <w:pStyle w:val="3"/>
        <w:numPr>
          <w:ilvl w:val="0"/>
          <w:numId w:val="3"/>
        </w:numPr>
        <w:ind w:firstLine="282"/>
        <w:rPr>
          <w:rFonts w:ascii="楷体" w:hAnsi="楷体" w:eastAsia="楷体"/>
          <w:color w:val="000000" w:themeColor="text1"/>
          <w:szCs w:val="18"/>
          <w14:textFill>
            <w14:solidFill>
              <w14:schemeClr w14:val="tx1"/>
            </w14:solidFill>
          </w14:textFill>
        </w:rPr>
      </w:pPr>
      <w:r>
        <w:rPr>
          <w:rFonts w:hint="eastAsia" w:ascii="楷体" w:hAnsi="楷体" w:eastAsia="楷体"/>
          <w:color w:val="000000" w:themeColor="text1"/>
          <w14:textFill>
            <w14:solidFill>
              <w14:schemeClr w14:val="tx1"/>
            </w14:solidFill>
          </w14:textFill>
        </w:rPr>
        <w:t>投资比例限制</w:t>
      </w:r>
    </w:p>
    <w:p>
      <w:pPr>
        <w:pStyle w:val="10"/>
        <w:widowControl w:val="0"/>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 xml:space="preserve">    1．投资于同一只证券或同一只证券投资基金的市值不得超过该证券市值或该证券投资基金的30%。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2．投资于单只证券或单只证券投资基金的市值不得超过本理财产品净资产的10%。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3．投资于同一只资产支持证券优先档的市值不得超过该档次市值的30%。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4．本理财产品的总资产不得超过产品净资产的140%。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5．投资于债权类资产占组合总资产的比例不低于80%。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6．投资于权益类资产占组合总资产的比例不高于20%，其中优先股之外的权益类资产比例不超过10%。</w:t>
      </w:r>
      <w:r>
        <w:rPr>
          <w:rFonts w:hint="eastAsia" w:ascii="楷体" w:hAnsi="楷体" w:eastAsia="楷体"/>
          <w:color w:val="000000" w:themeColor="text1"/>
          <w:sz w:val="21"/>
          <w:szCs w:val="18"/>
          <w14:textFill>
            <w14:solidFill>
              <w14:schemeClr w14:val="tx1"/>
            </w14:solidFill>
          </w14:textFill>
        </w:rPr>
        <w:br w:type="textWrapping"/>
      </w:r>
      <w:r>
        <w:rPr>
          <w:rFonts w:hint="eastAsia" w:ascii="楷体" w:hAnsi="楷体" w:eastAsia="楷体"/>
          <w:color w:val="000000" w:themeColor="text1"/>
          <w:sz w:val="21"/>
          <w:szCs w:val="18"/>
          <w14:textFill>
            <w14:solidFill>
              <w14:schemeClr w14:val="tx1"/>
            </w14:solidFill>
          </w14:textFill>
        </w:rPr>
        <w:t xml:space="preserve">    7．投资于现金或者到期日在一年以内的国债、中央银行票据和政策性金融债券的比例不低于本理财产品净资产的5%。</w:t>
      </w:r>
    </w:p>
    <w:p>
      <w:pPr>
        <w:numPr>
          <w:ilvl w:val="0"/>
          <w:numId w:val="4"/>
        </w:numPr>
        <w:overflowPunct w:val="0"/>
        <w:topLinePunct/>
        <w:autoSpaceDE w:val="0"/>
        <w:autoSpaceDN w:val="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投资于流动性受限资产</w:t>
      </w:r>
      <w:r>
        <w:rPr>
          <w:rFonts w:ascii="楷体" w:hAnsi="楷体" w:eastAsia="楷体" w:cs="Arial Unicode MS"/>
          <w:color w:val="000000" w:themeColor="text1"/>
          <w:kern w:val="0"/>
          <w:szCs w:val="18"/>
          <w:vertAlign w:val="superscript"/>
          <w14:textFill>
            <w14:solidFill>
              <w14:schemeClr w14:val="tx1"/>
            </w14:solidFill>
          </w14:textFill>
        </w:rPr>
        <w:footnoteReference w:id="0"/>
      </w:r>
      <w:r>
        <w:rPr>
          <w:rFonts w:hint="eastAsia" w:ascii="楷体" w:hAnsi="楷体" w:eastAsia="楷体" w:cs="Arial Unicode MS"/>
          <w:color w:val="000000" w:themeColor="text1"/>
          <w:kern w:val="0"/>
          <w:szCs w:val="18"/>
          <w14:textFill>
            <w14:solidFill>
              <w14:schemeClr w14:val="tx1"/>
            </w14:solidFill>
          </w14:textFill>
        </w:rPr>
        <w:t>的市值在开放日不得超过该产品资产净值的15%。</w:t>
      </w:r>
    </w:p>
    <w:p>
      <w:pPr>
        <w:numPr>
          <w:ilvl w:val="0"/>
          <w:numId w:val="4"/>
        </w:numPr>
        <w:overflowPunct w:val="0"/>
        <w:topLinePunct/>
        <w:autoSpaceDE w:val="0"/>
        <w:autoSpaceDN w:val="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在开放日前一工作日内，7个工作日可变现资产</w:t>
      </w:r>
      <w:r>
        <w:rPr>
          <w:rFonts w:ascii="楷体" w:hAnsi="楷体" w:eastAsia="楷体" w:cs="Arial Unicode MS"/>
          <w:color w:val="000000" w:themeColor="text1"/>
          <w:kern w:val="0"/>
          <w:szCs w:val="18"/>
          <w:vertAlign w:val="superscript"/>
          <w14:textFill>
            <w14:solidFill>
              <w14:schemeClr w14:val="tx1"/>
            </w14:solidFill>
          </w14:textFill>
        </w:rPr>
        <w:footnoteReference w:id="1"/>
      </w:r>
      <w:r>
        <w:rPr>
          <w:rFonts w:hint="eastAsia" w:ascii="楷体" w:hAnsi="楷体" w:eastAsia="楷体" w:cs="Arial Unicode MS"/>
          <w:color w:val="000000" w:themeColor="text1"/>
          <w:kern w:val="0"/>
          <w:szCs w:val="18"/>
          <w14:textFill>
            <w14:solidFill>
              <w14:schemeClr w14:val="tx1"/>
            </w14:solidFill>
          </w14:textFill>
        </w:rPr>
        <w:t>的可变现价值应当不低于该产品资产净值的10%。</w:t>
      </w:r>
    </w:p>
    <w:p>
      <w:pPr>
        <w:pStyle w:val="10"/>
        <w:widowControl w:val="0"/>
        <w:overflowPunct w:val="0"/>
        <w:topLinePunct/>
        <w:autoSpaceDE w:val="0"/>
        <w:autoSpaceDN w:val="0"/>
        <w:spacing w:before="0" w:beforeAutospacing="0" w:after="0" w:afterAutospacing="0"/>
        <w:ind w:firstLine="420" w:firstLineChars="20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非因理财产品管理人主观因素导致突破上述第1、2</w:t>
      </w:r>
      <w:r>
        <w:rPr>
          <w:rFonts w:ascii="楷体" w:hAnsi="楷体" w:eastAsia="楷体"/>
          <w:color w:val="000000" w:themeColor="text1"/>
          <w:sz w:val="21"/>
          <w:szCs w:val="21"/>
          <w14:textFill>
            <w14:solidFill>
              <w14:schemeClr w14:val="tx1"/>
            </w14:solidFill>
          </w14:textFill>
        </w:rPr>
        <w:t>项投资比例限制的，理财产品管理人应当在流动性受限资产可出售、可转让或者恢复交易的10个交易日内调整至符合产品说明书的有关要求。非因理财产品管理人主观因素导致突破上述第5</w:t>
      </w:r>
      <w:r>
        <w:rPr>
          <w:rFonts w:hint="eastAsia" w:ascii="楷体" w:hAnsi="楷体" w:eastAsia="楷体"/>
          <w:color w:val="000000" w:themeColor="text1"/>
          <w:sz w:val="21"/>
          <w:szCs w:val="21"/>
          <w14:textFill>
            <w14:solidFill>
              <w14:schemeClr w14:val="tx1"/>
            </w14:solidFill>
          </w14:textFill>
        </w:rPr>
        <w:t>、</w:t>
      </w:r>
      <w:r>
        <w:rPr>
          <w:rFonts w:ascii="楷体" w:hAnsi="楷体" w:eastAsia="楷体"/>
          <w:color w:val="000000" w:themeColor="text1"/>
          <w:sz w:val="21"/>
          <w:szCs w:val="21"/>
          <w14:textFill>
            <w14:solidFill>
              <w14:schemeClr w14:val="tx1"/>
            </w14:solidFill>
          </w14:textFill>
        </w:rPr>
        <w:t>6项投资比例限制的，理财产品管理人应当在流动性受限资产可出售、可转让或者恢复交易的15个交易日内调整至符合要求。如监管有最新规定的，参照监管最新规定执行</w:t>
      </w:r>
      <w:r>
        <w:rPr>
          <w:rFonts w:hint="eastAsia" w:ascii="楷体" w:hAnsi="楷体" w:eastAsia="楷体"/>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因证券市场波动、上市公司股票停牌、理财产品规模变动等因素导致理财产品不符合《理财公司理财产品流动性风险管理办法》所述投资比例限制的,理财产品不得主动新增投资流动性受限资产</w:t>
      </w:r>
      <w:r>
        <w:rPr>
          <w:rFonts w:ascii="楷体" w:hAnsi="楷体" w:eastAsia="楷体"/>
          <w:color w:val="000000" w:themeColor="text1"/>
          <w:sz w:val="21"/>
          <w:szCs w:val="18"/>
          <w14:textFill>
            <w14:solidFill>
              <w14:schemeClr w14:val="tx1"/>
            </w14:solidFill>
          </w14:textFill>
        </w:rPr>
        <w:t>。</w:t>
      </w:r>
    </w:p>
    <w:p>
      <w:pPr>
        <w:pStyle w:val="3"/>
        <w:numPr>
          <w:ilvl w:val="0"/>
          <w:numId w:val="3"/>
        </w:numPr>
        <w:ind w:firstLine="282"/>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投资限制</w:t>
      </w:r>
    </w:p>
    <w:p>
      <w:pPr>
        <w:pStyle w:val="10"/>
        <w:widowControl w:val="0"/>
        <w:overflowPunct w:val="0"/>
        <w:topLinePunct/>
        <w:autoSpaceDE w:val="0"/>
        <w:autoSpaceDN w:val="0"/>
        <w:spacing w:before="0" w:beforeAutospacing="0" w:after="0" w:afterAutospacing="0"/>
        <w:jc w:val="both"/>
        <w:rPr>
          <w:rFonts w:ascii="楷体" w:hAnsi="楷体" w:eastAsia="楷体"/>
          <w:sz w:val="21"/>
          <w:szCs w:val="18"/>
        </w:rPr>
      </w:pPr>
      <w:r>
        <w:rPr>
          <w:rFonts w:hint="eastAsia" w:ascii="楷体" w:hAnsi="楷体" w:eastAsia="楷体"/>
          <w:sz w:val="21"/>
          <w:szCs w:val="18"/>
        </w:rPr>
        <w:t xml:space="preserve">    本理财产品对于投资的信用类债券、同业存单，发行主体评级或外部债项评级应为AA级（含）以上。投资的境外债券，发行人或担保人的国际评级为BBB-级（含）以上，或境内评级为AA级（含）以上。本理财产品投资的境外基金类产品，应选择与国家金融监督管理机构已签订代客境外理财业务监管合作谅解备忘录的境外监管机构所批准、登记或认可的公募基金。</w:t>
      </w:r>
      <w:r>
        <w:rPr>
          <w:rFonts w:hint="eastAsia" w:ascii="楷体" w:hAnsi="楷体" w:eastAsia="楷体"/>
          <w:sz w:val="21"/>
          <w:szCs w:val="18"/>
        </w:rPr>
        <w:br w:type="textWrapping"/>
      </w:r>
      <w:r>
        <w:rPr>
          <w:rFonts w:hint="eastAsia" w:ascii="楷体" w:hAnsi="楷体" w:eastAsia="楷体"/>
          <w:sz w:val="21"/>
          <w:szCs w:val="18"/>
        </w:rPr>
        <w:t xml:space="preserve">    与交易对手开展买入返售交易的，可接受押品的资质要求应该符合产品说明书投资范围的约定。</w:t>
      </w:r>
    </w:p>
    <w:p>
      <w:pPr>
        <w:pStyle w:val="3"/>
        <w:numPr>
          <w:ilvl w:val="0"/>
          <w:numId w:val="3"/>
        </w:numPr>
        <w:ind w:firstLine="282"/>
        <w:rPr>
          <w:rFonts w:ascii="楷体" w:hAnsi="楷体" w:eastAsia="楷体"/>
        </w:rPr>
      </w:pPr>
      <w:r>
        <w:rPr>
          <w:rFonts w:hint="eastAsia" w:ascii="楷体" w:hAnsi="楷体" w:eastAsia="楷体"/>
        </w:rPr>
        <w:t>投资策略</w:t>
      </w:r>
    </w:p>
    <w:p>
      <w:pPr>
        <w:pStyle w:val="10"/>
        <w:widowControl w:val="0"/>
        <w:overflowPunct w:val="0"/>
        <w:topLinePunct/>
        <w:autoSpaceDE w:val="0"/>
        <w:autoSpaceDN w:val="0"/>
        <w:spacing w:before="0" w:beforeAutospacing="0" w:after="0" w:afterAutospacing="0"/>
        <w:ind w:firstLine="420"/>
        <w:jc w:val="both"/>
        <w:rPr>
          <w:rFonts w:ascii="楷体" w:hAnsi="楷体" w:eastAsia="楷体"/>
          <w:sz w:val="21"/>
          <w:szCs w:val="21"/>
        </w:rPr>
      </w:pPr>
      <w:r>
        <w:rPr>
          <w:rFonts w:hint="eastAsia" w:ascii="楷体" w:hAnsi="楷体" w:eastAsia="楷体"/>
          <w:color w:val="000000" w:themeColor="text1"/>
          <w:sz w:val="21"/>
          <w14:textFill>
            <w14:solidFill>
              <w14:schemeClr w14:val="tx1"/>
            </w14:solidFill>
          </w14:textFill>
        </w:rPr>
        <w:t>本理财产品会根据经济周期及市场走势变化，以债券、债券型证券投资基金、债券回购等固定收益类资产配置为主来获取稳健收益，同时辅以一定比例的黄金等贵金属类资产投资，力争让客户在风险相对可控的情况下分享多市场快速发展的红利</w:t>
      </w:r>
      <w:r>
        <w:rPr>
          <w:rFonts w:hint="eastAsia" w:ascii="楷体" w:hAnsi="楷体" w:eastAsia="楷体"/>
          <w:sz w:val="21"/>
          <w:szCs w:val="21"/>
        </w:rPr>
        <w:t>。</w:t>
      </w:r>
    </w:p>
    <w:p>
      <w:pPr>
        <w:numPr>
          <w:ilvl w:val="0"/>
          <w:numId w:val="5"/>
        </w:numPr>
        <w:outlineLvl w:val="2"/>
        <w:rPr>
          <w:rFonts w:ascii="楷体" w:hAnsi="楷体" w:eastAsia="楷体" w:cs="Arial Unicode MS"/>
          <w:kern w:val="0"/>
          <w:szCs w:val="21"/>
        </w:rPr>
      </w:pPr>
      <w:r>
        <w:rPr>
          <w:rFonts w:hint="eastAsia" w:ascii="楷体" w:hAnsi="楷体" w:eastAsia="楷体" w:cs="Arial Unicode MS"/>
          <w:kern w:val="0"/>
          <w:szCs w:val="21"/>
        </w:rPr>
        <w:t>资产配置策略</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kern w:val="0"/>
          <w:szCs w:val="21"/>
        </w:rPr>
        <w:t>通过预判</w:t>
      </w:r>
      <w:r>
        <w:rPr>
          <w:rFonts w:ascii="楷体" w:hAnsi="楷体" w:eastAsia="楷体"/>
          <w:kern w:val="0"/>
        </w:rPr>
        <w:t>经济</w:t>
      </w:r>
      <w:r>
        <w:rPr>
          <w:rFonts w:hint="eastAsia" w:ascii="楷体" w:hAnsi="楷体" w:eastAsia="楷体"/>
          <w:kern w:val="0"/>
        </w:rPr>
        <w:t>周期及</w:t>
      </w:r>
      <w:r>
        <w:rPr>
          <w:rFonts w:ascii="楷体" w:hAnsi="楷体" w:eastAsia="楷体" w:cs="Arial Unicode MS"/>
          <w:kern w:val="0"/>
          <w:szCs w:val="21"/>
        </w:rPr>
        <w:t>货币政策走向，</w:t>
      </w:r>
      <w:r>
        <w:rPr>
          <w:rFonts w:hint="eastAsia" w:ascii="楷体" w:hAnsi="楷体" w:eastAsia="楷体" w:cs="Arial Unicode MS"/>
          <w:kern w:val="0"/>
          <w:szCs w:val="21"/>
        </w:rPr>
        <w:t>重点投资境内外</w:t>
      </w:r>
      <w:r>
        <w:rPr>
          <w:rFonts w:ascii="楷体" w:hAnsi="楷体" w:eastAsia="楷体" w:cs="Arial Unicode MS"/>
          <w:kern w:val="0"/>
          <w:szCs w:val="21"/>
        </w:rPr>
        <w:t>固定收益类资产</w:t>
      </w:r>
      <w:r>
        <w:rPr>
          <w:rFonts w:hint="eastAsia" w:ascii="楷体" w:hAnsi="楷体" w:eastAsia="楷体" w:cs="Arial Unicode MS"/>
          <w:kern w:val="0"/>
          <w:szCs w:val="21"/>
        </w:rPr>
        <w:t>，灵活</w:t>
      </w:r>
      <w:r>
        <w:rPr>
          <w:rFonts w:ascii="楷体" w:hAnsi="楷体" w:eastAsia="楷体" w:cs="Arial Unicode MS"/>
          <w:kern w:val="0"/>
          <w:szCs w:val="21"/>
        </w:rPr>
        <w:t>配置</w:t>
      </w:r>
      <w:r>
        <w:rPr>
          <w:rFonts w:ascii="楷体" w:hAnsi="楷体" w:eastAsia="楷体"/>
          <w:kern w:val="0"/>
        </w:rPr>
        <w:t>权益类资产</w:t>
      </w:r>
      <w:r>
        <w:rPr>
          <w:rFonts w:hint="eastAsia" w:ascii="楷体" w:hAnsi="楷体" w:eastAsia="楷体" w:cs="Arial Unicode MS"/>
          <w:kern w:val="0"/>
          <w:szCs w:val="21"/>
        </w:rPr>
        <w:t>，辅助</w:t>
      </w:r>
      <w:r>
        <w:rPr>
          <w:rFonts w:hint="eastAsia" w:ascii="楷体" w:hAnsi="楷体" w:eastAsia="楷体"/>
          <w:kern w:val="0"/>
        </w:rPr>
        <w:t>衍生品</w:t>
      </w:r>
      <w:r>
        <w:rPr>
          <w:rFonts w:ascii="楷体" w:hAnsi="楷体" w:eastAsia="楷体" w:cs="Arial Unicode MS"/>
          <w:kern w:val="0"/>
          <w:szCs w:val="21"/>
        </w:rPr>
        <w:t>交易</w:t>
      </w:r>
      <w:r>
        <w:rPr>
          <w:rFonts w:hint="eastAsia" w:ascii="楷体" w:hAnsi="楷体" w:eastAsia="楷体" w:cs="Arial Unicode MS"/>
          <w:kern w:val="0"/>
          <w:szCs w:val="21"/>
        </w:rPr>
        <w:t>对冲</w:t>
      </w:r>
      <w:r>
        <w:rPr>
          <w:rFonts w:ascii="楷体" w:hAnsi="楷体" w:eastAsia="楷体" w:cs="Arial Unicode MS"/>
          <w:kern w:val="0"/>
          <w:szCs w:val="21"/>
        </w:rPr>
        <w:t>风险</w:t>
      </w:r>
      <w:r>
        <w:rPr>
          <w:rFonts w:hint="eastAsia" w:ascii="楷体" w:hAnsi="楷体" w:eastAsia="楷体" w:cs="Arial Unicode MS"/>
          <w:kern w:val="0"/>
          <w:szCs w:val="21"/>
        </w:rPr>
        <w:t>，扩充有效</w:t>
      </w:r>
      <w:r>
        <w:rPr>
          <w:rFonts w:ascii="楷体" w:hAnsi="楷体" w:eastAsia="楷体" w:cs="Arial Unicode MS"/>
          <w:kern w:val="0"/>
          <w:szCs w:val="21"/>
        </w:rPr>
        <w:t>投资边界，提升</w:t>
      </w:r>
      <w:r>
        <w:rPr>
          <w:rFonts w:hint="eastAsia" w:ascii="楷体" w:hAnsi="楷体" w:eastAsia="楷体" w:cs="Arial Unicode MS"/>
          <w:kern w:val="0"/>
          <w:szCs w:val="21"/>
        </w:rPr>
        <w:t>投资</w:t>
      </w:r>
      <w:r>
        <w:rPr>
          <w:rFonts w:ascii="楷体" w:hAnsi="楷体" w:eastAsia="楷体" w:cs="Arial Unicode MS"/>
          <w:kern w:val="0"/>
          <w:szCs w:val="21"/>
        </w:rPr>
        <w:t>组合风险</w:t>
      </w:r>
      <w:r>
        <w:rPr>
          <w:rFonts w:hint="eastAsia" w:ascii="楷体" w:hAnsi="楷体" w:eastAsia="楷体" w:cs="Arial Unicode MS"/>
          <w:kern w:val="0"/>
          <w:szCs w:val="21"/>
        </w:rPr>
        <w:t>调整</w:t>
      </w:r>
      <w:r>
        <w:rPr>
          <w:rFonts w:ascii="楷体" w:hAnsi="楷体" w:eastAsia="楷体" w:cs="Arial Unicode MS"/>
          <w:kern w:val="0"/>
          <w:szCs w:val="21"/>
        </w:rPr>
        <w:t>后收益</w:t>
      </w:r>
      <w:r>
        <w:rPr>
          <w:rFonts w:hint="eastAsia" w:ascii="楷体" w:hAnsi="楷体" w:eastAsia="楷体" w:cs="Arial Unicode MS"/>
          <w:color w:val="000000" w:themeColor="text1"/>
          <w:kern w:val="0"/>
          <w:szCs w:val="21"/>
          <w14:textFill>
            <w14:solidFill>
              <w14:schemeClr w14:val="tx1"/>
            </w14:solidFill>
          </w14:textFill>
        </w:rPr>
        <w:t>。</w:t>
      </w:r>
    </w:p>
    <w:p>
      <w:pPr>
        <w:numPr>
          <w:ilvl w:val="0"/>
          <w:numId w:val="5"/>
        </w:numPr>
        <w:overflowPunct w:val="0"/>
        <w:topLinePunct/>
        <w:autoSpaceDE w:val="0"/>
        <w:autoSpaceDN w:val="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久期配置策略</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通过对宏观经济指标的密切跟踪，以及货币政策、财政政策的变化，通过定性和定量分析的方式，结合利率周期变化、市场利率变动趋势、市场参与者主流预期以及当期债券收益率水平，形成利率走势预判。在合理假设下的情景分析和压力测试后，确定最优的债券组合久期。</w:t>
      </w:r>
    </w:p>
    <w:p>
      <w:pPr>
        <w:numPr>
          <w:ilvl w:val="0"/>
          <w:numId w:val="5"/>
        </w:numPr>
        <w:overflowPunct w:val="0"/>
        <w:topLinePunct/>
        <w:autoSpaceDE w:val="0"/>
        <w:autoSpaceDN w:val="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信用类债券投资策略</w:t>
      </w:r>
    </w:p>
    <w:p>
      <w:pPr>
        <w:overflowPunct w:val="0"/>
        <w:topLinePunct/>
        <w:autoSpaceDE w:val="0"/>
        <w:autoSpaceDN w:val="0"/>
        <w:ind w:firstLine="420" w:firstLineChars="20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通过内部的信用分析方法对可选债券品种进行筛选，可选债券池内基于信用利差曲线变化和基于个券信用变化，动态调整组合内各行业、发行人的投资比例。在控制组合信用风险暴露的前提下，深挖价值低估债券，提升组合信用风险溢价。</w:t>
      </w:r>
    </w:p>
    <w:p>
      <w:pPr>
        <w:numPr>
          <w:ilvl w:val="0"/>
          <w:numId w:val="5"/>
        </w:numPr>
        <w:overflowPunct w:val="0"/>
        <w:topLinePunct/>
        <w:autoSpaceDE w:val="0"/>
        <w:autoSpaceDN w:val="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息差策略</w:t>
      </w:r>
    </w:p>
    <w:p>
      <w:pPr>
        <w:overflowPunct w:val="0"/>
        <w:topLinePunct/>
        <w:autoSpaceDE w:val="0"/>
        <w:autoSpaceDN w:val="0"/>
        <w:ind w:firstLine="420" w:firstLineChars="20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当回购利率低于债券收益率时，本理财产品将开展正回购并将融入的资金投资于信用债券，从而获取债券收益率超出回购资金成本的套利价值。</w:t>
      </w:r>
    </w:p>
    <w:p>
      <w:pPr>
        <w:numPr>
          <w:ilvl w:val="0"/>
          <w:numId w:val="5"/>
        </w:numPr>
        <w:overflowPunct w:val="0"/>
        <w:topLinePunct/>
        <w:autoSpaceDE w:val="0"/>
        <w:autoSpaceDN w:val="0"/>
        <w:ind w:firstLine="420" w:firstLineChars="200"/>
        <w:outlineLvl w:val="2"/>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黄金等贵金属资产投资策略</w:t>
      </w:r>
    </w:p>
    <w:p>
      <w:pPr>
        <w:overflowPunct w:val="0"/>
        <w:topLinePunct/>
        <w:autoSpaceDE w:val="0"/>
        <w:autoSpaceDN w:val="0"/>
        <w:ind w:firstLine="420" w:firstLineChars="200"/>
        <w:rPr>
          <w:rFonts w:ascii="楷体" w:hAnsi="楷体" w:eastAsia="楷体" w:cs="Arial Unicode MS"/>
          <w:color w:val="000000" w:themeColor="text1"/>
          <w:kern w:val="0"/>
          <w:szCs w:val="21"/>
          <w14:textFill>
            <w14:solidFill>
              <w14:schemeClr w14:val="tx1"/>
            </w14:solidFill>
          </w14:textFill>
        </w:rPr>
      </w:pPr>
      <w:r>
        <w:rPr>
          <w:rFonts w:hint="eastAsia" w:ascii="楷体" w:hAnsi="楷体" w:eastAsia="楷体" w:cs="Arial Unicode MS"/>
          <w:color w:val="000000" w:themeColor="text1"/>
          <w:kern w:val="0"/>
          <w:szCs w:val="21"/>
          <w14:textFill>
            <w14:solidFill>
              <w14:schemeClr w14:val="tx1"/>
            </w14:solidFill>
          </w14:textFill>
        </w:rPr>
        <w:t>本理财产品计划配置一定比例的黄金等贵金属资产，通过精选黄金ETF、黄金主题基金等相关资产，根据投资收益性价比、安全边际等判断择机投资。根据风险管理原则，本产品本着谨慎原则参与黄金等贵金属资产的投资。</w:t>
      </w:r>
    </w:p>
    <w:p>
      <w:pPr>
        <w:pStyle w:val="3"/>
        <w:numPr>
          <w:ilvl w:val="0"/>
          <w:numId w:val="3"/>
        </w:numPr>
        <w:ind w:firstLine="282"/>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理财投资合作机构</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r>
        <w:rPr>
          <w:rFonts w:ascii="楷体" w:hAnsi="楷体" w:eastAsia="楷体" w:cs="Arial Unicode MS"/>
          <w:color w:val="000000" w:themeColor="text1"/>
          <w:kern w:val="0"/>
          <w:szCs w:val="21"/>
          <w14:textFill>
            <w14:solidFill>
              <w14:schemeClr w14:val="tx1"/>
            </w14:solidFill>
          </w14:textFill>
        </w:rPr>
        <w:t>本理财产品投资合作机构包括中银国际证券</w:t>
      </w:r>
      <w:r>
        <w:rPr>
          <w:rFonts w:hint="eastAsia" w:ascii="楷体" w:hAnsi="楷体" w:eastAsia="楷体" w:cs="Arial Unicode MS"/>
          <w:color w:val="000000" w:themeColor="text1"/>
          <w:kern w:val="0"/>
          <w:szCs w:val="21"/>
          <w14:textFill>
            <w14:solidFill>
              <w14:schemeClr w14:val="tx1"/>
            </w14:solidFill>
          </w14:textFill>
        </w:rPr>
        <w:t>股份</w:t>
      </w:r>
      <w:r>
        <w:rPr>
          <w:rFonts w:ascii="楷体" w:hAnsi="楷体" w:eastAsia="楷体" w:cs="Arial Unicode MS"/>
          <w:color w:val="000000" w:themeColor="text1"/>
          <w:kern w:val="0"/>
          <w:szCs w:val="21"/>
          <w14:textFill>
            <w14:solidFill>
              <w14:schemeClr w14:val="tx1"/>
            </w14:solidFill>
          </w14:textFill>
        </w:rPr>
        <w:t>有限公司、中银基金管理有限公司、中国</w:t>
      </w:r>
      <w:r>
        <w:rPr>
          <w:rFonts w:hint="eastAsia" w:ascii="楷体" w:hAnsi="楷体" w:eastAsia="楷体" w:cs="Arial Unicode MS"/>
          <w:color w:val="000000" w:themeColor="text1"/>
          <w:kern w:val="0"/>
          <w:szCs w:val="21"/>
          <w14:textFill>
            <w14:solidFill>
              <w14:schemeClr w14:val="tx1"/>
            </w14:solidFill>
          </w14:textFill>
        </w:rPr>
        <w:t>国</w:t>
      </w:r>
      <w:r>
        <w:rPr>
          <w:rFonts w:ascii="楷体" w:hAnsi="楷体" w:eastAsia="楷体" w:cs="Arial Unicode MS"/>
          <w:color w:val="000000" w:themeColor="text1"/>
          <w:kern w:val="0"/>
          <w:szCs w:val="21"/>
          <w14:textFill>
            <w14:solidFill>
              <w14:schemeClr w14:val="tx1"/>
            </w14:solidFill>
          </w14:textFill>
        </w:rPr>
        <w:t>际金融股份有限公司、中信证券股份有限公司、创金合信基金管理有限公司，以及其他与产品相关的合作机构。合作机构主要职责为根据合同约定对受托资金进行投资和管理。</w:t>
      </w:r>
    </w:p>
    <w:p>
      <w:pPr>
        <w:overflowPunct w:val="0"/>
        <w:topLinePunct/>
        <w:autoSpaceDE w:val="0"/>
        <w:autoSpaceDN w:val="0"/>
        <w:ind w:firstLine="420"/>
        <w:rPr>
          <w:rFonts w:ascii="楷体" w:hAnsi="楷体" w:eastAsia="楷体" w:cs="Arial Unicode MS"/>
          <w:color w:val="000000" w:themeColor="text1"/>
          <w:kern w:val="0"/>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认购</w:t>
      </w:r>
    </w:p>
    <w:p>
      <w:pPr>
        <w:pStyle w:val="10"/>
        <w:widowControl w:val="0"/>
        <w:numPr>
          <w:ilvl w:val="0"/>
          <w:numId w:val="6"/>
        </w:numPr>
        <w:wordWrap w:val="0"/>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本理财产品认购期间：【2026】年【2】月【25】日至【2026】年【3】月【3】日，受理时间：认购期首日08:30至认购期末日15:30，具体以理财产品销售机构实际受理时间为准。</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sz w:val="21"/>
          <w:szCs w:val="18"/>
        </w:rPr>
      </w:pPr>
      <w:r>
        <w:rPr>
          <w:rFonts w:hint="eastAsia" w:ascii="楷体" w:hAnsi="楷体" w:eastAsia="楷体"/>
          <w:sz w:val="21"/>
          <w:szCs w:val="18"/>
        </w:rPr>
        <w:t>认购期内，实际收到的认购申请金额累计达到募集规模上限后，产品管理人有权自下一工作日起停止接受认购，认购期间提前结束。当发生上述情形且理财产品管理人决定停止接受认购时，理财产品管理人应当在3个工作日内通过相应信息披露渠道进行披露，并说明运用相关措施的原因、拟采取的应对安排等。对于收到的有效认购申请，产品管理人采用“比例确认”的原则分别给予部分确认，未确认部分的资金将在认购期结束后的【5】个工作日内返还投资者或解除冻结。</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认购方式：本理财产品可通过销售机构各营业网点柜台（含智能柜台）及网上银行、手机银行等电子渠道进行认购。销售机构可根据情况变更或增减产品的销售网点及渠道，并进行披露。</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sz w:val="21"/>
          <w:szCs w:val="21"/>
        </w:rPr>
        <w:t>本产品A类份额认购起点金额为人民币【100万】元，认购起点金额以上按照人民币【0.01】元的整数倍累进认购。</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认购费用：本</w:t>
      </w:r>
      <w:r>
        <w:rPr>
          <w:rFonts w:ascii="楷体" w:hAnsi="楷体" w:eastAsia="楷体" w:cs="楷体"/>
          <w:color w:val="000000" w:themeColor="text1"/>
          <w:kern w:val="2"/>
          <w:sz w:val="21"/>
          <w:szCs w:val="21"/>
          <w14:textFill>
            <w14:solidFill>
              <w14:schemeClr w14:val="tx1"/>
            </w14:solidFill>
          </w14:textFill>
        </w:rPr>
        <w:t>理财产品无认购费</w:t>
      </w:r>
      <w:r>
        <w:rPr>
          <w:rFonts w:hint="eastAsia" w:ascii="楷体" w:hAnsi="楷体" w:eastAsia="楷体" w:cs="楷体"/>
          <w:color w:val="000000" w:themeColor="text1"/>
          <w:kern w:val="2"/>
          <w:sz w:val="21"/>
          <w:szCs w:val="21"/>
          <w14:textFill>
            <w14:solidFill>
              <w14:schemeClr w14:val="tx1"/>
            </w14:solidFill>
          </w14:textFill>
        </w:rPr>
        <w:t>。</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认购份额计算：</w:t>
      </w:r>
    </w:p>
    <w:p>
      <w:pPr>
        <w:pStyle w:val="10"/>
        <w:widowControl w:val="0"/>
        <w:overflowPunct w:val="0"/>
        <w:topLinePunct/>
        <w:autoSpaceDE w:val="0"/>
        <w:autoSpaceDN w:val="0"/>
        <w:spacing w:before="0" w:beforeAutospacing="0" w:after="0" w:afterAutospacing="0"/>
        <w:ind w:left="420" w:firstLine="732"/>
        <w:jc w:val="both"/>
        <w:rPr>
          <w:rFonts w:ascii="楷体" w:hAnsi="楷体" w:eastAsia="楷体" w:cs="楷体"/>
          <w:kern w:val="2"/>
          <w:sz w:val="21"/>
          <w:szCs w:val="21"/>
        </w:rPr>
      </w:pPr>
      <w:r>
        <w:rPr>
          <w:rFonts w:hint="eastAsia" w:ascii="楷体" w:hAnsi="楷体" w:eastAsia="楷体" w:cs="楷体"/>
          <w:kern w:val="2"/>
          <w:sz w:val="21"/>
          <w:szCs w:val="21"/>
        </w:rPr>
        <w:t>认购份额=</w:t>
      </w:r>
      <w:r>
        <w:rPr>
          <w:rFonts w:hint="eastAsia" w:ascii="楷体" w:hAnsi="楷体" w:eastAsia="楷体"/>
          <w:color w:val="000000" w:themeColor="text1"/>
          <w:sz w:val="21"/>
          <w:szCs w:val="18"/>
          <w14:textFill>
            <w14:solidFill>
              <w14:schemeClr w14:val="tx1"/>
            </w14:solidFill>
          </w14:textFill>
        </w:rPr>
        <w:t>（认购金额-认购费用+认购期利息）/理财产品份额面值</w:t>
      </w:r>
    </w:p>
    <w:p>
      <w:pPr>
        <w:pStyle w:val="10"/>
        <w:widowControl w:val="0"/>
        <w:numPr>
          <w:ilvl w:val="255"/>
          <w:numId w:val="0"/>
        </w:numPr>
        <w:overflowPunct w:val="0"/>
        <w:topLinePunct/>
        <w:autoSpaceDE w:val="0"/>
        <w:autoSpaceDN w:val="0"/>
        <w:spacing w:before="0" w:beforeAutospacing="0" w:after="0" w:afterAutospacing="0"/>
        <w:ind w:left="420" w:firstLine="732"/>
        <w:jc w:val="both"/>
        <w:rPr>
          <w:rFonts w:ascii="楷体" w:hAnsi="楷体" w:eastAsia="楷体" w:cs="楷体"/>
          <w:kern w:val="2"/>
          <w:sz w:val="21"/>
          <w:szCs w:val="21"/>
        </w:rPr>
      </w:pPr>
      <w:r>
        <w:rPr>
          <w:rFonts w:hint="eastAsia" w:ascii="楷体" w:hAnsi="楷体" w:eastAsia="楷体" w:cs="楷体"/>
          <w:kern w:val="2"/>
          <w:sz w:val="21"/>
          <w:szCs w:val="21"/>
        </w:rPr>
        <w:t>认购费用=认购金额×认购费率</w:t>
      </w:r>
    </w:p>
    <w:p>
      <w:pPr>
        <w:pStyle w:val="10"/>
        <w:widowControl w:val="0"/>
        <w:numPr>
          <w:ilvl w:val="0"/>
          <w:numId w:val="6"/>
        </w:numPr>
        <w:overflowPunct w:val="0"/>
        <w:topLinePunct/>
        <w:autoSpaceDE w:val="0"/>
        <w:autoSpaceDN w:val="0"/>
        <w:spacing w:before="0" w:beforeAutospacing="0" w:after="0" w:afterAutospacing="0"/>
        <w:jc w:val="both"/>
        <w:rPr>
          <w:rFonts w:ascii="楷体" w:hAnsi="楷体" w:eastAsia="楷体" w:cs="楷体"/>
          <w:color w:val="000000" w:themeColor="text1"/>
          <w:kern w:val="2"/>
          <w:sz w:val="21"/>
          <w:szCs w:val="21"/>
          <w14:textFill>
            <w14:solidFill>
              <w14:schemeClr w14:val="tx1"/>
            </w14:solidFill>
          </w14:textFill>
        </w:rPr>
      </w:pPr>
      <w:r>
        <w:rPr>
          <w:rFonts w:hint="eastAsia" w:ascii="楷体" w:hAnsi="楷体" w:eastAsia="楷体" w:cs="楷体"/>
          <w:color w:val="000000" w:themeColor="text1"/>
          <w:kern w:val="2"/>
          <w:sz w:val="21"/>
          <w:szCs w:val="21"/>
          <w14:textFill>
            <w14:solidFill>
              <w14:schemeClr w14:val="tx1"/>
            </w14:solidFill>
          </w14:textFill>
        </w:rPr>
        <w:t>认购程序：投资者应在其资金账户中预留足够的认购金额，预留资金不足的，视为认购无效。投资者的认购申请获得理财产品销售机构受理后，理财产品销售机构有权实时扣划投资者资金账户相应认购金额，或先冻结投资者资金账户相应认购金额并在认购期最后</w:t>
      </w:r>
      <w:r>
        <w:rPr>
          <w:rFonts w:ascii="楷体" w:hAnsi="楷体" w:eastAsia="楷体" w:cs="楷体"/>
          <w:color w:val="000000" w:themeColor="text1"/>
          <w:kern w:val="2"/>
          <w:sz w:val="21"/>
          <w:szCs w:val="21"/>
          <w14:textFill>
            <w14:solidFill>
              <w14:schemeClr w14:val="tx1"/>
            </w14:solidFill>
          </w14:textFill>
        </w:rPr>
        <w:t>一个工作</w:t>
      </w:r>
      <w:r>
        <w:rPr>
          <w:rFonts w:ascii="楷体" w:hAnsi="楷体" w:eastAsia="楷体" w:cs="楷体"/>
          <w:kern w:val="2"/>
          <w:sz w:val="21"/>
          <w:szCs w:val="21"/>
        </w:rPr>
        <w:t>日</w:t>
      </w:r>
      <w:r>
        <w:rPr>
          <w:rFonts w:hint="eastAsia" w:ascii="楷体" w:hAnsi="楷体" w:eastAsia="楷体" w:cs="楷体"/>
          <w:kern w:val="2"/>
          <w:sz w:val="21"/>
          <w:szCs w:val="21"/>
        </w:rPr>
        <w:t>或产品成立日统</w:t>
      </w:r>
      <w:r>
        <w:rPr>
          <w:rFonts w:hint="eastAsia" w:ascii="楷体" w:hAnsi="楷体" w:eastAsia="楷体" w:cs="楷体"/>
          <w:color w:val="000000" w:themeColor="text1"/>
          <w:kern w:val="2"/>
          <w:sz w:val="21"/>
          <w:szCs w:val="21"/>
          <w14:textFill>
            <w14:solidFill>
              <w14:schemeClr w14:val="tx1"/>
            </w14:solidFill>
          </w14:textFill>
        </w:rPr>
        <w:t>一扣划。</w:t>
      </w:r>
    </w:p>
    <w:p>
      <w:pPr>
        <w:numPr>
          <w:ilvl w:val="0"/>
          <w:numId w:val="6"/>
        </w:numPr>
        <w:overflowPunct w:val="0"/>
        <w:topLinePunct/>
        <w:autoSpaceDE w:val="0"/>
        <w:autoSpaceDN w:val="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szCs w:val="18"/>
          <w14:textFill>
            <w14:solidFill>
              <w14:schemeClr w14:val="tx1"/>
            </w14:solidFill>
          </w14:textFill>
        </w:rPr>
        <w:t>认购期间，</w:t>
      </w:r>
      <w:r>
        <w:rPr>
          <w:rFonts w:hint="eastAsia" w:ascii="楷体" w:hAnsi="楷体" w:eastAsia="楷体" w:cs="楷体"/>
          <w:b/>
          <w:color w:val="000000" w:themeColor="text1"/>
          <w:szCs w:val="18"/>
          <w14:textFill>
            <w14:solidFill>
              <w14:schemeClr w14:val="tx1"/>
            </w14:solidFill>
          </w14:textFill>
        </w:rPr>
        <w:t>投资者可于销售机构</w:t>
      </w:r>
      <w:r>
        <w:rPr>
          <w:rFonts w:ascii="楷体" w:hAnsi="楷体" w:eastAsia="楷体" w:cs="楷体"/>
          <w:b/>
          <w:color w:val="000000" w:themeColor="text1"/>
          <w:szCs w:val="18"/>
          <w14:textFill>
            <w14:solidFill>
              <w14:schemeClr w14:val="tx1"/>
            </w14:solidFill>
          </w14:textFill>
        </w:rPr>
        <w:t>扣划</w:t>
      </w:r>
      <w:r>
        <w:rPr>
          <w:rFonts w:hint="eastAsia" w:ascii="楷体" w:hAnsi="楷体" w:eastAsia="楷体" w:cs="楷体"/>
          <w:b/>
          <w:color w:val="000000" w:themeColor="text1"/>
          <w:szCs w:val="18"/>
          <w14:textFill>
            <w14:solidFill>
              <w14:schemeClr w14:val="tx1"/>
            </w14:solidFill>
          </w14:textFill>
        </w:rPr>
        <w:t>认购</w:t>
      </w:r>
      <w:r>
        <w:rPr>
          <w:rFonts w:ascii="楷体" w:hAnsi="楷体" w:eastAsia="楷体" w:cs="楷体"/>
          <w:b/>
          <w:color w:val="000000" w:themeColor="text1"/>
          <w:szCs w:val="18"/>
          <w14:textFill>
            <w14:solidFill>
              <w14:schemeClr w14:val="tx1"/>
            </w14:solidFill>
          </w14:textFill>
        </w:rPr>
        <w:t>资金</w:t>
      </w:r>
      <w:r>
        <w:rPr>
          <w:rFonts w:hint="eastAsia" w:ascii="楷体" w:hAnsi="楷体" w:eastAsia="楷体" w:cs="楷体"/>
          <w:b/>
          <w:color w:val="000000" w:themeColor="text1"/>
          <w:szCs w:val="18"/>
          <w14:textFill>
            <w14:solidFill>
              <w14:schemeClr w14:val="tx1"/>
            </w14:solidFill>
          </w14:textFill>
        </w:rPr>
        <w:t>当日销售渠道受理时间截止时点前撤销认购申请，该时点后不得撤销</w:t>
      </w:r>
      <w:r>
        <w:rPr>
          <w:rFonts w:hint="eastAsia" w:ascii="楷体" w:hAnsi="楷体" w:eastAsia="楷体"/>
          <w:color w:val="000000" w:themeColor="text1"/>
          <w:szCs w:val="18"/>
          <w14:textFill>
            <w14:solidFill>
              <w14:schemeClr w14:val="tx1"/>
            </w14:solidFill>
          </w14:textFill>
        </w:rPr>
        <w:t>。如销售机构先冻结投资者资金，投资者可于认购期最后一个工作日销售渠道受理时间截止时点前撤销认购申请，该时点后不得撤销。</w:t>
      </w:r>
    </w:p>
    <w:p>
      <w:pPr>
        <w:numPr>
          <w:ilvl w:val="0"/>
          <w:numId w:val="6"/>
        </w:numPr>
        <w:autoSpaceDE w:val="0"/>
        <w:autoSpaceDN w:val="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认购期利息：</w:t>
      </w:r>
      <w:r>
        <w:rPr>
          <w:rFonts w:hint="eastAsia" w:ascii="楷体" w:hAnsi="楷体" w:eastAsia="楷体" w:cs="楷体"/>
          <w:color w:val="000000" w:themeColor="text1"/>
          <w:szCs w:val="21"/>
          <w14:textFill>
            <w14:solidFill>
              <w14:schemeClr w14:val="tx1"/>
            </w14:solidFill>
          </w14:textFill>
        </w:rPr>
        <w:t>如销售机构实时扣划投资者认购资金，投资者认购申请成功确认当日（含）至认购期最后一日（不含）期间产生的活期利息将折算成产品份额，归投资者所有。如销售机构先冻结投资者资金，投资者认购资金扣划前，认购资金按销售机构公布的人民币活期存款利率计算利息，该等利息不作为认购资金扣收。具体以产品销售机构规定的认购程序为准。</w:t>
      </w:r>
    </w:p>
    <w:p>
      <w:pPr>
        <w:numPr>
          <w:ilvl w:val="0"/>
          <w:numId w:val="6"/>
        </w:numPr>
        <w:autoSpaceDE w:val="0"/>
        <w:autoSpaceDN w:val="0"/>
        <w:rPr>
          <w:rFonts w:ascii="楷体" w:hAnsi="楷体" w:eastAsia="楷体"/>
          <w:szCs w:val="21"/>
        </w:rPr>
      </w:pPr>
      <w:r>
        <w:rPr>
          <w:rFonts w:hint="eastAsia" w:ascii="楷体" w:hAnsi="楷体" w:eastAsia="楷体"/>
          <w:szCs w:val="21"/>
        </w:rPr>
        <w:t>认购资金来源限制：投资者不得使用贷款、发行债券等筹集的非自有资金投资本理财产品。</w:t>
      </w:r>
      <w:r>
        <w:rPr>
          <w:rFonts w:hint="eastAsia" w:ascii="楷体" w:hAnsi="楷体" w:eastAsia="楷体" w:cs="楷体"/>
          <w:color w:val="000000" w:themeColor="text1"/>
          <w:szCs w:val="21"/>
          <w14:textFill>
            <w14:solidFill>
              <w14:schemeClr w14:val="tx1"/>
            </w14:solidFill>
          </w14:textFill>
        </w:rPr>
        <w:t>投资者认购本理财产品的资金来源和用途应合法合规，不涉及洗钱、恐怖融资、逃税、制裁、扩散融资等违反适用法律的行为。</w:t>
      </w:r>
    </w:p>
    <w:p>
      <w:pPr>
        <w:numPr>
          <w:ilvl w:val="0"/>
          <w:numId w:val="6"/>
        </w:numPr>
        <w:autoSpaceDE w:val="0"/>
        <w:autoSpaceDN w:val="0"/>
        <w:jc w:val="left"/>
        <w:rPr>
          <w:rFonts w:ascii="楷体" w:hAnsi="楷体" w:eastAsia="楷体" w:cs="仿宋_GB2312"/>
          <w:b/>
          <w:color w:val="000000" w:themeColor="text1"/>
          <w:kern w:val="0"/>
          <w:sz w:val="22"/>
          <w:szCs w:val="21"/>
          <w14:textFill>
            <w14:solidFill>
              <w14:schemeClr w14:val="tx1"/>
            </w14:solidFill>
          </w14:textFill>
        </w:rPr>
      </w:pPr>
      <w:r>
        <w:rPr>
          <w:rFonts w:hint="eastAsia" w:ascii="楷体" w:hAnsi="楷体" w:eastAsia="楷体" w:cs="Arial Unicode MS"/>
          <w:b/>
          <w:color w:val="000000" w:themeColor="text1"/>
          <w:kern w:val="0"/>
          <w:sz w:val="22"/>
          <w:szCs w:val="18"/>
          <w14:textFill>
            <w14:solidFill>
              <w14:schemeClr w14:val="tx1"/>
            </w14:solidFill>
          </w14:textFill>
        </w:rPr>
        <w:t>对于可能导致单一投资者累计持有本理财产品份额超过总份额50%的认购申请，产品管理人或销售机构应拒绝接受或部分接受，确保单一投资者持有份额不超过总份额50%。</w:t>
      </w:r>
    </w:p>
    <w:p>
      <w:pPr>
        <w:overflowPunct w:val="0"/>
        <w:topLinePunct/>
        <w:autoSpaceDE w:val="0"/>
        <w:autoSpaceDN w:val="0"/>
        <w:jc w:val="left"/>
        <w:rPr>
          <w:rFonts w:ascii="楷体" w:hAnsi="楷体" w:eastAsia="楷体"/>
          <w:color w:val="000000" w:themeColor="text1"/>
          <w:kern w:val="0"/>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产品成立</w:t>
      </w:r>
    </w:p>
    <w:p>
      <w:pPr>
        <w:numPr>
          <w:ilvl w:val="0"/>
          <w:numId w:val="7"/>
        </w:numPr>
        <w:autoSpaceDE w:val="0"/>
        <w:autoSpaceDN w:val="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认购期届满，产品成立。因</w:t>
      </w:r>
      <w:r>
        <w:rPr>
          <w:rFonts w:ascii="楷体" w:hAnsi="楷体" w:eastAsia="楷体"/>
          <w:color w:val="000000" w:themeColor="text1"/>
          <w:szCs w:val="21"/>
          <w14:textFill>
            <w14:solidFill>
              <w14:schemeClr w14:val="tx1"/>
            </w14:solidFill>
          </w14:textFill>
        </w:rPr>
        <w:t>不可抗力导致理财产品无法成立时</w:t>
      </w:r>
      <w:r>
        <w:rPr>
          <w:rFonts w:hint="eastAsia" w:ascii="楷体" w:hAnsi="楷体" w:eastAsia="楷体"/>
          <w:color w:val="000000" w:themeColor="text1"/>
          <w:szCs w:val="21"/>
          <w14:textFill>
            <w14:solidFill>
              <w14:schemeClr w14:val="tx1"/>
            </w14:solidFill>
          </w14:textFill>
        </w:rPr>
        <w:t>，理财产品管理人有权不成立本理财产品。</w:t>
      </w:r>
    </w:p>
    <w:p>
      <w:pPr>
        <w:numPr>
          <w:ilvl w:val="0"/>
          <w:numId w:val="7"/>
        </w:numPr>
        <w:autoSpaceDE w:val="0"/>
        <w:autoSpaceDN w:val="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本理财产品不成立时，理财产品管理人将在认购期届满之日的次日（含）起【</w:t>
      </w:r>
      <w:r>
        <w:rPr>
          <w:rFonts w:ascii="楷体" w:hAnsi="楷体" w:eastAsia="楷体"/>
          <w:color w:val="000000" w:themeColor="text1"/>
          <w:szCs w:val="21"/>
          <w14:textFill>
            <w14:solidFill>
              <w14:schemeClr w14:val="tx1"/>
            </w14:solidFill>
          </w14:textFill>
        </w:rPr>
        <w:t>7】个工作日内，通过销售渠道退还已扣划的投资者认购资金及其在申请成功确认当日（含）至认购期届满之日（不含）期间产生的活期利息（如有），或解除对相关资金的冻结，双方权利义务在前述款项退还或解除冻结之日终止</w:t>
      </w:r>
      <w:r>
        <w:rPr>
          <w:rFonts w:hint="eastAsia" w:ascii="楷体" w:hAnsi="楷体" w:eastAsia="楷体"/>
          <w:color w:val="000000" w:themeColor="text1"/>
          <w:szCs w:val="21"/>
          <w14:textFill>
            <w14:solidFill>
              <w14:schemeClr w14:val="tx1"/>
            </w14:solidFill>
          </w14:textFill>
        </w:rPr>
        <w:t>。</w:t>
      </w:r>
    </w:p>
    <w:p>
      <w:pPr>
        <w:autoSpaceDE w:val="0"/>
        <w:autoSpaceDN w:val="0"/>
        <w:jc w:val="left"/>
        <w:rPr>
          <w:rFonts w:ascii="楷体" w:hAnsi="楷体" w:eastAsia="楷体"/>
          <w:color w:val="000000" w:themeColor="text1"/>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理财产品费用</w:t>
      </w:r>
    </w:p>
    <w:p>
      <w:pPr>
        <w:pStyle w:val="10"/>
        <w:numPr>
          <w:ilvl w:val="0"/>
          <w:numId w:val="8"/>
        </w:numPr>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理财产品固定管理费：【0.20%】</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年化</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在通常情况下，产品</w:t>
      </w:r>
      <w:r>
        <w:rPr>
          <w:rFonts w:hint="eastAsia" w:ascii="楷体" w:hAnsi="楷体" w:eastAsia="楷体"/>
          <w:b/>
          <w:color w:val="000000" w:themeColor="text1"/>
          <w:sz w:val="21"/>
          <w:szCs w:val="18"/>
          <w14:textFill>
            <w14:solidFill>
              <w14:schemeClr w14:val="tx1"/>
            </w14:solidFill>
          </w14:textFill>
        </w:rPr>
        <w:t>固定管理</w:t>
      </w:r>
      <w:r>
        <w:rPr>
          <w:rFonts w:ascii="楷体" w:hAnsi="楷体" w:eastAsia="楷体"/>
          <w:b/>
          <w:color w:val="000000" w:themeColor="text1"/>
          <w:sz w:val="21"/>
          <w:szCs w:val="18"/>
          <w14:textFill>
            <w14:solidFill>
              <w14:schemeClr w14:val="tx1"/>
            </w14:solidFill>
          </w14:textFill>
        </w:rPr>
        <w:t>费按前一估值日资产净值的</w:t>
      </w:r>
      <w:r>
        <w:rPr>
          <w:rFonts w:hint="eastAsia" w:ascii="楷体" w:hAnsi="楷体" w:eastAsia="楷体"/>
          <w:b/>
          <w:color w:val="000000" w:themeColor="text1"/>
          <w:sz w:val="21"/>
          <w:szCs w:val="18"/>
          <w14:textFill>
            <w14:solidFill>
              <w14:schemeClr w14:val="tx1"/>
            </w14:solidFill>
          </w14:textFill>
        </w:rPr>
        <w:t>【0.20%】</w:t>
      </w:r>
      <w:r>
        <w:rPr>
          <w:rFonts w:ascii="楷体" w:hAnsi="楷体" w:eastAsia="楷体"/>
          <w:b/>
          <w:color w:val="000000" w:themeColor="text1"/>
          <w:sz w:val="21"/>
          <w:szCs w:val="18"/>
          <w14:textFill>
            <w14:solidFill>
              <w14:schemeClr w14:val="tx1"/>
            </w14:solidFill>
          </w14:textFill>
        </w:rPr>
        <w:t>年费率计提。计算方法如下：</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F1</w:t>
      </w:r>
      <w:r>
        <w:rPr>
          <w:rFonts w:ascii="楷体" w:hAnsi="楷体" w:eastAsia="楷体"/>
          <w:b/>
          <w:color w:val="000000" w:themeColor="text1"/>
          <w:sz w:val="21"/>
          <w:szCs w:val="18"/>
          <w14:textFill>
            <w14:solidFill>
              <w14:schemeClr w14:val="tx1"/>
            </w14:solidFill>
          </w14:textFill>
        </w:rPr>
        <w:t>=E×</w:t>
      </w:r>
      <w:r>
        <w:rPr>
          <w:rFonts w:hint="eastAsia" w:ascii="楷体" w:hAnsi="楷体" w:eastAsia="楷体"/>
          <w:b/>
          <w:color w:val="000000" w:themeColor="text1"/>
          <w:sz w:val="21"/>
          <w:szCs w:val="18"/>
          <w14:textFill>
            <w14:solidFill>
              <w14:schemeClr w14:val="tx1"/>
            </w14:solidFill>
          </w14:textFill>
        </w:rPr>
        <w:t>【0.20%】</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365</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F1</w:t>
      </w:r>
      <w:r>
        <w:rPr>
          <w:rFonts w:ascii="楷体" w:hAnsi="楷体" w:eastAsia="楷体"/>
          <w:b/>
          <w:color w:val="000000" w:themeColor="text1"/>
          <w:sz w:val="21"/>
          <w:szCs w:val="18"/>
          <w14:textFill>
            <w14:solidFill>
              <w14:schemeClr w14:val="tx1"/>
            </w14:solidFill>
          </w14:textFill>
        </w:rPr>
        <w:t>为每日应计提的产品</w:t>
      </w:r>
      <w:r>
        <w:rPr>
          <w:rFonts w:hint="eastAsia" w:ascii="楷体" w:hAnsi="楷体" w:eastAsia="楷体"/>
          <w:b/>
          <w:color w:val="000000" w:themeColor="text1"/>
          <w:sz w:val="21"/>
          <w:szCs w:val="18"/>
          <w14:textFill>
            <w14:solidFill>
              <w14:schemeClr w14:val="tx1"/>
            </w14:solidFill>
          </w14:textFill>
        </w:rPr>
        <w:t>固定管理</w:t>
      </w:r>
      <w:r>
        <w:rPr>
          <w:rFonts w:ascii="楷体" w:hAnsi="楷体" w:eastAsia="楷体"/>
          <w:b/>
          <w:color w:val="000000" w:themeColor="text1"/>
          <w:sz w:val="21"/>
          <w:szCs w:val="18"/>
          <w14:textFill>
            <w14:solidFill>
              <w14:schemeClr w14:val="tx1"/>
            </w14:solidFill>
          </w14:textFill>
        </w:rPr>
        <w:t>费</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E</w:t>
      </w:r>
      <w:r>
        <w:rPr>
          <w:rFonts w:hint="eastAsia" w:ascii="楷体" w:hAnsi="楷体" w:eastAsia="楷体"/>
          <w:b/>
          <w:color w:val="000000" w:themeColor="text1"/>
          <w:sz w:val="21"/>
          <w:szCs w:val="18"/>
          <w14:textFill>
            <w14:solidFill>
              <w14:schemeClr w14:val="tx1"/>
            </w14:solidFill>
          </w14:textFill>
        </w:rPr>
        <w:t>为</w:t>
      </w:r>
      <w:r>
        <w:rPr>
          <w:rFonts w:ascii="楷体" w:hAnsi="楷体" w:eastAsia="楷体"/>
          <w:b/>
          <w:color w:val="000000" w:themeColor="text1"/>
          <w:sz w:val="21"/>
          <w:szCs w:val="18"/>
          <w14:textFill>
            <w14:solidFill>
              <w14:schemeClr w14:val="tx1"/>
            </w14:solidFill>
          </w14:textFill>
        </w:rPr>
        <w:t>前一估值日资产净值</w:t>
      </w:r>
      <w:r>
        <w:rPr>
          <w:rFonts w:hint="eastAsia" w:ascii="楷体" w:hAnsi="楷体" w:eastAsia="楷体"/>
          <w:b/>
          <w:color w:val="000000" w:themeColor="text1"/>
          <w:sz w:val="21"/>
          <w:szCs w:val="18"/>
          <w14:textFill>
            <w14:solidFill>
              <w14:schemeClr w14:val="tx1"/>
            </w14:solidFill>
          </w14:textFill>
        </w:rPr>
        <w:t>（成立日当日，则</w:t>
      </w:r>
      <w:r>
        <w:rPr>
          <w:rFonts w:ascii="楷体" w:hAnsi="楷体" w:eastAsia="楷体"/>
          <w:b/>
          <w:color w:val="000000" w:themeColor="text1"/>
          <w:sz w:val="21"/>
          <w:szCs w:val="18"/>
          <w14:textFill>
            <w14:solidFill>
              <w14:schemeClr w14:val="tx1"/>
            </w14:solidFill>
          </w14:textFill>
        </w:rPr>
        <w:t>E为成立日当日的产品份额</w:t>
      </w:r>
      <w:r>
        <w:rPr>
          <w:rFonts w:hint="eastAsia" w:ascii="楷体" w:hAnsi="楷体" w:eastAsia="楷体"/>
          <w:b/>
          <w:color w:val="000000" w:themeColor="text1"/>
          <w:sz w:val="21"/>
          <w:szCs w:val="18"/>
          <w14:textFill>
            <w14:solidFill>
              <w14:schemeClr w14:val="tx1"/>
            </w14:solidFill>
          </w14:textFill>
        </w:rPr>
        <w:t>）</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产品</w:t>
      </w:r>
      <w:r>
        <w:rPr>
          <w:rFonts w:hint="eastAsia" w:ascii="楷体" w:hAnsi="楷体" w:eastAsia="楷体"/>
          <w:b/>
          <w:color w:val="000000" w:themeColor="text1"/>
          <w:sz w:val="21"/>
          <w:szCs w:val="18"/>
          <w14:textFill>
            <w14:solidFill>
              <w14:schemeClr w14:val="tx1"/>
            </w14:solidFill>
          </w14:textFill>
        </w:rPr>
        <w:t>固定管理</w:t>
      </w:r>
      <w:r>
        <w:rPr>
          <w:rFonts w:ascii="楷体" w:hAnsi="楷体" w:eastAsia="楷体"/>
          <w:b/>
          <w:color w:val="000000" w:themeColor="text1"/>
          <w:sz w:val="21"/>
          <w:szCs w:val="18"/>
          <w14:textFill>
            <w14:solidFill>
              <w14:schemeClr w14:val="tx1"/>
            </w14:solidFill>
          </w14:textFill>
        </w:rPr>
        <w:t>费每日计提</w:t>
      </w:r>
      <w:r>
        <w:rPr>
          <w:rFonts w:hint="eastAsia" w:ascii="楷体" w:hAnsi="楷体" w:eastAsia="楷体"/>
          <w:b/>
          <w:color w:val="000000" w:themeColor="text1"/>
          <w:sz w:val="21"/>
          <w:szCs w:val="18"/>
          <w14:textFill>
            <w14:solidFill>
              <w14:schemeClr w14:val="tx1"/>
            </w14:solidFill>
          </w14:textFill>
        </w:rPr>
        <w:t>，定期支付给理财产品管理人。</w:t>
      </w:r>
      <w:r>
        <w:rPr>
          <w:rFonts w:hint="eastAsia" w:ascii="楷体" w:hAnsi="楷体" w:eastAsia="楷体" w:cs="楷体"/>
          <w:b/>
          <w:color w:val="000000" w:themeColor="text1"/>
          <w:sz w:val="21"/>
          <w:szCs w:val="18"/>
          <w14:textFill>
            <w14:solidFill>
              <w14:schemeClr w14:val="tx1"/>
            </w14:solidFill>
          </w14:textFill>
        </w:rPr>
        <w:t>产品管理人可不定期调整产品固定管理费率。如产品管理人调整</w:t>
      </w:r>
      <w:r>
        <w:rPr>
          <w:rFonts w:ascii="楷体" w:hAnsi="楷体" w:eastAsia="楷体" w:cs="楷体"/>
          <w:b/>
          <w:color w:val="000000" w:themeColor="text1"/>
          <w:sz w:val="21"/>
          <w:szCs w:val="18"/>
          <w14:textFill>
            <w14:solidFill>
              <w14:schemeClr w14:val="tx1"/>
            </w14:solidFill>
          </w14:textFill>
        </w:rPr>
        <w:t>产</w:t>
      </w:r>
      <w:r>
        <w:rPr>
          <w:rFonts w:hint="eastAsia" w:ascii="楷体" w:hAnsi="楷体" w:eastAsia="楷体" w:cs="楷体"/>
          <w:b/>
          <w:color w:val="000000" w:themeColor="text1"/>
          <w:sz w:val="21"/>
          <w:szCs w:val="18"/>
          <w14:textFill>
            <w14:solidFill>
              <w14:schemeClr w14:val="tx1"/>
            </w14:solidFill>
          </w14:textFill>
        </w:rPr>
        <w:t>品</w:t>
      </w:r>
      <w:r>
        <w:rPr>
          <w:rFonts w:ascii="楷体" w:hAnsi="楷体" w:eastAsia="楷体" w:cs="楷体"/>
          <w:b/>
          <w:color w:val="000000" w:themeColor="text1"/>
          <w:sz w:val="21"/>
          <w:szCs w:val="18"/>
          <w14:textFill>
            <w14:solidFill>
              <w14:schemeClr w14:val="tx1"/>
            </w14:solidFill>
          </w14:textFill>
        </w:rPr>
        <w:t>固定管理费率，将</w:t>
      </w:r>
      <w:r>
        <w:rPr>
          <w:rFonts w:hint="eastAsia" w:ascii="楷体" w:hAnsi="楷体" w:eastAsia="楷体" w:cs="楷体"/>
          <w:b/>
          <w:color w:val="000000" w:themeColor="text1"/>
          <w:sz w:val="21"/>
          <w:szCs w:val="18"/>
          <w14:textFill>
            <w14:solidFill>
              <w14:schemeClr w14:val="tx1"/>
            </w14:solidFill>
          </w14:textFill>
        </w:rPr>
        <w:t>通过相应信息</w:t>
      </w:r>
      <w:r>
        <w:rPr>
          <w:rFonts w:ascii="楷体" w:hAnsi="楷体" w:eastAsia="楷体" w:cs="楷体"/>
          <w:b/>
          <w:color w:val="000000" w:themeColor="text1"/>
          <w:sz w:val="21"/>
          <w:szCs w:val="18"/>
          <w14:textFill>
            <w14:solidFill>
              <w14:schemeClr w14:val="tx1"/>
            </w14:solidFill>
          </w14:textFill>
        </w:rPr>
        <w:t>披露渠道予以披露。</w:t>
      </w:r>
    </w:p>
    <w:p>
      <w:pPr>
        <w:widowControl/>
        <w:numPr>
          <w:ilvl w:val="0"/>
          <w:numId w:val="8"/>
        </w:numPr>
        <w:overflowPunct w:val="0"/>
        <w:topLinePunct/>
        <w:autoSpaceDE w:val="0"/>
        <w:autoSpaceDN w:val="0"/>
        <w:rPr>
          <w:rFonts w:ascii="楷体" w:hAnsi="楷体" w:eastAsia="楷体" w:cs="Arial Unicode MS"/>
          <w:b/>
          <w:color w:val="000000"/>
          <w:kern w:val="0"/>
          <w:szCs w:val="18"/>
        </w:rPr>
      </w:pPr>
      <w:r>
        <w:rPr>
          <w:rFonts w:hint="eastAsia" w:ascii="楷体" w:hAnsi="楷体" w:eastAsia="楷体" w:cs="Arial Unicode MS"/>
          <w:b/>
          <w:color w:val="000000"/>
          <w:kern w:val="0"/>
          <w:szCs w:val="18"/>
        </w:rPr>
        <w:t>理财产品销售服务费：</w:t>
      </w:r>
      <w:r>
        <w:rPr>
          <w:rFonts w:hint="eastAsia" w:ascii="楷体" w:hAnsi="楷体" w:eastAsia="楷体" w:cs="Arial Unicode MS"/>
          <w:b/>
          <w:kern w:val="0"/>
          <w:szCs w:val="18"/>
        </w:rPr>
        <w:t>B类份额【0.30%】（年化）</w:t>
      </w:r>
    </w:p>
    <w:p>
      <w:pPr>
        <w:pStyle w:val="10"/>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 xml:space="preserve">    在通常情况下，本产品B类份额销售服务费按前一估值日资产净值的【0.30%】年费率计提。计算方法如下：</w:t>
      </w:r>
      <w:r>
        <w:rPr>
          <w:rFonts w:hint="eastAsia" w:ascii="楷体" w:hAnsi="楷体" w:eastAsia="楷体"/>
          <w:b/>
          <w:color w:val="000000" w:themeColor="text1"/>
          <w:sz w:val="21"/>
          <w:szCs w:val="18"/>
          <w14:textFill>
            <w14:solidFill>
              <w14:schemeClr w14:val="tx1"/>
            </w14:solidFill>
          </w14:textFill>
        </w:rPr>
        <w:br w:type="textWrapping"/>
      </w:r>
      <w:r>
        <w:rPr>
          <w:rFonts w:hint="eastAsia" w:ascii="楷体" w:hAnsi="楷体" w:eastAsia="楷体"/>
          <w:b/>
          <w:color w:val="000000" w:themeColor="text1"/>
          <w:sz w:val="21"/>
          <w:szCs w:val="18"/>
          <w14:textFill>
            <w14:solidFill>
              <w14:schemeClr w14:val="tx1"/>
            </w14:solidFill>
          </w14:textFill>
        </w:rPr>
        <w:t xml:space="preserve">    F2=E×【0.30%】÷365</w:t>
      </w:r>
      <w:r>
        <w:rPr>
          <w:rFonts w:hint="eastAsia" w:ascii="楷体" w:hAnsi="楷体" w:eastAsia="楷体"/>
          <w:b/>
          <w:color w:val="000000" w:themeColor="text1"/>
          <w:sz w:val="21"/>
          <w:szCs w:val="18"/>
          <w14:textFill>
            <w14:solidFill>
              <w14:schemeClr w14:val="tx1"/>
            </w14:solidFill>
          </w14:textFill>
        </w:rPr>
        <w:br w:type="textWrapping"/>
      </w:r>
      <w:r>
        <w:rPr>
          <w:rFonts w:hint="eastAsia" w:ascii="楷体" w:hAnsi="楷体" w:eastAsia="楷体"/>
          <w:b/>
          <w:color w:val="000000" w:themeColor="text1"/>
          <w:sz w:val="21"/>
          <w:szCs w:val="18"/>
          <w14:textFill>
            <w14:solidFill>
              <w14:schemeClr w14:val="tx1"/>
            </w14:solidFill>
          </w14:textFill>
        </w:rPr>
        <w:t xml:space="preserve">    F2为每日应计提的产品销售服务费</w:t>
      </w:r>
      <w:r>
        <w:rPr>
          <w:rFonts w:hint="eastAsia" w:ascii="楷体" w:hAnsi="楷体" w:eastAsia="楷体"/>
          <w:b/>
          <w:color w:val="000000" w:themeColor="text1"/>
          <w:sz w:val="21"/>
          <w:szCs w:val="18"/>
          <w14:textFill>
            <w14:solidFill>
              <w14:schemeClr w14:val="tx1"/>
            </w14:solidFill>
          </w14:textFill>
        </w:rPr>
        <w:br w:type="textWrapping"/>
      </w:r>
      <w:r>
        <w:rPr>
          <w:rFonts w:hint="eastAsia" w:ascii="楷体" w:hAnsi="楷体" w:eastAsia="楷体"/>
          <w:b/>
          <w:color w:val="000000" w:themeColor="text1"/>
          <w:sz w:val="21"/>
          <w:szCs w:val="18"/>
          <w14:textFill>
            <w14:solidFill>
              <w14:schemeClr w14:val="tx1"/>
            </w14:solidFill>
          </w14:textFill>
        </w:rPr>
        <w:t xml:space="preserve">    E为前一估值日资产净值（成立日当日，则</w:t>
      </w:r>
      <w:r>
        <w:rPr>
          <w:rFonts w:ascii="楷体" w:hAnsi="楷体" w:eastAsia="楷体"/>
          <w:b/>
          <w:color w:val="000000" w:themeColor="text1"/>
          <w:sz w:val="21"/>
          <w:szCs w:val="18"/>
          <w14:textFill>
            <w14:solidFill>
              <w14:schemeClr w14:val="tx1"/>
            </w14:solidFill>
          </w14:textFill>
        </w:rPr>
        <w:t>E为成立日当日的产品份额</w:t>
      </w:r>
      <w:r>
        <w:rPr>
          <w:rFonts w:hint="eastAsia" w:ascii="楷体" w:hAnsi="楷体" w:eastAsia="楷体"/>
          <w:b/>
          <w:color w:val="000000" w:themeColor="text1"/>
          <w:sz w:val="21"/>
          <w:szCs w:val="18"/>
          <w14:textFill>
            <w14:solidFill>
              <w14:schemeClr w14:val="tx1"/>
            </w14:solidFill>
          </w14:textFill>
        </w:rPr>
        <w:t>）</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产品销售服务费</w:t>
      </w:r>
      <w:r>
        <w:rPr>
          <w:rFonts w:ascii="楷体" w:hAnsi="楷体" w:eastAsia="楷体"/>
          <w:b/>
          <w:color w:val="000000" w:themeColor="text1"/>
          <w:sz w:val="21"/>
          <w:szCs w:val="18"/>
          <w14:textFill>
            <w14:solidFill>
              <w14:schemeClr w14:val="tx1"/>
            </w14:solidFill>
          </w14:textFill>
        </w:rPr>
        <w:t>每日计提</w:t>
      </w:r>
      <w:r>
        <w:rPr>
          <w:rFonts w:hint="eastAsia" w:ascii="楷体" w:hAnsi="楷体" w:eastAsia="楷体"/>
          <w:b/>
          <w:color w:val="000000" w:themeColor="text1"/>
          <w:sz w:val="21"/>
          <w:szCs w:val="18"/>
          <w14:textFill>
            <w14:solidFill>
              <w14:schemeClr w14:val="tx1"/>
            </w14:solidFill>
          </w14:textFill>
        </w:rPr>
        <w:t>，定期支付给</w:t>
      </w:r>
      <w:r>
        <w:rPr>
          <w:rFonts w:hint="eastAsia" w:ascii="楷体" w:hAnsi="楷体" w:eastAsia="楷体" w:cs="楷体"/>
          <w:b/>
          <w:color w:val="000000" w:themeColor="text1"/>
          <w:sz w:val="21"/>
          <w:szCs w:val="21"/>
          <w14:textFill>
            <w14:solidFill>
              <w14:schemeClr w14:val="tx1"/>
            </w14:solidFill>
          </w14:textFill>
        </w:rPr>
        <w:t>理财产品销售机构</w:t>
      </w:r>
      <w:r>
        <w:rPr>
          <w:rFonts w:hint="eastAsia" w:ascii="楷体" w:hAnsi="楷体" w:eastAsia="楷体"/>
          <w:b/>
          <w:color w:val="000000" w:themeColor="text1"/>
          <w:sz w:val="21"/>
          <w:szCs w:val="18"/>
          <w14:textFill>
            <w14:solidFill>
              <w14:schemeClr w14:val="tx1"/>
            </w14:solidFill>
          </w14:textFill>
        </w:rPr>
        <w:t>。产品管理人</w:t>
      </w:r>
      <w:r>
        <w:rPr>
          <w:rFonts w:ascii="楷体" w:hAnsi="楷体" w:eastAsia="楷体"/>
          <w:b/>
          <w:color w:val="000000" w:themeColor="text1"/>
          <w:sz w:val="21"/>
          <w:szCs w:val="18"/>
          <w14:textFill>
            <w14:solidFill>
              <w14:schemeClr w14:val="tx1"/>
            </w14:solidFill>
          </w14:textFill>
        </w:rPr>
        <w:t>/销售机构</w:t>
      </w:r>
      <w:r>
        <w:rPr>
          <w:rFonts w:hint="eastAsia" w:ascii="楷体" w:hAnsi="楷体" w:eastAsia="楷体"/>
          <w:b/>
          <w:color w:val="000000" w:themeColor="text1"/>
          <w:sz w:val="21"/>
          <w:szCs w:val="18"/>
          <w14:textFill>
            <w14:solidFill>
              <w14:schemeClr w14:val="tx1"/>
            </w14:solidFill>
          </w14:textFill>
        </w:rPr>
        <w:t>可不定期调整产品销售服务费率。如调整产品销售服务费率</w:t>
      </w:r>
      <w:r>
        <w:rPr>
          <w:rFonts w:ascii="楷体" w:hAnsi="楷体" w:eastAsia="楷体"/>
          <w:b/>
          <w:color w:val="000000" w:themeColor="text1"/>
          <w:sz w:val="21"/>
          <w:szCs w:val="18"/>
          <w14:textFill>
            <w14:solidFill>
              <w14:schemeClr w14:val="tx1"/>
            </w14:solidFill>
          </w14:textFill>
        </w:rPr>
        <w:t>，将</w:t>
      </w:r>
      <w:r>
        <w:rPr>
          <w:rFonts w:hint="eastAsia" w:ascii="楷体" w:hAnsi="楷体" w:eastAsia="楷体"/>
          <w:b/>
          <w:color w:val="000000" w:themeColor="text1"/>
          <w:sz w:val="21"/>
          <w:szCs w:val="18"/>
          <w14:textFill>
            <w14:solidFill>
              <w14:schemeClr w14:val="tx1"/>
            </w14:solidFill>
          </w14:textFill>
        </w:rPr>
        <w:t>通过相应信息</w:t>
      </w:r>
      <w:r>
        <w:rPr>
          <w:rFonts w:ascii="楷体" w:hAnsi="楷体" w:eastAsia="楷体"/>
          <w:b/>
          <w:color w:val="000000" w:themeColor="text1"/>
          <w:sz w:val="21"/>
          <w:szCs w:val="18"/>
          <w14:textFill>
            <w14:solidFill>
              <w14:schemeClr w14:val="tx1"/>
            </w14:solidFill>
          </w14:textFill>
        </w:rPr>
        <w:t>披露渠道予以披露。</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各销售机构或各类份额的销售服务费或有不同。</w:t>
      </w:r>
    </w:p>
    <w:p>
      <w:pPr>
        <w:pStyle w:val="10"/>
        <w:numPr>
          <w:ilvl w:val="0"/>
          <w:numId w:val="8"/>
        </w:numPr>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理财产品托管费：【0.02%】</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年化</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在通常情况下，产品</w:t>
      </w:r>
      <w:r>
        <w:rPr>
          <w:rFonts w:hint="eastAsia" w:ascii="楷体" w:hAnsi="楷体" w:eastAsia="楷体"/>
          <w:b/>
          <w:color w:val="000000" w:themeColor="text1"/>
          <w:sz w:val="21"/>
          <w:szCs w:val="18"/>
          <w14:textFill>
            <w14:solidFill>
              <w14:schemeClr w14:val="tx1"/>
            </w14:solidFill>
          </w14:textFill>
        </w:rPr>
        <w:t>托管</w:t>
      </w:r>
      <w:r>
        <w:rPr>
          <w:rFonts w:ascii="楷体" w:hAnsi="楷体" w:eastAsia="楷体"/>
          <w:b/>
          <w:color w:val="000000" w:themeColor="text1"/>
          <w:sz w:val="21"/>
          <w:szCs w:val="18"/>
          <w14:textFill>
            <w14:solidFill>
              <w14:schemeClr w14:val="tx1"/>
            </w14:solidFill>
          </w14:textFill>
        </w:rPr>
        <w:t>费按前一估值日资产净值的</w:t>
      </w:r>
      <w:r>
        <w:rPr>
          <w:rFonts w:hint="eastAsia" w:ascii="楷体" w:hAnsi="楷体" w:eastAsia="楷体"/>
          <w:b/>
          <w:color w:val="000000" w:themeColor="text1"/>
          <w:sz w:val="21"/>
          <w:szCs w:val="18"/>
          <w14:textFill>
            <w14:solidFill>
              <w14:schemeClr w14:val="tx1"/>
            </w14:solidFill>
          </w14:textFill>
        </w:rPr>
        <w:t>【0.02%】</w:t>
      </w:r>
      <w:r>
        <w:rPr>
          <w:rFonts w:ascii="楷体" w:hAnsi="楷体" w:eastAsia="楷体"/>
          <w:b/>
          <w:color w:val="000000" w:themeColor="text1"/>
          <w:sz w:val="21"/>
          <w:szCs w:val="18"/>
          <w14:textFill>
            <w14:solidFill>
              <w14:schemeClr w14:val="tx1"/>
            </w14:solidFill>
          </w14:textFill>
        </w:rPr>
        <w:t>年费率计提。计算方法如下：</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w:t>
      </w:r>
      <w:r>
        <w:rPr>
          <w:rFonts w:ascii="楷体" w:hAnsi="楷体" w:eastAsia="楷体"/>
          <w:b/>
          <w:color w:val="000000" w:themeColor="text1"/>
          <w:sz w:val="21"/>
          <w:szCs w:val="18"/>
          <w14:textFill>
            <w14:solidFill>
              <w14:schemeClr w14:val="tx1"/>
            </w14:solidFill>
          </w14:textFill>
        </w:rPr>
        <w:t>3=E×</w:t>
      </w:r>
      <w:r>
        <w:rPr>
          <w:rFonts w:hint="eastAsia" w:ascii="楷体" w:hAnsi="楷体" w:eastAsia="楷体"/>
          <w:b/>
          <w:color w:val="000000" w:themeColor="text1"/>
          <w:sz w:val="21"/>
          <w:szCs w:val="18"/>
          <w14:textFill>
            <w14:solidFill>
              <w14:schemeClr w14:val="tx1"/>
            </w14:solidFill>
          </w14:textFill>
        </w:rPr>
        <w:t>【0.02%】</w:t>
      </w:r>
      <w:r>
        <w:rPr>
          <w:rFonts w:ascii="楷体" w:hAnsi="楷体" w:eastAsia="楷体"/>
          <w:b/>
          <w:color w:val="000000" w:themeColor="text1"/>
          <w:sz w:val="21"/>
          <w:szCs w:val="18"/>
          <w14:textFill>
            <w14:solidFill>
              <w14:schemeClr w14:val="tx1"/>
            </w14:solidFill>
          </w14:textFill>
        </w:rPr>
        <w:t>÷</w:t>
      </w:r>
      <w:r>
        <w:rPr>
          <w:rFonts w:hint="eastAsia" w:ascii="楷体" w:hAnsi="楷体" w:eastAsia="楷体"/>
          <w:b/>
          <w:color w:val="000000" w:themeColor="text1"/>
          <w:sz w:val="21"/>
          <w:szCs w:val="18"/>
          <w14:textFill>
            <w14:solidFill>
              <w14:schemeClr w14:val="tx1"/>
            </w14:solidFill>
          </w14:textFill>
        </w:rPr>
        <w:t>365</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F</w:t>
      </w:r>
      <w:r>
        <w:rPr>
          <w:rFonts w:ascii="楷体" w:hAnsi="楷体" w:eastAsia="楷体"/>
          <w:b/>
          <w:color w:val="000000" w:themeColor="text1"/>
          <w:sz w:val="21"/>
          <w:szCs w:val="18"/>
          <w14:textFill>
            <w14:solidFill>
              <w14:schemeClr w14:val="tx1"/>
            </w14:solidFill>
          </w14:textFill>
        </w:rPr>
        <w:t>3为每日应计提的</w:t>
      </w:r>
      <w:r>
        <w:rPr>
          <w:rFonts w:hint="eastAsia" w:ascii="楷体" w:hAnsi="楷体" w:eastAsia="楷体"/>
          <w:b/>
          <w:color w:val="000000" w:themeColor="text1"/>
          <w:sz w:val="21"/>
          <w:szCs w:val="18"/>
          <w14:textFill>
            <w14:solidFill>
              <w14:schemeClr w14:val="tx1"/>
            </w14:solidFill>
          </w14:textFill>
        </w:rPr>
        <w:t>产品托管</w:t>
      </w:r>
      <w:r>
        <w:rPr>
          <w:rFonts w:ascii="楷体" w:hAnsi="楷体" w:eastAsia="楷体"/>
          <w:b/>
          <w:color w:val="000000" w:themeColor="text1"/>
          <w:sz w:val="21"/>
          <w:szCs w:val="18"/>
          <w14:textFill>
            <w14:solidFill>
              <w14:schemeClr w14:val="tx1"/>
            </w14:solidFill>
          </w14:textFill>
        </w:rPr>
        <w:t>费</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E</w:t>
      </w:r>
      <w:r>
        <w:rPr>
          <w:rFonts w:hint="eastAsia" w:ascii="楷体" w:hAnsi="楷体" w:eastAsia="楷体"/>
          <w:b/>
          <w:color w:val="000000" w:themeColor="text1"/>
          <w:sz w:val="21"/>
          <w:szCs w:val="18"/>
          <w14:textFill>
            <w14:solidFill>
              <w14:schemeClr w14:val="tx1"/>
            </w14:solidFill>
          </w14:textFill>
        </w:rPr>
        <w:t>为</w:t>
      </w:r>
      <w:r>
        <w:rPr>
          <w:rFonts w:ascii="楷体" w:hAnsi="楷体" w:eastAsia="楷体"/>
          <w:b/>
          <w:color w:val="000000" w:themeColor="text1"/>
          <w:sz w:val="21"/>
          <w:szCs w:val="18"/>
          <w14:textFill>
            <w14:solidFill>
              <w14:schemeClr w14:val="tx1"/>
            </w14:solidFill>
          </w14:textFill>
        </w:rPr>
        <w:t>前一估值日资产净值</w:t>
      </w:r>
      <w:r>
        <w:rPr>
          <w:rFonts w:hint="eastAsia" w:ascii="楷体" w:hAnsi="楷体" w:eastAsia="楷体"/>
          <w:b/>
          <w:color w:val="000000" w:themeColor="text1"/>
          <w:sz w:val="21"/>
          <w:szCs w:val="18"/>
          <w14:textFill>
            <w14:solidFill>
              <w14:schemeClr w14:val="tx1"/>
            </w14:solidFill>
          </w14:textFill>
        </w:rPr>
        <w:t>（成立日当日，则</w:t>
      </w:r>
      <w:r>
        <w:rPr>
          <w:rFonts w:ascii="楷体" w:hAnsi="楷体" w:eastAsia="楷体"/>
          <w:b/>
          <w:color w:val="000000" w:themeColor="text1"/>
          <w:sz w:val="21"/>
          <w:szCs w:val="18"/>
          <w14:textFill>
            <w14:solidFill>
              <w14:schemeClr w14:val="tx1"/>
            </w14:solidFill>
          </w14:textFill>
        </w:rPr>
        <w:t>E为成立日当日的产品份额</w:t>
      </w:r>
      <w:r>
        <w:rPr>
          <w:rFonts w:hint="eastAsia" w:ascii="楷体" w:hAnsi="楷体" w:eastAsia="楷体"/>
          <w:b/>
          <w:color w:val="000000" w:themeColor="text1"/>
          <w:sz w:val="21"/>
          <w:szCs w:val="18"/>
          <w14:textFill>
            <w14:solidFill>
              <w14:schemeClr w14:val="tx1"/>
            </w14:solidFill>
          </w14:textFill>
        </w:rPr>
        <w:t>）</w:t>
      </w:r>
    </w:p>
    <w:p>
      <w:pPr>
        <w:pStyle w:val="10"/>
        <w:overflowPunct w:val="0"/>
        <w:topLinePunct/>
        <w:autoSpaceDE w:val="0"/>
        <w:autoSpaceDN w:val="0"/>
        <w:spacing w:before="0" w:beforeAutospacing="0" w:after="0" w:afterAutospacing="0"/>
        <w:ind w:firstLine="42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产品</w:t>
      </w:r>
      <w:r>
        <w:rPr>
          <w:rFonts w:hint="eastAsia" w:ascii="楷体" w:hAnsi="楷体" w:eastAsia="楷体"/>
          <w:b/>
          <w:color w:val="000000" w:themeColor="text1"/>
          <w:sz w:val="21"/>
          <w:szCs w:val="18"/>
          <w14:textFill>
            <w14:solidFill>
              <w14:schemeClr w14:val="tx1"/>
            </w14:solidFill>
          </w14:textFill>
        </w:rPr>
        <w:t>托管</w:t>
      </w:r>
      <w:r>
        <w:rPr>
          <w:rFonts w:ascii="楷体" w:hAnsi="楷体" w:eastAsia="楷体"/>
          <w:b/>
          <w:color w:val="000000" w:themeColor="text1"/>
          <w:sz w:val="21"/>
          <w:szCs w:val="18"/>
          <w14:textFill>
            <w14:solidFill>
              <w14:schemeClr w14:val="tx1"/>
            </w14:solidFill>
          </w14:textFill>
        </w:rPr>
        <w:t>费每日计提</w:t>
      </w:r>
      <w:r>
        <w:rPr>
          <w:rFonts w:hint="eastAsia" w:ascii="楷体" w:hAnsi="楷体" w:eastAsia="楷体"/>
          <w:b/>
          <w:color w:val="000000" w:themeColor="text1"/>
          <w:sz w:val="21"/>
          <w:szCs w:val="18"/>
          <w14:textFill>
            <w14:solidFill>
              <w14:schemeClr w14:val="tx1"/>
            </w14:solidFill>
          </w14:textFill>
        </w:rPr>
        <w:t>，定期支付给理财产品托管人。</w:t>
      </w:r>
    </w:p>
    <w:p>
      <w:pPr>
        <w:pStyle w:val="10"/>
        <w:numPr>
          <w:ilvl w:val="0"/>
          <w:numId w:val="8"/>
        </w:numPr>
        <w:overflowPunct w:val="0"/>
        <w:topLinePunct/>
        <w:autoSpaceDE w:val="0"/>
        <w:autoSpaceDN w:val="0"/>
        <w:spacing w:before="0" w:beforeAutospacing="0" w:after="0" w:afterAutospacing="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理财产品认购费、申购费、赎回费</w:t>
      </w:r>
    </w:p>
    <w:p>
      <w:pPr>
        <w:pStyle w:val="10"/>
        <w:overflowPunct w:val="0"/>
        <w:topLinePunct/>
        <w:autoSpaceDE w:val="0"/>
        <w:autoSpaceDN w:val="0"/>
        <w:spacing w:before="0" w:beforeAutospacing="0" w:after="0" w:afterAutospacing="0"/>
        <w:ind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本理财产品无认购费、申购费和赎回费。</w:t>
      </w:r>
    </w:p>
    <w:p>
      <w:pPr>
        <w:pStyle w:val="10"/>
        <w:numPr>
          <w:ilvl w:val="0"/>
          <w:numId w:val="8"/>
        </w:numPr>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理财产品超额业绩报酬</w:t>
      </w:r>
    </w:p>
    <w:p>
      <w:pPr>
        <w:pStyle w:val="10"/>
        <w:widowControl w:val="0"/>
        <w:overflowPunct w:val="0"/>
        <w:topLinePunct/>
        <w:autoSpaceDE w:val="0"/>
        <w:autoSpaceDN w:val="0"/>
        <w:spacing w:before="0" w:beforeAutospacing="0" w:after="0" w:afterAutospacing="0"/>
        <w:jc w:val="both"/>
        <w:rPr>
          <w:rFonts w:ascii="楷体" w:hAnsi="楷体" w:eastAsia="楷体"/>
          <w:b/>
          <w:color w:val="000000" w:themeColor="text1"/>
          <w:sz w:val="21"/>
          <w:szCs w:val="18"/>
          <w14:textFill>
            <w14:solidFill>
              <w14:schemeClr w14:val="tx1"/>
            </w14:solidFill>
          </w14:textFill>
        </w:rPr>
      </w:pPr>
      <w:r>
        <w:rPr>
          <w:rFonts w:ascii="楷体" w:hAnsi="楷体" w:eastAsia="楷体"/>
          <w:b/>
          <w:color w:val="000000" w:themeColor="text1"/>
          <w:sz w:val="21"/>
          <w:szCs w:val="18"/>
          <w14:textFill>
            <w14:solidFill>
              <w14:schemeClr w14:val="tx1"/>
            </w14:solidFill>
          </w14:textFill>
        </w:rPr>
        <w:t xml:space="preserve">    本理财产品</w:t>
      </w:r>
      <w:r>
        <w:rPr>
          <w:rFonts w:hint="eastAsia" w:ascii="楷体" w:hAnsi="楷体" w:eastAsia="楷体"/>
          <w:b/>
          <w:color w:val="000000" w:themeColor="text1"/>
          <w:sz w:val="21"/>
          <w:szCs w:val="18"/>
          <w14:textFill>
            <w14:solidFill>
              <w14:schemeClr w14:val="tx1"/>
            </w14:solidFill>
          </w14:textFill>
        </w:rPr>
        <w:t>暂不收取超额业绩报酬。中银理财有权根据市场及产品运作情况调整超额业绩报酬的收费条件、标准和方式，并至少提前</w:t>
      </w:r>
      <w:r>
        <w:rPr>
          <w:rFonts w:ascii="楷体" w:hAnsi="楷体" w:eastAsia="楷体"/>
          <w:b/>
          <w:color w:val="000000" w:themeColor="text1"/>
          <w:sz w:val="21"/>
          <w:szCs w:val="18"/>
          <w14:textFill>
            <w14:solidFill>
              <w14:schemeClr w14:val="tx1"/>
            </w14:solidFill>
          </w14:textFill>
        </w:rPr>
        <w:t>3个工作日事先通过本产品说明书约定的信息披露渠道进行公告。若投资者在公告约定的收费起始日（不含当日）之前已经完成本产品的认购、申购申请，即投资者提出认购、申购申请的日期在公告约定的收费起始日（不含当日）之前，则就该等份额而言不适用超额业绩报酬收取的相关条款；若投资者在公告约定的收费起始日（含当日）后提出认购、申购申请，即投资者申请认购、申购的日期在公告约定的收费起始日（含当日）之后，则仅对此类份额适用超额业绩报酬收取的相关条</w:t>
      </w:r>
      <w:r>
        <w:rPr>
          <w:rFonts w:hint="eastAsia" w:ascii="楷体" w:hAnsi="楷体" w:eastAsia="楷体"/>
          <w:b/>
          <w:color w:val="000000" w:themeColor="text1"/>
          <w:sz w:val="21"/>
          <w:szCs w:val="18"/>
          <w14:textFill>
            <w14:solidFill>
              <w14:schemeClr w14:val="tx1"/>
            </w14:solidFill>
          </w14:textFill>
        </w:rPr>
        <w:t>款，超额业绩报酬的收费条件、标准和方式等要素以管理人公告约定为准。举例：若公告约定的收费起始日为</w:t>
      </w:r>
      <w:r>
        <w:rPr>
          <w:rFonts w:ascii="楷体" w:hAnsi="楷体" w:eastAsia="楷体"/>
          <w:b/>
          <w:color w:val="000000" w:themeColor="text1"/>
          <w:sz w:val="21"/>
          <w:szCs w:val="18"/>
          <w14:textFill>
            <w14:solidFill>
              <w14:schemeClr w14:val="tx1"/>
            </w14:solidFill>
          </w14:textFill>
        </w:rPr>
        <w:t>T日，投资者分别在T日（不含当日）之前申请申购本理财产品份额、T日当日申请追加申购本理财产品份额，则在T日（不含当日）之前申购的理财产品份额不适用超额业绩报酬收取的相关条款，而在T日当日追加申购的理财产品份额适用于超额业绩报酬收取的相关条款。</w:t>
      </w:r>
    </w:p>
    <w:p>
      <w:pPr>
        <w:pStyle w:val="10"/>
        <w:numPr>
          <w:ilvl w:val="0"/>
          <w:numId w:val="8"/>
        </w:numPr>
        <w:overflowPunct w:val="0"/>
        <w:topLinePunct/>
        <w:autoSpaceDE w:val="0"/>
        <w:autoSpaceDN w:val="0"/>
        <w:spacing w:before="0" w:beforeAutospacing="0" w:after="0" w:afterAutospacing="0"/>
        <w:ind w:firstLine="426"/>
        <w:jc w:val="both"/>
        <w:rPr>
          <w:rFonts w:ascii="楷体" w:hAnsi="楷体" w:eastAsia="楷体"/>
          <w:b/>
          <w:color w:val="000000" w:themeColor="text1"/>
          <w:sz w:val="21"/>
          <w:szCs w:val="21"/>
          <w14:textFill>
            <w14:solidFill>
              <w14:schemeClr w14:val="tx1"/>
            </w14:solidFill>
          </w14:textFill>
        </w:rPr>
      </w:pPr>
      <w:r>
        <w:rPr>
          <w:rFonts w:hint="eastAsia" w:ascii="楷体" w:hAnsi="楷体" w:eastAsia="楷体"/>
          <w:b/>
          <w:color w:val="000000" w:themeColor="text1"/>
          <w:sz w:val="21"/>
          <w:szCs w:val="18"/>
          <w14:textFill>
            <w14:solidFill>
              <w14:schemeClr w14:val="tx1"/>
            </w14:solidFill>
          </w14:textFill>
        </w:rPr>
        <w:t>其他从理财产品财产中支付的税费：1、投资账户开立及维护费、交易手续费、资金汇划费、清算费；2、产品成立后与产品相关的审计费、诉讼费、仲裁费、律师费、执行费、信息披露费；3、增值税及附加税费等；4、以及其他按照国家有关规定可以列入的费用。上述税费（如有）在实际发生时按照实际发生额支付。</w:t>
      </w:r>
    </w:p>
    <w:p>
      <w:pPr>
        <w:pStyle w:val="10"/>
        <w:overflowPunct w:val="0"/>
        <w:topLinePunct/>
        <w:autoSpaceDE w:val="0"/>
        <w:autoSpaceDN w:val="0"/>
        <w:spacing w:before="0" w:beforeAutospacing="0" w:after="0" w:afterAutospacing="0"/>
        <w:ind w:left="318"/>
        <w:rPr>
          <w:rFonts w:ascii="楷体" w:hAnsi="楷体" w:eastAsia="楷体"/>
          <w:color w:val="000000" w:themeColor="text1"/>
          <w:sz w:val="21"/>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理财产品收益分配</w:t>
      </w:r>
    </w:p>
    <w:p>
      <w:pPr>
        <w:pStyle w:val="10"/>
        <w:widowControl w:val="0"/>
        <w:numPr>
          <w:ilvl w:val="0"/>
          <w:numId w:val="9"/>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收益分配的原则：</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理财产品收益分配采取现金方式；</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每一理财产品份额享有同等分配权；</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只有当理财产品份额净值高于面值时方可进行收益分配；</w:t>
      </w:r>
    </w:p>
    <w:p>
      <w:pPr>
        <w:pStyle w:val="10"/>
        <w:widowControl w:val="0"/>
        <w:numPr>
          <w:ilvl w:val="0"/>
          <w:numId w:val="10"/>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理财产品收益分配后每份理财产品份额的净值不能低于面值。</w:t>
      </w:r>
    </w:p>
    <w:p>
      <w:pPr>
        <w:pStyle w:val="10"/>
        <w:widowControl w:val="0"/>
        <w:numPr>
          <w:ilvl w:val="0"/>
          <w:numId w:val="9"/>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收益分配方案的确定和公布：收益分配方案由理财产品管理人拟定，并由理财产品托管人核实后，在分配前进行信息披露。收益分配方案中载明理财产品投资收益分配日、分配数额及比例、分配方式等内容。</w:t>
      </w:r>
    </w:p>
    <w:p>
      <w:pPr>
        <w:pStyle w:val="10"/>
        <w:widowControl w:val="0"/>
        <w:numPr>
          <w:ilvl w:val="0"/>
          <w:numId w:val="9"/>
        </w:numPr>
        <w:tabs>
          <w:tab w:val="left" w:pos="1080"/>
        </w:tabs>
        <w:overflowPunct w:val="0"/>
        <w:topLinePunct/>
        <w:autoSpaceDE w:val="0"/>
        <w:autoSpaceDN w:val="0"/>
        <w:adjustRightInd w:val="0"/>
        <w:spacing w:before="0" w:beforeAutospacing="0" w:after="0" w:afterAutospacing="0"/>
        <w:ind w:right="22"/>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分配的收益将在投资收益分配日后3个工作日内划入投资者账户。</w:t>
      </w:r>
    </w:p>
    <w:p>
      <w:pPr>
        <w:rPr>
          <w:rFonts w:ascii="楷体" w:hAnsi="楷体" w:eastAsia="楷体"/>
          <w:color w:val="000000" w:themeColor="text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申购和赎回</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本理财</w:t>
      </w:r>
      <w:r>
        <w:rPr>
          <w:rFonts w:ascii="楷体" w:hAnsi="楷体" w:eastAsia="楷体" w:cs="Arial Unicode MS"/>
          <w:color w:val="000000" w:themeColor="text1"/>
          <w:kern w:val="0"/>
          <w:szCs w:val="18"/>
          <w14:textFill>
            <w14:solidFill>
              <w14:schemeClr w14:val="tx1"/>
            </w14:solidFill>
          </w14:textFill>
        </w:rPr>
        <w:t>产品</w:t>
      </w:r>
      <w:r>
        <w:rPr>
          <w:rFonts w:hint="eastAsia" w:ascii="楷体" w:hAnsi="楷体" w:eastAsia="楷体" w:cs="Arial Unicode MS"/>
          <w:color w:val="000000" w:themeColor="text1"/>
          <w:kern w:val="0"/>
          <w:szCs w:val="18"/>
          <w14:textFill>
            <w14:solidFill>
              <w14:schemeClr w14:val="tx1"/>
            </w14:solidFill>
          </w14:textFill>
        </w:rPr>
        <w:t>最短持有期为</w:t>
      </w:r>
      <w:r>
        <w:rPr>
          <w:rFonts w:hint="eastAsia" w:ascii="楷体" w:hAnsi="楷体" w:eastAsia="楷体" w:cs="楷体"/>
          <w:color w:val="000000" w:themeColor="text1"/>
          <w:szCs w:val="21"/>
          <w14:textFill>
            <w14:solidFill>
              <w14:schemeClr w14:val="tx1"/>
            </w14:solidFill>
          </w14:textFill>
        </w:rPr>
        <w:t>270个自然日</w:t>
      </w:r>
      <w:r>
        <w:rPr>
          <w:rFonts w:hint="eastAsia" w:ascii="楷体" w:hAnsi="楷体" w:eastAsia="楷体" w:cs="Arial Unicode MS"/>
          <w:color w:val="000000" w:themeColor="text1"/>
          <w:kern w:val="0"/>
          <w:szCs w:val="18"/>
          <w14:textFill>
            <w14:solidFill>
              <w14:schemeClr w14:val="tx1"/>
            </w14:solidFill>
          </w14:textFill>
        </w:rPr>
        <w:t>。</w:t>
      </w:r>
      <w:r>
        <w:rPr>
          <w:rFonts w:hint="eastAsia" w:ascii="楷体" w:hAnsi="楷体" w:eastAsia="楷体" w:cs="楷体"/>
          <w:color w:val="000000" w:themeColor="text1"/>
          <w:szCs w:val="21"/>
          <w14:textFill>
            <w14:solidFill>
              <w14:schemeClr w14:val="tx1"/>
            </w14:solidFill>
          </w14:textFill>
        </w:rPr>
        <w:t>自产品认购/申购确认日（含当日）起270个自然日为最短持有期。</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开放日</w:t>
      </w:r>
    </w:p>
    <w:p>
      <w:pPr>
        <w:topLinePunct/>
        <w:ind w:right="67" w:rightChars="32" w:firstLine="420" w:firstLineChars="200"/>
        <w:rPr>
          <w:rFonts w:ascii="楷体" w:hAnsi="楷体" w:eastAsia="楷体" w:cs="Arial Unicode MS"/>
          <w:kern w:val="0"/>
          <w:szCs w:val="18"/>
        </w:rPr>
      </w:pPr>
      <w:r>
        <w:rPr>
          <w:rFonts w:hint="eastAsia" w:ascii="楷体" w:hAnsi="楷体" w:eastAsia="楷体" w:cs="Arial Unicode MS"/>
          <w:kern w:val="0"/>
          <w:szCs w:val="18"/>
        </w:rPr>
        <w:t>本理财产品成立日（不含）后，每个工作日均为产品开放日，</w:t>
      </w:r>
      <w:r>
        <w:rPr>
          <w:rFonts w:hint="eastAsia" w:ascii="楷体" w:hAnsi="楷体" w:eastAsia="楷体" w:cs="楷体"/>
          <w:color w:val="000000"/>
          <w:kern w:val="0"/>
          <w:szCs w:val="21"/>
        </w:rPr>
        <w:t>如遇特殊情况需临时增加/减少开放日的，以产品管理人具体公告为准。本产品B类份额</w:t>
      </w:r>
      <w:r>
        <w:rPr>
          <w:rFonts w:hint="eastAsia" w:ascii="楷体" w:hAnsi="楷体" w:eastAsia="楷体" w:cs="Arial Unicode MS"/>
          <w:kern w:val="0"/>
          <w:szCs w:val="18"/>
        </w:rPr>
        <w:t>投资者申购或赎回的</w:t>
      </w:r>
      <w:r>
        <w:rPr>
          <w:rFonts w:ascii="楷体" w:hAnsi="楷体" w:eastAsia="楷体" w:cs="Arial Unicode MS"/>
          <w:kern w:val="0"/>
          <w:szCs w:val="18"/>
        </w:rPr>
        <w:t>受理时间</w:t>
      </w:r>
      <w:r>
        <w:rPr>
          <w:rFonts w:hint="eastAsia" w:ascii="楷体" w:hAnsi="楷体" w:eastAsia="楷体" w:cs="Arial Unicode MS"/>
          <w:kern w:val="0"/>
          <w:szCs w:val="18"/>
        </w:rPr>
        <w:t>为每个开放日的北京时间08:00至15:30，以销售机构实际受理时间为准</w:t>
      </w:r>
      <w:r>
        <w:rPr>
          <w:rFonts w:ascii="楷体" w:hAnsi="楷体" w:eastAsia="楷体" w:cs="Arial Unicode MS"/>
          <w:kern w:val="0"/>
          <w:szCs w:val="18"/>
        </w:rPr>
        <w:t>。</w:t>
      </w:r>
      <w:r>
        <w:rPr>
          <w:rFonts w:hint="eastAsia" w:ascii="楷体" w:hAnsi="楷体" w:eastAsia="楷体" w:cs="Arial Unicode MS"/>
          <w:kern w:val="0"/>
          <w:szCs w:val="18"/>
        </w:rPr>
        <w:t>因</w:t>
      </w:r>
      <w:r>
        <w:rPr>
          <w:rFonts w:hint="eastAsia" w:ascii="楷体" w:hAnsi="楷体" w:eastAsia="楷体" w:cs="Times New Roman"/>
          <w:szCs w:val="18"/>
        </w:rPr>
        <w:t>理财产品管理情况和市场突发事件导致对理财产品的申购赎回有重大影响，产品管理人可视情况进行相应调整并通过相应信息披露渠道予以披露。</w:t>
      </w:r>
    </w:p>
    <w:p>
      <w:pPr>
        <w:topLinePunct/>
        <w:ind w:right="67" w:rightChars="32" w:firstLine="420" w:firstLineChars="200"/>
        <w:rPr>
          <w:rFonts w:ascii="楷体" w:hAnsi="楷体" w:eastAsia="楷体" w:cs="Arial Unicode MS"/>
          <w:kern w:val="0"/>
          <w:szCs w:val="18"/>
        </w:rPr>
      </w:pPr>
      <w:r>
        <w:rPr>
          <w:rFonts w:hint="eastAsia" w:ascii="楷体" w:hAnsi="楷体" w:eastAsia="楷体" w:cs="Arial Unicode MS"/>
          <w:kern w:val="0"/>
          <w:szCs w:val="18"/>
        </w:rPr>
        <w:t>本理财产品成立日（不含）后，每个开放日可提交申购申请。申购份额将于申购申请当日（T</w:t>
      </w:r>
      <w:r>
        <w:rPr>
          <w:rFonts w:ascii="楷体" w:hAnsi="楷体" w:eastAsia="楷体" w:cs="Arial Unicode MS"/>
          <w:kern w:val="0"/>
          <w:szCs w:val="18"/>
        </w:rPr>
        <w:t>日</w:t>
      </w:r>
      <w:r>
        <w:rPr>
          <w:rFonts w:hint="eastAsia" w:ascii="楷体" w:hAnsi="楷体" w:eastAsia="楷体" w:cs="Arial Unicode MS"/>
          <w:kern w:val="0"/>
          <w:szCs w:val="18"/>
        </w:rPr>
        <w:t>）后</w:t>
      </w:r>
      <w:r>
        <w:rPr>
          <w:rFonts w:ascii="楷体" w:hAnsi="楷体" w:eastAsia="楷体" w:cs="Arial Unicode MS"/>
          <w:kern w:val="0"/>
          <w:szCs w:val="18"/>
        </w:rPr>
        <w:t>2</w:t>
      </w:r>
      <w:r>
        <w:rPr>
          <w:rFonts w:hint="eastAsia" w:ascii="楷体" w:hAnsi="楷体" w:eastAsia="楷体" w:cs="Arial Unicode MS"/>
          <w:kern w:val="0"/>
          <w:szCs w:val="18"/>
        </w:rPr>
        <w:t>个工作日（T</w:t>
      </w:r>
      <w:r>
        <w:rPr>
          <w:rFonts w:ascii="楷体" w:hAnsi="楷体" w:eastAsia="楷体" w:cs="Arial Unicode MS"/>
          <w:kern w:val="0"/>
          <w:szCs w:val="18"/>
        </w:rPr>
        <w:t>+2日</w:t>
      </w:r>
      <w:r>
        <w:rPr>
          <w:rFonts w:hint="eastAsia" w:ascii="楷体" w:hAnsi="楷体" w:eastAsia="楷体" w:cs="Arial Unicode MS"/>
          <w:kern w:val="0"/>
          <w:szCs w:val="18"/>
        </w:rPr>
        <w:t>）进行确认。</w:t>
      </w:r>
    </w:p>
    <w:p>
      <w:pPr>
        <w:topLinePunct/>
        <w:ind w:right="67" w:rightChars="32" w:firstLine="422" w:firstLineChars="200"/>
        <w:rPr>
          <w:rFonts w:ascii="楷体" w:hAnsi="楷体" w:eastAsia="楷体" w:cs="Arial Unicode MS"/>
          <w:kern w:val="0"/>
          <w:szCs w:val="18"/>
        </w:rPr>
      </w:pPr>
      <w:r>
        <w:rPr>
          <w:rFonts w:hint="eastAsia" w:ascii="楷体" w:hAnsi="楷体" w:eastAsia="楷体" w:cs="Arial Unicode MS"/>
          <w:b/>
          <w:kern w:val="0"/>
          <w:szCs w:val="18"/>
        </w:rPr>
        <w:t>投资者每笔认购/申购申请确认的理财产品份额需在该笔理财产品份额最短持有期内的倒数第二个工作日（含当日）起方可赎回。</w:t>
      </w:r>
      <w:r>
        <w:rPr>
          <w:rFonts w:hint="eastAsia" w:ascii="楷体" w:hAnsi="楷体" w:eastAsia="楷体" w:cs="Arial Unicode MS"/>
          <w:kern w:val="0"/>
          <w:szCs w:val="18"/>
        </w:rPr>
        <w:t>赎回申请于赎回申请当日（T日）后</w:t>
      </w:r>
      <w:r>
        <w:rPr>
          <w:rFonts w:ascii="楷体" w:hAnsi="楷体" w:eastAsia="楷体" w:cs="Arial Unicode MS"/>
          <w:kern w:val="0"/>
          <w:szCs w:val="18"/>
        </w:rPr>
        <w:t>2</w:t>
      </w:r>
      <w:r>
        <w:rPr>
          <w:rFonts w:hint="eastAsia" w:ascii="楷体" w:hAnsi="楷体" w:eastAsia="楷体" w:cs="Arial Unicode MS"/>
          <w:kern w:val="0"/>
          <w:szCs w:val="18"/>
        </w:rPr>
        <w:t>个工作日（T</w:t>
      </w:r>
      <w:r>
        <w:rPr>
          <w:rFonts w:ascii="楷体" w:hAnsi="楷体" w:eastAsia="楷体" w:cs="Arial Unicode MS"/>
          <w:kern w:val="0"/>
          <w:szCs w:val="18"/>
        </w:rPr>
        <w:t>+2日</w:t>
      </w:r>
      <w:r>
        <w:rPr>
          <w:rFonts w:hint="eastAsia" w:ascii="楷体" w:hAnsi="楷体" w:eastAsia="楷体" w:cs="Arial Unicode MS"/>
          <w:kern w:val="0"/>
          <w:szCs w:val="18"/>
        </w:rPr>
        <w:t>）进行确认。投资者赎回本金与收益于赎回确认日后【</w:t>
      </w:r>
      <w:r>
        <w:rPr>
          <w:rFonts w:ascii="楷体" w:hAnsi="楷体" w:eastAsia="楷体" w:cs="Arial Unicode MS"/>
          <w:kern w:val="0"/>
          <w:szCs w:val="18"/>
        </w:rPr>
        <w:t>2</w:t>
      </w:r>
      <w:r>
        <w:rPr>
          <w:rFonts w:hint="eastAsia" w:ascii="楷体" w:hAnsi="楷体" w:eastAsia="楷体" w:cs="Arial Unicode MS"/>
          <w:kern w:val="0"/>
          <w:szCs w:val="18"/>
        </w:rPr>
        <w:t>】个工作日内到账。</w:t>
      </w:r>
    </w:p>
    <w:p>
      <w:pPr>
        <w:numPr>
          <w:ilvl w:val="0"/>
          <w:numId w:val="11"/>
        </w:numPr>
        <w:topLinePunct/>
        <w:ind w:firstLineChars="200"/>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申购与赎回的原则</w:t>
      </w:r>
    </w:p>
    <w:p>
      <w:pPr>
        <w:numPr>
          <w:ilvl w:val="0"/>
          <w:numId w:val="12"/>
        </w:num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申购、赎回价格以</w:t>
      </w:r>
      <w:r>
        <w:rPr>
          <w:rFonts w:hint="eastAsia" w:ascii="楷体" w:hAnsi="楷体" w:eastAsia="楷体" w:cs="Arial Unicode MS"/>
          <w:color w:val="000000" w:themeColor="text1"/>
          <w:kern w:val="0"/>
          <w:szCs w:val="18"/>
          <w14:textFill>
            <w14:solidFill>
              <w14:schemeClr w14:val="tx1"/>
            </w14:solidFill>
          </w14:textFill>
        </w:rPr>
        <w:t>开放日</w:t>
      </w:r>
      <w:r>
        <w:rPr>
          <w:rFonts w:ascii="楷体" w:hAnsi="楷体" w:eastAsia="楷体" w:cs="Arial Unicode MS"/>
          <w:color w:val="000000" w:themeColor="text1"/>
          <w:kern w:val="0"/>
          <w:szCs w:val="18"/>
          <w14:textFill>
            <w14:solidFill>
              <w14:schemeClr w14:val="tx1"/>
            </w14:solidFill>
          </w14:textFill>
        </w:rPr>
        <w:t>交易结束后的理财份额净值进行计算；</w:t>
      </w:r>
    </w:p>
    <w:p>
      <w:pPr>
        <w:numPr>
          <w:ilvl w:val="0"/>
          <w:numId w:val="12"/>
        </w:num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olor w:val="000000" w:themeColor="text1"/>
          <w:kern w:val="0"/>
          <w14:textFill>
            <w14:solidFill>
              <w14:schemeClr w14:val="tx1"/>
            </w14:solidFill>
          </w14:textFill>
        </w:rPr>
        <w:t>本</w:t>
      </w:r>
      <w:r>
        <w:rPr>
          <w:rFonts w:ascii="楷体" w:hAnsi="楷体" w:eastAsia="楷体"/>
          <w:color w:val="000000" w:themeColor="text1"/>
          <w:kern w:val="0"/>
          <w14:textFill>
            <w14:solidFill>
              <w14:schemeClr w14:val="tx1"/>
            </w14:solidFill>
          </w14:textFill>
        </w:rPr>
        <w:t>理财</w:t>
      </w:r>
      <w:r>
        <w:rPr>
          <w:rFonts w:hint="eastAsia" w:ascii="楷体" w:hAnsi="楷体" w:eastAsia="楷体"/>
          <w:color w:val="000000" w:themeColor="text1"/>
          <w:kern w:val="0"/>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采用金额申购、份额</w:t>
      </w:r>
      <w:r>
        <w:rPr>
          <w:rFonts w:hint="eastAsia" w:ascii="楷体" w:hAnsi="楷体" w:eastAsia="楷体" w:cs="Arial Unicode MS"/>
          <w:color w:val="000000" w:themeColor="text1"/>
          <w:kern w:val="0"/>
          <w:szCs w:val="18"/>
          <w14:textFill>
            <w14:solidFill>
              <w14:schemeClr w14:val="tx1"/>
            </w14:solidFill>
          </w14:textFill>
        </w:rPr>
        <w:t>赎回</w:t>
      </w:r>
      <w:r>
        <w:rPr>
          <w:rFonts w:ascii="楷体" w:hAnsi="楷体" w:eastAsia="楷体" w:cs="Arial Unicode MS"/>
          <w:color w:val="000000" w:themeColor="text1"/>
          <w:kern w:val="0"/>
          <w:szCs w:val="18"/>
          <w14:textFill>
            <w14:solidFill>
              <w14:schemeClr w14:val="tx1"/>
            </w14:solidFill>
          </w14:textFill>
        </w:rPr>
        <w:t>的原则，即申购以金额申请，赎回以份额申请</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2"/>
        </w:num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本理财产品的份额赎回遵循“先进先出”原则，即在产品份额进行赎回处理时，对于单个投资者，认购、申购日期在先的份额先赎回，认购、申购日期在后的产品份额后赎回；</w:t>
      </w:r>
    </w:p>
    <w:p>
      <w:pPr>
        <w:numPr>
          <w:ilvl w:val="0"/>
          <w:numId w:val="12"/>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w:t>
      </w:r>
      <w:r>
        <w:rPr>
          <w:rFonts w:ascii="楷体" w:hAnsi="楷体" w:eastAsia="楷体" w:cs="Arial Unicode MS"/>
          <w:color w:val="000000" w:themeColor="text1"/>
          <w:kern w:val="0"/>
          <w:szCs w:val="18"/>
          <w14:textFill>
            <w14:solidFill>
              <w14:schemeClr w14:val="tx1"/>
            </w14:solidFill>
          </w14:textFill>
        </w:rPr>
        <w:t>理财产品</w:t>
      </w:r>
      <w:r>
        <w:rPr>
          <w:rFonts w:hint="eastAsia" w:ascii="楷体" w:hAnsi="楷体" w:eastAsia="楷体" w:cs="Arial Unicode MS"/>
          <w:color w:val="000000" w:themeColor="text1"/>
          <w:kern w:val="0"/>
          <w:szCs w:val="18"/>
          <w14:textFill>
            <w14:solidFill>
              <w14:schemeClr w14:val="tx1"/>
            </w14:solidFill>
          </w14:textFill>
        </w:rPr>
        <w:t>可于</w:t>
      </w:r>
      <w:r>
        <w:rPr>
          <w:rFonts w:ascii="楷体" w:hAnsi="楷体" w:eastAsia="楷体" w:cs="Arial Unicode MS"/>
          <w:color w:val="000000" w:themeColor="text1"/>
          <w:kern w:val="0"/>
          <w:szCs w:val="18"/>
          <w14:textFill>
            <w14:solidFill>
              <w14:schemeClr w14:val="tx1"/>
            </w14:solidFill>
          </w14:textFill>
        </w:rPr>
        <w:t>开放</w:t>
      </w:r>
      <w:r>
        <w:rPr>
          <w:rFonts w:hint="eastAsia" w:ascii="楷体" w:hAnsi="楷体" w:eastAsia="楷体" w:cs="Arial Unicode MS"/>
          <w:color w:val="000000" w:themeColor="text1"/>
          <w:kern w:val="0"/>
          <w:szCs w:val="18"/>
          <w14:textFill>
            <w14:solidFill>
              <w14:schemeClr w14:val="tx1"/>
            </w14:solidFill>
          </w14:textFill>
        </w:rPr>
        <w:t>日</w:t>
      </w:r>
      <w:r>
        <w:rPr>
          <w:rFonts w:ascii="楷体" w:hAnsi="楷体" w:eastAsia="楷体" w:cs="Arial Unicode MS"/>
          <w:color w:val="000000" w:themeColor="text1"/>
          <w:kern w:val="0"/>
          <w:szCs w:val="18"/>
          <w14:textFill>
            <w14:solidFill>
              <w14:schemeClr w14:val="tx1"/>
            </w14:solidFill>
          </w14:textFill>
        </w:rPr>
        <w:t>交易时间</w:t>
      </w:r>
      <w:r>
        <w:rPr>
          <w:rFonts w:hint="eastAsia" w:ascii="楷体" w:hAnsi="楷体" w:eastAsia="楷体" w:cs="Arial Unicode MS"/>
          <w:color w:val="000000" w:themeColor="text1"/>
          <w:kern w:val="0"/>
          <w:szCs w:val="18"/>
          <w14:textFill>
            <w14:solidFill>
              <w14:schemeClr w14:val="tx1"/>
            </w14:solidFill>
          </w14:textFill>
        </w:rPr>
        <w:t>内办理理财产品的</w:t>
      </w:r>
      <w:r>
        <w:rPr>
          <w:rFonts w:ascii="楷体" w:hAnsi="楷体" w:eastAsia="楷体" w:cs="Arial Unicode MS"/>
          <w:color w:val="000000" w:themeColor="text1"/>
          <w:kern w:val="0"/>
          <w:szCs w:val="18"/>
          <w14:textFill>
            <w14:solidFill>
              <w14:schemeClr w14:val="tx1"/>
            </w14:solidFill>
          </w14:textFill>
        </w:rPr>
        <w:t>申购及赎回</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2"/>
        </w:numPr>
        <w:topLinePunct/>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投资者的申购与赎回申请可以在申请当日的交易时间内撤销，在交易时间以外不得撤销；</w:t>
      </w:r>
    </w:p>
    <w:p>
      <w:pPr>
        <w:numPr>
          <w:ilvl w:val="0"/>
          <w:numId w:val="12"/>
        </w:numPr>
        <w:topLinePunct/>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因</w:t>
      </w:r>
      <w:r>
        <w:rPr>
          <w:rFonts w:ascii="楷体" w:hAnsi="楷体" w:eastAsia="楷体" w:cs="Arial Unicode MS"/>
          <w:color w:val="000000" w:themeColor="text1"/>
          <w:kern w:val="0"/>
          <w:szCs w:val="18"/>
          <w14:textFill>
            <w14:solidFill>
              <w14:schemeClr w14:val="tx1"/>
            </w14:solidFill>
          </w14:textFill>
        </w:rPr>
        <w:t>不可抗力导致理财产品无法继续申购或赎回时</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理财产品管理人有权拒绝或暂停接受投资者的申购或赎回申请。</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申购与赎回的数额限制</w:t>
      </w:r>
    </w:p>
    <w:p>
      <w:pPr>
        <w:numPr>
          <w:ilvl w:val="0"/>
          <w:numId w:val="13"/>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本产品B类份额初次申购起点金额为人民币【1】元，高于起点金额以人民币【0.01】元的整数倍递增；追加申购金额为【0.01】元的整数倍。赎回份额为0.01份或0.01份的整数倍。</w:t>
      </w:r>
    </w:p>
    <w:p>
      <w:pPr>
        <w:numPr>
          <w:ilvl w:val="0"/>
          <w:numId w:val="13"/>
        </w:numPr>
        <w:topLinePunct/>
        <w:ind w:right="67" w:rightChars="32"/>
        <w:rPr>
          <w:rFonts w:ascii="楷体" w:hAnsi="楷体" w:eastAsia="楷体" w:cs="Arial Unicode MS"/>
          <w:b/>
          <w:color w:val="000000" w:themeColor="text1"/>
          <w:kern w:val="0"/>
          <w:sz w:val="22"/>
          <w:szCs w:val="18"/>
          <w14:textFill>
            <w14:solidFill>
              <w14:schemeClr w14:val="tx1"/>
            </w14:solidFill>
          </w14:textFill>
        </w:rPr>
      </w:pPr>
      <w:r>
        <w:rPr>
          <w:rFonts w:hint="eastAsia" w:ascii="楷体" w:hAnsi="楷体" w:eastAsia="楷体" w:cs="Arial Unicode MS"/>
          <w:b/>
          <w:color w:val="000000" w:themeColor="text1"/>
          <w:kern w:val="0"/>
          <w:sz w:val="22"/>
          <w:szCs w:val="18"/>
          <w14:textFill>
            <w14:solidFill>
              <w14:schemeClr w14:val="tx1"/>
            </w14:solidFill>
          </w14:textFill>
        </w:rPr>
        <w:t>对于可能导致单一投资者累计持有本理财产品份额超过总份额50%的申购申请，产品管理人或销售机构应拒绝接受或部分接受，确保单一投资者持有份额不超过总份额50%。</w:t>
      </w:r>
    </w:p>
    <w:p>
      <w:pPr>
        <w:numPr>
          <w:ilvl w:val="0"/>
          <w:numId w:val="13"/>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在不触动巨额赎回限制的前提下，</w:t>
      </w:r>
      <w:r>
        <w:rPr>
          <w:rFonts w:ascii="楷体" w:hAnsi="楷体" w:eastAsia="楷体" w:cs="Arial Unicode MS"/>
          <w:color w:val="000000" w:themeColor="text1"/>
          <w:kern w:val="0"/>
          <w:szCs w:val="18"/>
          <w14:textFill>
            <w14:solidFill>
              <w14:schemeClr w14:val="tx1"/>
            </w14:solidFill>
          </w14:textFill>
        </w:rPr>
        <w:t>投资者可将其全部或部分理财份额赎回。投资者每次申请赎回的赎回份额为</w:t>
      </w:r>
      <w:r>
        <w:rPr>
          <w:rFonts w:hint="eastAsia" w:ascii="楷体" w:hAnsi="楷体" w:eastAsia="楷体" w:cs="Arial Unicode MS"/>
          <w:color w:val="000000" w:themeColor="text1"/>
          <w:kern w:val="0"/>
          <w:szCs w:val="18"/>
          <w14:textFill>
            <w14:solidFill>
              <w14:schemeClr w14:val="tx1"/>
            </w14:solidFill>
          </w14:textFill>
        </w:rPr>
        <w:t>0</w:t>
      </w:r>
      <w:r>
        <w:rPr>
          <w:rFonts w:ascii="楷体" w:hAnsi="楷体" w:eastAsia="楷体" w:cs="Arial Unicode MS"/>
          <w:color w:val="000000" w:themeColor="text1"/>
          <w:kern w:val="0"/>
          <w:szCs w:val="18"/>
          <w14:textFill>
            <w14:solidFill>
              <w14:schemeClr w14:val="tx1"/>
            </w14:solidFill>
          </w14:textFill>
        </w:rPr>
        <w:t>.01份</w:t>
      </w:r>
      <w:r>
        <w:rPr>
          <w:rFonts w:hint="eastAsia" w:ascii="楷体" w:hAnsi="楷体" w:eastAsia="楷体" w:cs="Arial Unicode MS"/>
          <w:color w:val="000000" w:themeColor="text1"/>
          <w:kern w:val="0"/>
          <w:szCs w:val="18"/>
          <w14:textFill>
            <w14:solidFill>
              <w14:schemeClr w14:val="tx1"/>
            </w14:solidFill>
          </w14:textFill>
        </w:rPr>
        <w:t>或0</w:t>
      </w:r>
      <w:r>
        <w:rPr>
          <w:rFonts w:ascii="楷体" w:hAnsi="楷体" w:eastAsia="楷体" w:cs="Arial Unicode MS"/>
          <w:color w:val="000000" w:themeColor="text1"/>
          <w:kern w:val="0"/>
          <w:szCs w:val="18"/>
          <w14:textFill>
            <w14:solidFill>
              <w14:schemeClr w14:val="tx1"/>
            </w14:solidFill>
          </w14:textFill>
        </w:rPr>
        <w:t>.0</w:t>
      </w:r>
      <w:r>
        <w:rPr>
          <w:rFonts w:hint="eastAsia" w:ascii="楷体" w:hAnsi="楷体" w:eastAsia="楷体" w:cs="Arial Unicode MS"/>
          <w:color w:val="000000" w:themeColor="text1"/>
          <w:kern w:val="0"/>
          <w:szCs w:val="18"/>
          <w14:textFill>
            <w14:solidFill>
              <w14:schemeClr w14:val="tx1"/>
            </w14:solidFill>
          </w14:textFill>
        </w:rPr>
        <w:t>1份的整数倍</w:t>
      </w:r>
      <w:r>
        <w:rPr>
          <w:rFonts w:ascii="楷体" w:hAnsi="楷体" w:eastAsia="楷体" w:cs="Arial Unicode MS"/>
          <w:color w:val="000000" w:themeColor="text1"/>
          <w:kern w:val="0"/>
          <w:szCs w:val="18"/>
          <w14:textFill>
            <w14:solidFill>
              <w14:schemeClr w14:val="tx1"/>
            </w14:solidFill>
          </w14:textFill>
        </w:rPr>
        <w:t>，投资者赎回理财份额将导致其持有的剩余理财份额低于或等于</w:t>
      </w:r>
      <w:r>
        <w:rPr>
          <w:rFonts w:hint="eastAsia" w:ascii="楷体" w:hAnsi="楷体" w:eastAsia="楷体" w:cs="Arial Unicode MS"/>
          <w:color w:val="000000" w:themeColor="text1"/>
          <w:kern w:val="0"/>
          <w:szCs w:val="18"/>
          <w14:textFill>
            <w14:solidFill>
              <w14:schemeClr w14:val="tx1"/>
            </w14:solidFill>
          </w14:textFill>
        </w:rPr>
        <w:t>0</w:t>
      </w:r>
      <w:r>
        <w:rPr>
          <w:rFonts w:ascii="楷体" w:hAnsi="楷体" w:eastAsia="楷体" w:cs="Arial Unicode MS"/>
          <w:color w:val="000000" w:themeColor="text1"/>
          <w:kern w:val="0"/>
          <w:szCs w:val="18"/>
          <w14:textFill>
            <w14:solidFill>
              <w14:schemeClr w14:val="tx1"/>
            </w14:solidFill>
          </w14:textFill>
        </w:rPr>
        <w:t>.01份时，应一次性申请赎回其持有的全部理财份额。投资者持有的剩余理财份额低于或等于</w:t>
      </w:r>
      <w:r>
        <w:rPr>
          <w:rFonts w:hint="eastAsia" w:ascii="楷体" w:hAnsi="楷体" w:eastAsia="楷体" w:cs="Arial Unicode MS"/>
          <w:color w:val="000000" w:themeColor="text1"/>
          <w:kern w:val="0"/>
          <w:szCs w:val="18"/>
          <w14:textFill>
            <w14:solidFill>
              <w14:schemeClr w14:val="tx1"/>
            </w14:solidFill>
          </w14:textFill>
        </w:rPr>
        <w:t>0</w:t>
      </w:r>
      <w:r>
        <w:rPr>
          <w:rFonts w:ascii="楷体" w:hAnsi="楷体" w:eastAsia="楷体" w:cs="Arial Unicode MS"/>
          <w:color w:val="000000" w:themeColor="text1"/>
          <w:kern w:val="0"/>
          <w:szCs w:val="18"/>
          <w14:textFill>
            <w14:solidFill>
              <w14:schemeClr w14:val="tx1"/>
            </w14:solidFill>
          </w14:textFill>
        </w:rPr>
        <w:t>.01份时，理财</w:t>
      </w:r>
      <w:r>
        <w:rPr>
          <w:rFonts w:hint="eastAsia" w:ascii="楷体" w:hAnsi="楷体" w:eastAsia="楷体" w:cs="Arial Unicode MS"/>
          <w:color w:val="000000" w:themeColor="text1"/>
          <w:kern w:val="0"/>
          <w:szCs w:val="18"/>
          <w14:textFill>
            <w14:solidFill>
              <w14:schemeClr w14:val="tx1"/>
            </w14:solidFill>
          </w14:textFill>
        </w:rPr>
        <w:t>产品管理人有权</w:t>
      </w:r>
      <w:r>
        <w:rPr>
          <w:rFonts w:ascii="楷体" w:hAnsi="楷体" w:eastAsia="楷体" w:cs="Arial Unicode MS"/>
          <w:color w:val="000000" w:themeColor="text1"/>
          <w:kern w:val="0"/>
          <w:szCs w:val="18"/>
          <w14:textFill>
            <w14:solidFill>
              <w14:schemeClr w14:val="tx1"/>
            </w14:solidFill>
          </w14:textFill>
        </w:rPr>
        <w:t>为投资者办理强制性赎回。</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申购和赎回的程序</w:t>
      </w:r>
    </w:p>
    <w:p>
      <w:pPr>
        <w:numPr>
          <w:ilvl w:val="0"/>
          <w:numId w:val="14"/>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投资者在提交申购申请时须按销售机构规定的方式备足申购资金，投资者在提交赎回申请时须持有足够的理财份额余额，否则所提交的申购、赎回申请无效。</w:t>
      </w:r>
    </w:p>
    <w:p>
      <w:pPr>
        <w:numPr>
          <w:ilvl w:val="0"/>
          <w:numId w:val="14"/>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申购和赎回申请的确认：投资者在销售机构规定的交易时间内提交的</w:t>
      </w:r>
      <w:r>
        <w:rPr>
          <w:rFonts w:hint="eastAsia" w:ascii="楷体" w:hAnsi="楷体" w:eastAsia="楷体" w:cs="Arial Unicode MS"/>
          <w:color w:val="000000" w:themeColor="text1"/>
          <w:kern w:val="0"/>
          <w:szCs w:val="18"/>
          <w14:textFill>
            <w14:solidFill>
              <w14:schemeClr w14:val="tx1"/>
            </w14:solidFill>
          </w14:textFill>
        </w:rPr>
        <w:t>申购申请或赎回申请，理财产品管理人</w:t>
      </w:r>
      <w:r>
        <w:rPr>
          <w:rFonts w:ascii="楷体" w:hAnsi="楷体" w:eastAsia="楷体" w:cs="Arial Unicode MS"/>
          <w:color w:val="000000" w:themeColor="text1"/>
          <w:kern w:val="0"/>
          <w:szCs w:val="18"/>
          <w14:textFill>
            <w14:solidFill>
              <w14:schemeClr w14:val="tx1"/>
            </w14:solidFill>
          </w14:textFill>
        </w:rPr>
        <w:t>在</w:t>
      </w:r>
      <w:r>
        <w:rPr>
          <w:rFonts w:hint="eastAsia" w:ascii="楷体" w:hAnsi="楷体" w:eastAsia="楷体" w:cs="Arial Unicode MS"/>
          <w:color w:val="000000" w:themeColor="text1"/>
          <w:kern w:val="0"/>
          <w:szCs w:val="18"/>
          <w14:textFill>
            <w14:solidFill>
              <w14:schemeClr w14:val="tx1"/>
            </w14:solidFill>
          </w14:textFill>
        </w:rPr>
        <w:t>申请当日（T</w:t>
      </w:r>
      <w:r>
        <w:rPr>
          <w:rFonts w:ascii="楷体" w:hAnsi="楷体" w:eastAsia="楷体" w:cs="Arial Unicode MS"/>
          <w:color w:val="000000" w:themeColor="text1"/>
          <w:kern w:val="0"/>
          <w:szCs w:val="18"/>
          <w14:textFill>
            <w14:solidFill>
              <w14:schemeClr w14:val="tx1"/>
            </w14:solidFill>
          </w14:textFill>
        </w:rPr>
        <w:t>日</w:t>
      </w:r>
      <w:r>
        <w:rPr>
          <w:rFonts w:hint="eastAsia" w:ascii="楷体" w:hAnsi="楷体" w:eastAsia="楷体" w:cs="Arial Unicode MS"/>
          <w:color w:val="000000" w:themeColor="text1"/>
          <w:kern w:val="0"/>
          <w:szCs w:val="18"/>
          <w14:textFill>
            <w14:solidFill>
              <w14:schemeClr w14:val="tx1"/>
            </w14:solidFill>
          </w14:textFill>
        </w:rPr>
        <w:t>）后</w:t>
      </w:r>
      <w:r>
        <w:rPr>
          <w:rFonts w:ascii="楷体" w:hAnsi="楷体" w:eastAsia="楷体" w:cs="Arial Unicode MS"/>
          <w:color w:val="000000" w:themeColor="text1"/>
          <w:kern w:val="0"/>
          <w:szCs w:val="18"/>
          <w14:textFill>
            <w14:solidFill>
              <w14:schemeClr w14:val="tx1"/>
            </w14:solidFill>
          </w14:textFill>
        </w:rPr>
        <w:t>第2个工作日</w:t>
      </w:r>
      <w:r>
        <w:rPr>
          <w:rFonts w:hint="eastAsia" w:ascii="楷体" w:hAnsi="楷体" w:eastAsia="楷体" w:cs="Arial Unicode MS"/>
          <w:color w:val="000000" w:themeColor="text1"/>
          <w:kern w:val="0"/>
          <w:szCs w:val="18"/>
          <w14:textFill>
            <w14:solidFill>
              <w14:schemeClr w14:val="tx1"/>
            </w14:solidFill>
          </w14:textFill>
        </w:rPr>
        <w:t>（T+</w:t>
      </w:r>
      <w:r>
        <w:rPr>
          <w:rFonts w:ascii="楷体" w:hAnsi="楷体" w:eastAsia="楷体" w:cs="Arial Unicode MS"/>
          <w:color w:val="000000" w:themeColor="text1"/>
          <w:kern w:val="0"/>
          <w:szCs w:val="18"/>
          <w14:textFill>
            <w14:solidFill>
              <w14:schemeClr w14:val="tx1"/>
            </w14:solidFill>
          </w14:textFill>
        </w:rPr>
        <w:t>2</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对该</w:t>
      </w:r>
      <w:r>
        <w:rPr>
          <w:rFonts w:hint="eastAsia" w:ascii="楷体" w:hAnsi="楷体" w:eastAsia="楷体" w:cs="Arial Unicode MS"/>
          <w:color w:val="000000" w:themeColor="text1"/>
          <w:kern w:val="0"/>
          <w:szCs w:val="18"/>
          <w14:textFill>
            <w14:solidFill>
              <w14:schemeClr w14:val="tx1"/>
            </w14:solidFill>
          </w14:textFill>
        </w:rPr>
        <w:t>申请</w:t>
      </w:r>
      <w:r>
        <w:rPr>
          <w:rFonts w:ascii="楷体" w:hAnsi="楷体" w:eastAsia="楷体" w:cs="Arial Unicode MS"/>
          <w:color w:val="000000" w:themeColor="text1"/>
          <w:kern w:val="0"/>
          <w:szCs w:val="18"/>
          <w14:textFill>
            <w14:solidFill>
              <w14:schemeClr w14:val="tx1"/>
            </w14:solidFill>
          </w14:textFill>
        </w:rPr>
        <w:t>的有效性进行确认</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投资者可在</w:t>
      </w:r>
      <w:r>
        <w:rPr>
          <w:rFonts w:hint="eastAsia" w:ascii="楷体" w:hAnsi="楷体" w:eastAsia="楷体" w:cs="Arial Unicode MS"/>
          <w:color w:val="000000" w:themeColor="text1"/>
          <w:kern w:val="0"/>
          <w:szCs w:val="18"/>
          <w14:textFill>
            <w14:solidFill>
              <w14:schemeClr w14:val="tx1"/>
            </w14:solidFill>
          </w14:textFill>
        </w:rPr>
        <w:t>申请确认</w:t>
      </w:r>
      <w:r>
        <w:rPr>
          <w:rFonts w:ascii="楷体" w:hAnsi="楷体" w:eastAsia="楷体" w:cs="Arial Unicode MS"/>
          <w:color w:val="000000" w:themeColor="text1"/>
          <w:kern w:val="0"/>
          <w:szCs w:val="18"/>
          <w14:textFill>
            <w14:solidFill>
              <w14:schemeClr w14:val="tx1"/>
            </w14:solidFill>
          </w14:textFill>
        </w:rPr>
        <w:t>日后(包括该日)以销售机构规定的方式查询申请的确认情况。</w:t>
      </w:r>
    </w:p>
    <w:p>
      <w:pPr>
        <w:numPr>
          <w:ilvl w:val="0"/>
          <w:numId w:val="14"/>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申购和赎回的款项支付：</w:t>
      </w:r>
    </w:p>
    <w:p>
      <w:pPr>
        <w:topLinePunct/>
        <w:ind w:firstLine="420" w:firstLineChars="200"/>
        <w:rPr>
          <w:rFonts w:ascii="楷体" w:hAnsi="楷体" w:eastAsia="楷体"/>
          <w:color w:val="000000" w:themeColor="text1"/>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1）申购采用全额缴款</w:t>
      </w:r>
      <w:r>
        <w:rPr>
          <w:rFonts w:hint="eastAsia" w:ascii="楷体" w:hAnsi="楷体" w:eastAsia="楷体" w:cs="Arial Unicode MS"/>
          <w:color w:val="000000" w:themeColor="text1"/>
          <w:kern w:val="0"/>
          <w:szCs w:val="18"/>
          <w14:textFill>
            <w14:solidFill>
              <w14:schemeClr w14:val="tx1"/>
            </w14:solidFill>
          </w14:textFill>
        </w:rPr>
        <w:t>或冻结</w:t>
      </w:r>
      <w:r>
        <w:rPr>
          <w:rFonts w:ascii="楷体" w:hAnsi="楷体" w:eastAsia="楷体" w:cs="Arial Unicode MS"/>
          <w:color w:val="000000" w:themeColor="text1"/>
          <w:kern w:val="0"/>
          <w:szCs w:val="18"/>
          <w14:textFill>
            <w14:solidFill>
              <w14:schemeClr w14:val="tx1"/>
            </w14:solidFill>
          </w14:textFill>
        </w:rPr>
        <w:t>方式</w:t>
      </w:r>
      <w:r>
        <w:rPr>
          <w:rFonts w:hint="eastAsia" w:ascii="楷体" w:hAnsi="楷体" w:eastAsia="楷体" w:cs="Arial Unicode MS"/>
          <w:color w:val="000000" w:themeColor="text1"/>
          <w:kern w:val="0"/>
          <w:szCs w:val="18"/>
          <w14:textFill>
            <w14:solidFill>
              <w14:schemeClr w14:val="tx1"/>
            </w14:solidFill>
          </w14:textFill>
        </w:rPr>
        <w:t>，具体以产品销售机构的实际处理方式为准</w:t>
      </w:r>
      <w:r>
        <w:rPr>
          <w:rFonts w:ascii="楷体" w:hAnsi="楷体" w:eastAsia="楷体" w:cs="Arial Unicode MS"/>
          <w:color w:val="000000" w:themeColor="text1"/>
          <w:kern w:val="0"/>
          <w:szCs w:val="18"/>
          <w14:textFill>
            <w14:solidFill>
              <w14:schemeClr w14:val="tx1"/>
            </w14:solidFill>
          </w14:textFill>
        </w:rPr>
        <w:t>。</w:t>
      </w:r>
    </w:p>
    <w:p>
      <w:pPr>
        <w:topLinePunct/>
        <w:ind w:firstLine="420" w:firstLineChars="200"/>
        <w:rPr>
          <w:rFonts w:ascii="楷体" w:hAnsi="楷体" w:eastAsia="楷体"/>
          <w:color w:val="000000" w:themeColor="text1"/>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如采取全额缴款方式，销售机构将在投资者提交申购申请的当日扣划申购款项，</w:t>
      </w:r>
      <w:r>
        <w:rPr>
          <w:rFonts w:ascii="楷体" w:hAnsi="楷体" w:eastAsia="楷体" w:cs="Arial Unicode MS"/>
          <w:color w:val="000000" w:themeColor="text1"/>
          <w:kern w:val="0"/>
          <w:szCs w:val="18"/>
          <w14:textFill>
            <w14:solidFill>
              <w14:schemeClr w14:val="tx1"/>
            </w14:solidFill>
          </w14:textFill>
        </w:rPr>
        <w:t>若申购不成功或无效，</w:t>
      </w:r>
      <w:r>
        <w:rPr>
          <w:rFonts w:hint="eastAsia" w:ascii="楷体" w:hAnsi="楷体" w:eastAsia="楷体" w:cs="Arial Unicode MS"/>
          <w:color w:val="000000" w:themeColor="text1"/>
          <w:kern w:val="0"/>
          <w:szCs w:val="18"/>
          <w14:textFill>
            <w14:solidFill>
              <w14:schemeClr w14:val="tx1"/>
            </w14:solidFill>
          </w14:textFill>
        </w:rPr>
        <w:t>理财产品管理人</w:t>
      </w:r>
      <w:r>
        <w:rPr>
          <w:rFonts w:ascii="楷体" w:hAnsi="楷体" w:eastAsia="楷体" w:cs="Arial Unicode MS"/>
          <w:color w:val="000000" w:themeColor="text1"/>
          <w:kern w:val="0"/>
          <w:szCs w:val="18"/>
          <w14:textFill>
            <w14:solidFill>
              <w14:schemeClr w14:val="tx1"/>
            </w14:solidFill>
          </w14:textFill>
        </w:rPr>
        <w:t>将</w:t>
      </w:r>
      <w:r>
        <w:rPr>
          <w:rFonts w:hint="eastAsia" w:ascii="楷体" w:hAnsi="楷体" w:eastAsia="楷体" w:cs="Arial Unicode MS"/>
          <w:color w:val="000000" w:themeColor="text1"/>
          <w:kern w:val="0"/>
          <w:szCs w:val="18"/>
          <w14:textFill>
            <w14:solidFill>
              <w14:schemeClr w14:val="tx1"/>
            </w14:solidFill>
          </w14:textFill>
        </w:rPr>
        <w:t>在【</w:t>
      </w:r>
      <w:r>
        <w:rPr>
          <w:rFonts w:ascii="楷体" w:hAnsi="楷体" w:eastAsia="楷体" w:cs="Arial Unicode MS"/>
          <w:color w:val="000000" w:themeColor="text1"/>
          <w:kern w:val="0"/>
          <w:szCs w:val="18"/>
          <w14:textFill>
            <w14:solidFill>
              <w14:schemeClr w14:val="tx1"/>
            </w14:solidFill>
          </w14:textFill>
        </w:rPr>
        <w:t>3</w:t>
      </w:r>
      <w:r>
        <w:rPr>
          <w:rFonts w:hint="eastAsia" w:ascii="楷体" w:hAnsi="楷体" w:eastAsia="楷体" w:cs="Arial Unicode MS"/>
          <w:color w:val="000000" w:themeColor="text1"/>
          <w:kern w:val="0"/>
          <w:szCs w:val="18"/>
          <w14:textFill>
            <w14:solidFill>
              <w14:schemeClr w14:val="tx1"/>
            </w14:solidFill>
          </w14:textFill>
        </w:rPr>
        <w:t>】个工作日内将收到的</w:t>
      </w:r>
      <w:r>
        <w:rPr>
          <w:rFonts w:ascii="楷体" w:hAnsi="楷体" w:eastAsia="楷体" w:cs="Arial Unicode MS"/>
          <w:color w:val="000000" w:themeColor="text1"/>
          <w:kern w:val="0"/>
          <w:szCs w:val="18"/>
          <w14:textFill>
            <w14:solidFill>
              <w14:schemeClr w14:val="tx1"/>
            </w14:solidFill>
          </w14:textFill>
        </w:rPr>
        <w:t>投资者申购款项</w:t>
      </w:r>
      <w:r>
        <w:rPr>
          <w:rFonts w:hint="eastAsia" w:ascii="楷体" w:hAnsi="楷体" w:eastAsia="楷体" w:cs="Arial Unicode MS"/>
          <w:color w:val="000000" w:themeColor="text1"/>
          <w:kern w:val="0"/>
          <w:szCs w:val="18"/>
          <w14:textFill>
            <w14:solidFill>
              <w14:schemeClr w14:val="tx1"/>
            </w14:solidFill>
          </w14:textFill>
        </w:rPr>
        <w:t>退还至销售机构。</w:t>
      </w:r>
    </w:p>
    <w:p>
      <w:pPr>
        <w:topLinePunct/>
        <w:ind w:firstLine="420" w:firstLineChars="200"/>
        <w:rPr>
          <w:rFonts w:ascii="楷体" w:hAnsi="楷体" w:eastAsia="楷体" w:cs="Arial Unicode MS"/>
          <w:color w:val="000000" w:themeColor="text1"/>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如采取冻结方式，销售机构将在投资者提交申购申请的当日冻结申购款项，若申购成功，申购款项在申购确认日扣收；若申购不成功或无效，销售机构将在</w:t>
      </w:r>
      <w:r>
        <w:rPr>
          <w:rFonts w:ascii="楷体" w:hAnsi="楷体" w:eastAsia="楷体" w:cs="Arial Unicode MS"/>
          <w:color w:val="000000" w:themeColor="text1"/>
          <w:kern w:val="0"/>
          <w:szCs w:val="18"/>
          <w14:textFill>
            <w14:solidFill>
              <w14:schemeClr w14:val="tx1"/>
            </w14:solidFill>
          </w14:textFill>
        </w:rPr>
        <w:t>3</w:t>
      </w:r>
      <w:r>
        <w:rPr>
          <w:rFonts w:hint="eastAsia" w:ascii="楷体" w:hAnsi="楷体" w:eastAsia="楷体" w:cs="Arial Unicode MS"/>
          <w:color w:val="000000" w:themeColor="text1"/>
          <w:kern w:val="0"/>
          <w:szCs w:val="18"/>
          <w14:textFill>
            <w14:solidFill>
              <w14:schemeClr w14:val="tx1"/>
            </w14:solidFill>
          </w14:textFill>
        </w:rPr>
        <w:t>个工作日内解冻已冻结的申购款项。</w:t>
      </w:r>
    </w:p>
    <w:p>
      <w:pPr>
        <w:topLinePunct/>
        <w:ind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2）投资者赎回申请</w:t>
      </w:r>
      <w:r>
        <w:rPr>
          <w:rFonts w:hint="eastAsia" w:ascii="楷体" w:hAnsi="楷体" w:eastAsia="楷体" w:cs="Arial Unicode MS"/>
          <w:color w:val="000000" w:themeColor="text1"/>
          <w:kern w:val="0"/>
          <w:szCs w:val="18"/>
          <w14:textFill>
            <w14:solidFill>
              <w14:schemeClr w14:val="tx1"/>
            </w14:solidFill>
          </w14:textFill>
        </w:rPr>
        <w:t>被确认</w:t>
      </w:r>
      <w:r>
        <w:rPr>
          <w:rFonts w:ascii="楷体" w:hAnsi="楷体" w:eastAsia="楷体" w:cs="Arial Unicode MS"/>
          <w:color w:val="000000" w:themeColor="text1"/>
          <w:kern w:val="0"/>
          <w:szCs w:val="18"/>
          <w14:textFill>
            <w14:solidFill>
              <w14:schemeClr w14:val="tx1"/>
            </w14:solidFill>
          </w14:textFill>
        </w:rPr>
        <w:t>成功后，理财</w:t>
      </w:r>
      <w:r>
        <w:rPr>
          <w:rFonts w:hint="eastAsia" w:ascii="楷体" w:hAnsi="楷体" w:eastAsia="楷体" w:cs="Arial Unicode MS"/>
          <w:color w:val="000000" w:themeColor="text1"/>
          <w:kern w:val="0"/>
          <w:szCs w:val="18"/>
          <w14:textFill>
            <w14:solidFill>
              <w14:schemeClr w14:val="tx1"/>
            </w14:solidFill>
          </w14:textFill>
        </w:rPr>
        <w:t>产品管理人</w:t>
      </w:r>
      <w:r>
        <w:rPr>
          <w:rFonts w:ascii="楷体" w:hAnsi="楷体" w:eastAsia="楷体" w:cs="Arial Unicode MS"/>
          <w:color w:val="000000" w:themeColor="text1"/>
          <w:kern w:val="0"/>
          <w:szCs w:val="18"/>
          <w14:textFill>
            <w14:solidFill>
              <w14:schemeClr w14:val="tx1"/>
            </w14:solidFill>
          </w14:textFill>
        </w:rPr>
        <w:t>将在</w:t>
      </w:r>
      <w:r>
        <w:rPr>
          <w:rFonts w:hint="eastAsia" w:ascii="楷体" w:hAnsi="楷体" w:eastAsia="楷体" w:cs="Arial Unicode MS"/>
          <w:color w:val="000000" w:themeColor="text1"/>
          <w:kern w:val="0"/>
          <w:szCs w:val="18"/>
          <w14:textFill>
            <w14:solidFill>
              <w14:schemeClr w14:val="tx1"/>
            </w14:solidFill>
          </w14:textFill>
        </w:rPr>
        <w:t>赎回确认日后</w:t>
      </w:r>
      <w:r>
        <w:rPr>
          <w:rFonts w:ascii="楷体" w:hAnsi="楷体" w:eastAsia="楷体" w:cs="Arial Unicode MS"/>
          <w:color w:val="000000" w:themeColor="text1"/>
          <w:kern w:val="0"/>
          <w:szCs w:val="18"/>
          <w14:textFill>
            <w14:solidFill>
              <w14:schemeClr w14:val="tx1"/>
            </w14:solidFill>
          </w14:textFill>
        </w:rPr>
        <w:t>2</w:t>
      </w:r>
      <w:r>
        <w:rPr>
          <w:rFonts w:hint="eastAsia" w:ascii="楷体" w:hAnsi="楷体" w:eastAsia="楷体" w:cs="Arial Unicode MS"/>
          <w:color w:val="000000" w:themeColor="text1"/>
          <w:kern w:val="0"/>
          <w:szCs w:val="18"/>
          <w14:textFill>
            <w14:solidFill>
              <w14:schemeClr w14:val="tx1"/>
            </w14:solidFill>
          </w14:textFill>
        </w:rPr>
        <w:t>个工作</w:t>
      </w:r>
      <w:r>
        <w:rPr>
          <w:rFonts w:ascii="楷体" w:hAnsi="楷体" w:eastAsia="楷体" w:cs="Arial Unicode MS"/>
          <w:color w:val="000000" w:themeColor="text1"/>
          <w:kern w:val="0"/>
          <w:szCs w:val="18"/>
          <w14:textFill>
            <w14:solidFill>
              <w14:schemeClr w14:val="tx1"/>
            </w14:solidFill>
          </w14:textFill>
        </w:rPr>
        <w:t>日</w:t>
      </w:r>
      <w:r>
        <w:rPr>
          <w:rFonts w:hint="eastAsia" w:ascii="楷体" w:hAnsi="楷体" w:eastAsia="楷体" w:cs="Arial Unicode MS"/>
          <w:color w:val="000000" w:themeColor="text1"/>
          <w:kern w:val="0"/>
          <w:szCs w:val="18"/>
          <w14:textFill>
            <w14:solidFill>
              <w14:schemeClr w14:val="tx1"/>
            </w14:solidFill>
          </w14:textFill>
        </w:rPr>
        <w:t>（T</w:t>
      </w:r>
      <w:r>
        <w:rPr>
          <w:rFonts w:ascii="楷体" w:hAnsi="楷体" w:eastAsia="楷体" w:cs="Arial Unicode MS"/>
          <w:color w:val="000000" w:themeColor="text1"/>
          <w:kern w:val="0"/>
          <w:szCs w:val="18"/>
          <w14:textFill>
            <w14:solidFill>
              <w14:schemeClr w14:val="tx1"/>
            </w14:solidFill>
          </w14:textFill>
        </w:rPr>
        <w:t>+2</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内</w:t>
      </w:r>
      <w:r>
        <w:rPr>
          <w:rFonts w:hint="eastAsia" w:ascii="楷体" w:hAnsi="楷体" w:eastAsia="楷体" w:cs="Arial Unicode MS"/>
          <w:color w:val="000000" w:themeColor="text1"/>
          <w:kern w:val="0"/>
          <w:szCs w:val="18"/>
          <w14:textFill>
            <w14:solidFill>
              <w14:schemeClr w14:val="tx1"/>
            </w14:solidFill>
          </w14:textFill>
        </w:rPr>
        <w:t>向销售机构支付</w:t>
      </w:r>
      <w:r>
        <w:rPr>
          <w:rFonts w:ascii="楷体" w:hAnsi="楷体" w:eastAsia="楷体" w:cs="Arial Unicode MS"/>
          <w:color w:val="000000" w:themeColor="text1"/>
          <w:kern w:val="0"/>
          <w:szCs w:val="18"/>
          <w14:textFill>
            <w14:solidFill>
              <w14:schemeClr w14:val="tx1"/>
            </w14:solidFill>
          </w14:textFill>
        </w:rPr>
        <w:t>赎回款项（即按照第（</w:t>
      </w:r>
      <w:r>
        <w:rPr>
          <w:rFonts w:hint="eastAsia" w:ascii="楷体" w:hAnsi="楷体" w:eastAsia="楷体" w:cs="Arial Unicode MS"/>
          <w:color w:val="000000" w:themeColor="text1"/>
          <w:kern w:val="0"/>
          <w:szCs w:val="18"/>
          <w14:textFill>
            <w14:solidFill>
              <w14:schemeClr w14:val="tx1"/>
            </w14:solidFill>
          </w14:textFill>
        </w:rPr>
        <w:t>六</w:t>
      </w:r>
      <w:r>
        <w:rPr>
          <w:rFonts w:ascii="楷体" w:hAnsi="楷体" w:eastAsia="楷体" w:cs="Arial Unicode MS"/>
          <w:color w:val="000000" w:themeColor="text1"/>
          <w:kern w:val="0"/>
          <w:szCs w:val="18"/>
          <w14:textFill>
            <w14:solidFill>
              <w14:schemeClr w14:val="tx1"/>
            </w14:solidFill>
          </w14:textFill>
        </w:rPr>
        <w:t>）条第</w:t>
      </w:r>
      <w:r>
        <w:rPr>
          <w:rFonts w:hint="eastAsia" w:ascii="楷体" w:hAnsi="楷体" w:eastAsia="楷体" w:cs="Arial Unicode MS"/>
          <w:color w:val="000000" w:themeColor="text1"/>
          <w:kern w:val="0"/>
          <w:szCs w:val="18"/>
          <w14:textFill>
            <w14:solidFill>
              <w14:schemeClr w14:val="tx1"/>
            </w14:solidFill>
          </w14:textFill>
        </w:rPr>
        <w:t>2</w:t>
      </w:r>
      <w:r>
        <w:rPr>
          <w:rFonts w:ascii="楷体" w:hAnsi="楷体" w:eastAsia="楷体" w:cs="Arial Unicode MS"/>
          <w:color w:val="000000" w:themeColor="text1"/>
          <w:kern w:val="0"/>
          <w:szCs w:val="18"/>
          <w14:textFill>
            <w14:solidFill>
              <w14:schemeClr w14:val="tx1"/>
            </w14:solidFill>
          </w14:textFill>
        </w:rPr>
        <w:t>款计算的净赎回金额）。在</w:t>
      </w:r>
      <w:r>
        <w:rPr>
          <w:rFonts w:hint="eastAsia" w:ascii="楷体" w:hAnsi="楷体" w:eastAsia="楷体" w:cs="Arial Unicode MS"/>
          <w:color w:val="000000" w:themeColor="text1"/>
          <w:kern w:val="0"/>
          <w:szCs w:val="18"/>
          <w14:textFill>
            <w14:solidFill>
              <w14:schemeClr w14:val="tx1"/>
            </w14:solidFill>
          </w14:textFill>
        </w:rPr>
        <w:t>触动巨额赎回限制</w:t>
      </w:r>
      <w:r>
        <w:rPr>
          <w:rFonts w:ascii="楷体" w:hAnsi="楷体" w:eastAsia="楷体" w:cs="Arial Unicode MS"/>
          <w:color w:val="000000" w:themeColor="text1"/>
          <w:kern w:val="0"/>
          <w:szCs w:val="18"/>
          <w14:textFill>
            <w14:solidFill>
              <w14:schemeClr w14:val="tx1"/>
            </w14:solidFill>
          </w14:textFill>
        </w:rPr>
        <w:t>时，</w:t>
      </w:r>
      <w:r>
        <w:rPr>
          <w:rFonts w:hint="eastAsia" w:ascii="楷体" w:hAnsi="楷体" w:eastAsia="楷体" w:cs="Arial Unicode MS"/>
          <w:color w:val="000000" w:themeColor="text1"/>
          <w:kern w:val="0"/>
          <w:szCs w:val="18"/>
          <w14:textFill>
            <w14:solidFill>
              <w14:schemeClr w14:val="tx1"/>
            </w14:solidFill>
          </w14:textFill>
        </w:rPr>
        <w:t>客户的可赎回份额需要根据巨额赎回限制规则确定，</w:t>
      </w:r>
      <w:r>
        <w:rPr>
          <w:rFonts w:ascii="楷体" w:hAnsi="楷体" w:eastAsia="楷体" w:cs="Arial Unicode MS"/>
          <w:color w:val="000000" w:themeColor="text1"/>
          <w:kern w:val="0"/>
          <w:szCs w:val="18"/>
          <w14:textFill>
            <w14:solidFill>
              <w14:schemeClr w14:val="tx1"/>
            </w14:solidFill>
          </w14:textFill>
        </w:rPr>
        <w:t>款项的支付办法按照第（</w:t>
      </w:r>
      <w:r>
        <w:rPr>
          <w:rFonts w:hint="eastAsia" w:ascii="楷体" w:hAnsi="楷体" w:eastAsia="楷体" w:cs="Arial Unicode MS"/>
          <w:color w:val="000000" w:themeColor="text1"/>
          <w:kern w:val="0"/>
          <w:szCs w:val="18"/>
          <w14:textFill>
            <w14:solidFill>
              <w14:schemeClr w14:val="tx1"/>
            </w14:solidFill>
          </w14:textFill>
        </w:rPr>
        <w:t>七</w:t>
      </w:r>
      <w:r>
        <w:rPr>
          <w:rFonts w:ascii="楷体" w:hAnsi="楷体" w:eastAsia="楷体" w:cs="Arial Unicode MS"/>
          <w:color w:val="000000" w:themeColor="text1"/>
          <w:kern w:val="0"/>
          <w:szCs w:val="18"/>
          <w14:textFill>
            <w14:solidFill>
              <w14:schemeClr w14:val="tx1"/>
            </w14:solidFill>
          </w14:textFill>
        </w:rPr>
        <w:t>）条有关条款处理。</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申购份额与赎回金额的计算与</w:t>
      </w:r>
      <w:r>
        <w:rPr>
          <w:rFonts w:ascii="楷体" w:hAnsi="楷体" w:eastAsia="楷体" w:cs="Arial Unicode MS"/>
          <w:color w:val="000000" w:themeColor="text1"/>
          <w:kern w:val="0"/>
          <w:szCs w:val="18"/>
          <w14:textFill>
            <w14:solidFill>
              <w14:schemeClr w14:val="tx1"/>
            </w14:solidFill>
          </w14:textFill>
        </w:rPr>
        <w:t>示例</w:t>
      </w:r>
    </w:p>
    <w:p>
      <w:pPr>
        <w:numPr>
          <w:ilvl w:val="0"/>
          <w:numId w:val="15"/>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申购份额的计算：本理财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的申购份额以</w:t>
      </w:r>
      <w:r>
        <w:rPr>
          <w:rFonts w:hint="eastAsia" w:ascii="楷体" w:hAnsi="楷体" w:eastAsia="楷体" w:cs="Arial Unicode MS"/>
          <w:kern w:val="0"/>
          <w:szCs w:val="18"/>
        </w:rPr>
        <w:t>申请当</w:t>
      </w:r>
      <w:r>
        <w:rPr>
          <w:rFonts w:ascii="楷体" w:hAnsi="楷体" w:eastAsia="楷体" w:cs="Arial Unicode MS"/>
          <w:kern w:val="0"/>
          <w:szCs w:val="18"/>
        </w:rPr>
        <w:t>日</w:t>
      </w:r>
      <w:r>
        <w:rPr>
          <w:rFonts w:hint="eastAsia" w:ascii="楷体" w:hAnsi="楷体" w:eastAsia="楷体" w:cs="Arial Unicode MS"/>
          <w:color w:val="000000" w:themeColor="text1"/>
          <w:kern w:val="0"/>
          <w:szCs w:val="18"/>
          <w14:textFill>
            <w14:solidFill>
              <w14:schemeClr w14:val="tx1"/>
            </w14:solidFill>
          </w14:textFill>
        </w:rPr>
        <w:t>（T日）</w:t>
      </w:r>
      <w:r>
        <w:rPr>
          <w:rFonts w:ascii="楷体" w:hAnsi="楷体" w:eastAsia="楷体" w:cs="Arial Unicode MS"/>
          <w:color w:val="000000" w:themeColor="text1"/>
          <w:kern w:val="0"/>
          <w:szCs w:val="18"/>
          <w14:textFill>
            <w14:solidFill>
              <w14:schemeClr w14:val="tx1"/>
            </w14:solidFill>
          </w14:textFill>
        </w:rPr>
        <w:t>交易结束后理财份额净值为基准进行计算，其中：</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净</w:t>
      </w:r>
      <w:r>
        <w:rPr>
          <w:rFonts w:ascii="楷体" w:hAnsi="楷体" w:eastAsia="楷体" w:cs="Arial Unicode MS"/>
          <w:kern w:val="0"/>
          <w:szCs w:val="18"/>
        </w:rPr>
        <w:t>申购金额=申购金额-</w:t>
      </w:r>
      <w:r>
        <w:rPr>
          <w:rFonts w:hint="eastAsia" w:ascii="楷体" w:hAnsi="楷体" w:eastAsia="楷体" w:cs="Arial Unicode MS"/>
          <w:kern w:val="0"/>
          <w:szCs w:val="18"/>
        </w:rPr>
        <w:t>申购</w:t>
      </w:r>
      <w:r>
        <w:rPr>
          <w:rFonts w:ascii="楷体" w:hAnsi="楷体" w:eastAsia="楷体" w:cs="Arial Unicode MS"/>
          <w:kern w:val="0"/>
          <w:szCs w:val="18"/>
        </w:rPr>
        <w:t>费</w:t>
      </w:r>
      <w:r>
        <w:rPr>
          <w:rFonts w:hint="eastAsia" w:ascii="楷体" w:hAnsi="楷体" w:eastAsia="楷体" w:cs="Arial Unicode MS"/>
          <w:kern w:val="0"/>
          <w:szCs w:val="18"/>
        </w:rPr>
        <w:t>用</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申购费用=申购金额×申购费率</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申购份额＝净申购</w:t>
      </w:r>
      <w:r>
        <w:rPr>
          <w:rFonts w:ascii="楷体" w:hAnsi="楷体" w:eastAsia="楷体" w:cs="Arial Unicode MS"/>
          <w:kern w:val="0"/>
          <w:szCs w:val="18"/>
        </w:rPr>
        <w:t>金额/</w:t>
      </w:r>
      <w:r>
        <w:rPr>
          <w:rFonts w:hint="eastAsia" w:ascii="楷体" w:hAnsi="楷体" w:eastAsia="楷体" w:cs="Arial Unicode MS"/>
          <w:kern w:val="0"/>
          <w:szCs w:val="18"/>
        </w:rPr>
        <w:t>T日</w:t>
      </w:r>
      <w:r>
        <w:rPr>
          <w:rFonts w:ascii="楷体" w:hAnsi="楷体" w:eastAsia="楷体" w:cs="Arial Unicode MS"/>
          <w:kern w:val="0"/>
          <w:szCs w:val="18"/>
        </w:rPr>
        <w:t>理财份额净值</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申购份额</w:t>
      </w:r>
      <w:r>
        <w:rPr>
          <w:rFonts w:ascii="楷体" w:hAnsi="楷体" w:eastAsia="楷体" w:cs="Arial Unicode MS"/>
          <w:color w:val="000000" w:themeColor="text1"/>
          <w:kern w:val="0"/>
          <w:szCs w:val="18"/>
          <w14:textFill>
            <w14:solidFill>
              <w14:schemeClr w14:val="tx1"/>
            </w14:solidFill>
          </w14:textFill>
        </w:rPr>
        <w:t>保留至小数点后两位，小数点后两位以下四舍五入。</w:t>
      </w:r>
    </w:p>
    <w:p>
      <w:pPr>
        <w:numPr>
          <w:ilvl w:val="0"/>
          <w:numId w:val="15"/>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赎回金额的计算：本理财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采用“份额赎回”方式，赎回价格以</w:t>
      </w:r>
      <w:r>
        <w:rPr>
          <w:rFonts w:hint="eastAsia" w:ascii="楷体" w:hAnsi="楷体" w:eastAsia="楷体" w:cs="Arial Unicode MS"/>
          <w:kern w:val="0"/>
          <w:szCs w:val="18"/>
        </w:rPr>
        <w:t>申请当日</w:t>
      </w:r>
      <w:r>
        <w:rPr>
          <w:rFonts w:hint="eastAsia" w:ascii="楷体" w:hAnsi="楷体" w:eastAsia="楷体" w:cs="Arial Unicode MS"/>
          <w:color w:val="000000" w:themeColor="text1"/>
          <w:kern w:val="0"/>
          <w:szCs w:val="18"/>
          <w14:textFill>
            <w14:solidFill>
              <w14:schemeClr w14:val="tx1"/>
            </w14:solidFill>
          </w14:textFill>
        </w:rPr>
        <w:t>（T日）</w:t>
      </w:r>
      <w:r>
        <w:rPr>
          <w:rFonts w:ascii="楷体" w:hAnsi="楷体" w:eastAsia="楷体" w:cs="Arial Unicode MS"/>
          <w:color w:val="000000" w:themeColor="text1"/>
          <w:kern w:val="0"/>
          <w:szCs w:val="18"/>
          <w14:textFill>
            <w14:solidFill>
              <w14:schemeClr w14:val="tx1"/>
            </w14:solidFill>
          </w14:textFill>
        </w:rPr>
        <w:t>交易结束后理财份额净值为基准进行计算，计算公式：</w:t>
      </w:r>
    </w:p>
    <w:p>
      <w:pPr>
        <w:pStyle w:val="21"/>
        <w:topLinePunct/>
        <w:ind w:left="400" w:right="67" w:rightChars="32" w:firstLine="0" w:firstLineChars="0"/>
        <w:rPr>
          <w:rFonts w:ascii="楷体" w:hAnsi="楷体" w:eastAsia="楷体" w:cs="Arial Unicode MS"/>
          <w:kern w:val="0"/>
          <w:szCs w:val="18"/>
        </w:rPr>
      </w:pPr>
      <w:r>
        <w:rPr>
          <w:rFonts w:hint="eastAsia" w:ascii="楷体" w:hAnsi="楷体" w:eastAsia="楷体" w:cs="Arial Unicode MS"/>
          <w:kern w:val="0"/>
          <w:szCs w:val="18"/>
        </w:rPr>
        <w:t>净赎回金额=赎回总额-赎回费用</w:t>
      </w:r>
    </w:p>
    <w:p>
      <w:pPr>
        <w:topLinePunct/>
        <w:ind w:left="400" w:right="67" w:rightChars="32"/>
        <w:rPr>
          <w:rFonts w:ascii="楷体" w:hAnsi="楷体" w:eastAsia="楷体" w:cs="Arial Unicode MS"/>
          <w:kern w:val="0"/>
          <w:szCs w:val="18"/>
        </w:rPr>
      </w:pPr>
      <w:r>
        <w:rPr>
          <w:rFonts w:hint="eastAsia" w:ascii="楷体" w:hAnsi="楷体" w:eastAsia="楷体" w:cs="Arial Unicode MS"/>
          <w:kern w:val="0"/>
          <w:szCs w:val="18"/>
        </w:rPr>
        <w:t>赎回总</w:t>
      </w:r>
      <w:r>
        <w:rPr>
          <w:rFonts w:ascii="楷体" w:hAnsi="楷体" w:eastAsia="楷体" w:cs="Arial Unicode MS"/>
          <w:kern w:val="0"/>
          <w:szCs w:val="18"/>
        </w:rPr>
        <w:t>额</w:t>
      </w:r>
      <w:r>
        <w:rPr>
          <w:rFonts w:hint="eastAsia" w:ascii="楷体" w:hAnsi="楷体" w:eastAsia="楷体" w:cs="Arial Unicode MS"/>
          <w:kern w:val="0"/>
          <w:szCs w:val="18"/>
        </w:rPr>
        <w:t>＝赎回份额×T</w:t>
      </w:r>
      <w:r>
        <w:rPr>
          <w:rFonts w:ascii="楷体" w:hAnsi="楷体" w:eastAsia="楷体" w:cs="Arial Unicode MS"/>
          <w:kern w:val="0"/>
          <w:szCs w:val="18"/>
        </w:rPr>
        <w:t>日</w:t>
      </w:r>
      <w:r>
        <w:rPr>
          <w:rFonts w:hint="eastAsia" w:ascii="楷体" w:hAnsi="楷体" w:eastAsia="楷体" w:cs="Arial Unicode MS"/>
          <w:kern w:val="0"/>
          <w:szCs w:val="18"/>
        </w:rPr>
        <w:t>理财</w:t>
      </w:r>
      <w:r>
        <w:rPr>
          <w:rFonts w:ascii="楷体" w:hAnsi="楷体" w:eastAsia="楷体" w:cs="Arial Unicode MS"/>
          <w:kern w:val="0"/>
          <w:szCs w:val="18"/>
        </w:rPr>
        <w:t>份额净值</w:t>
      </w:r>
    </w:p>
    <w:p>
      <w:pPr>
        <w:topLinePunct/>
        <w:ind w:left="400" w:right="67" w:rightChars="32"/>
        <w:rPr>
          <w:rFonts w:ascii="楷体" w:hAnsi="楷体" w:eastAsia="楷体" w:cs="Arial Unicode MS"/>
          <w:kern w:val="0"/>
          <w:szCs w:val="18"/>
        </w:rPr>
      </w:pPr>
      <w:r>
        <w:rPr>
          <w:rFonts w:hint="eastAsia" w:ascii="楷体" w:hAnsi="楷体" w:eastAsia="楷体" w:cs="Arial Unicode MS"/>
          <w:kern w:val="0"/>
          <w:szCs w:val="18"/>
        </w:rPr>
        <w:t>赎回费用=赎回总额×赎回费率</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赎回</w:t>
      </w:r>
      <w:r>
        <w:rPr>
          <w:rFonts w:ascii="楷体" w:hAnsi="楷体" w:eastAsia="楷体" w:cs="Arial Unicode MS"/>
          <w:color w:val="000000" w:themeColor="text1"/>
          <w:kern w:val="0"/>
          <w:szCs w:val="18"/>
          <w14:textFill>
            <w14:solidFill>
              <w14:schemeClr w14:val="tx1"/>
            </w14:solidFill>
          </w14:textFill>
        </w:rPr>
        <w:t>金额保留至小数点后两位，小数点后两位以下四舍五入</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5"/>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理财份额净值在</w:t>
      </w:r>
      <w:r>
        <w:rPr>
          <w:rFonts w:hint="eastAsia" w:ascii="楷体" w:hAnsi="楷体" w:eastAsia="楷体" w:cs="Arial Unicode MS"/>
          <w:color w:val="000000" w:themeColor="text1"/>
          <w:kern w:val="0"/>
          <w:szCs w:val="18"/>
          <w14:textFill>
            <w14:solidFill>
              <w14:schemeClr w14:val="tx1"/>
            </w14:solidFill>
          </w14:textFill>
        </w:rPr>
        <w:t>申购、</w:t>
      </w:r>
      <w:r>
        <w:rPr>
          <w:rFonts w:ascii="楷体" w:hAnsi="楷体" w:eastAsia="楷体" w:cs="Arial Unicode MS"/>
          <w:color w:val="000000" w:themeColor="text1"/>
          <w:kern w:val="0"/>
          <w:szCs w:val="18"/>
          <w14:textFill>
            <w14:solidFill>
              <w14:schemeClr w14:val="tx1"/>
            </w14:solidFill>
          </w14:textFill>
        </w:rPr>
        <w:t>赎回</w:t>
      </w:r>
      <w:r>
        <w:rPr>
          <w:rFonts w:hint="eastAsia" w:ascii="楷体" w:hAnsi="楷体" w:eastAsia="楷体" w:cs="Arial Unicode MS"/>
          <w:color w:val="000000" w:themeColor="text1"/>
          <w:kern w:val="0"/>
          <w:szCs w:val="18"/>
          <w14:textFill>
            <w14:solidFill>
              <w14:schemeClr w14:val="tx1"/>
            </w14:solidFill>
          </w14:textFill>
        </w:rPr>
        <w:t>日</w:t>
      </w:r>
      <w:r>
        <w:rPr>
          <w:rFonts w:ascii="楷体" w:hAnsi="楷体" w:eastAsia="楷体" w:cs="Arial Unicode MS"/>
          <w:color w:val="000000" w:themeColor="text1"/>
          <w:kern w:val="0"/>
          <w:szCs w:val="18"/>
          <w14:textFill>
            <w14:solidFill>
              <w14:schemeClr w14:val="tx1"/>
            </w14:solidFill>
          </w14:textFill>
        </w:rPr>
        <w:t>后</w:t>
      </w:r>
      <w:r>
        <w:rPr>
          <w:rFonts w:hint="eastAsia" w:ascii="楷体" w:hAnsi="楷体" w:eastAsia="楷体" w:cs="Arial Unicode MS"/>
          <w:color w:val="000000" w:themeColor="text1"/>
          <w:kern w:val="0"/>
          <w:szCs w:val="18"/>
          <w14:textFill>
            <w14:solidFill>
              <w14:schemeClr w14:val="tx1"/>
            </w14:solidFill>
          </w14:textFill>
        </w:rPr>
        <w:t>第</w:t>
      </w:r>
      <w:r>
        <w:rPr>
          <w:rFonts w:ascii="楷体" w:hAnsi="楷体" w:eastAsia="楷体" w:cs="Arial Unicode MS"/>
          <w:color w:val="000000" w:themeColor="text1"/>
          <w:kern w:val="0"/>
          <w:szCs w:val="18"/>
          <w14:textFill>
            <w14:solidFill>
              <w14:schemeClr w14:val="tx1"/>
            </w14:solidFill>
          </w14:textFill>
        </w:rPr>
        <w:t>2个工作日（T+2日</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公告。遇特殊情况，理财</w:t>
      </w:r>
      <w:r>
        <w:rPr>
          <w:rFonts w:hint="eastAsia" w:ascii="楷体" w:hAnsi="楷体" w:eastAsia="楷体" w:cs="Arial Unicode MS"/>
          <w:color w:val="000000" w:themeColor="text1"/>
          <w:kern w:val="0"/>
          <w:szCs w:val="18"/>
          <w14:textFill>
            <w14:solidFill>
              <w14:schemeClr w14:val="tx1"/>
            </w14:solidFill>
          </w14:textFill>
        </w:rPr>
        <w:t>产品管理人</w:t>
      </w:r>
      <w:r>
        <w:rPr>
          <w:rFonts w:ascii="楷体" w:hAnsi="楷体" w:eastAsia="楷体" w:cs="Arial Unicode MS"/>
          <w:color w:val="000000" w:themeColor="text1"/>
          <w:kern w:val="0"/>
          <w:szCs w:val="18"/>
          <w14:textFill>
            <w14:solidFill>
              <w14:schemeClr w14:val="tx1"/>
            </w14:solidFill>
          </w14:textFill>
        </w:rPr>
        <w:t>可以适当延迟计算并进行公告。</w:t>
      </w:r>
    </w:p>
    <w:p>
      <w:pPr>
        <w:numPr>
          <w:ilvl w:val="0"/>
          <w:numId w:val="15"/>
        </w:numPr>
        <w:topLinePunct/>
        <w:ind w:right="67" w:rightChars="32"/>
        <w:rPr>
          <w:rFonts w:ascii="楷体" w:hAnsi="楷体" w:eastAsia="楷体"/>
          <w:color w:val="000000" w:themeColor="text1"/>
          <w:kern w:val="0"/>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本理财份额净值</w:t>
      </w:r>
      <w:r>
        <w:rPr>
          <w:rFonts w:hint="eastAsia" w:ascii="楷体" w:hAnsi="楷体" w:eastAsia="楷体" w:cs="Arial Unicode MS"/>
          <w:color w:val="000000" w:themeColor="text1"/>
          <w:kern w:val="0"/>
          <w:szCs w:val="18"/>
          <w14:textFill>
            <w14:solidFill>
              <w14:schemeClr w14:val="tx1"/>
            </w14:solidFill>
          </w14:textFill>
        </w:rPr>
        <w:t>是按照</w:t>
      </w:r>
      <w:r>
        <w:rPr>
          <w:rFonts w:hint="eastAsia" w:ascii="楷体" w:hAnsi="楷体" w:eastAsia="楷体"/>
          <w:color w:val="000000" w:themeColor="text1"/>
          <w:kern w:val="0"/>
          <w14:textFill>
            <w14:solidFill>
              <w14:schemeClr w14:val="tx1"/>
            </w14:solidFill>
          </w14:textFill>
        </w:rPr>
        <w:t>估值</w:t>
      </w:r>
      <w:r>
        <w:rPr>
          <w:rFonts w:hint="eastAsia" w:ascii="楷体" w:hAnsi="楷体" w:eastAsia="楷体" w:cs="Arial Unicode MS"/>
          <w:color w:val="000000" w:themeColor="text1"/>
          <w:kern w:val="0"/>
          <w:szCs w:val="18"/>
          <w14:textFill>
            <w14:solidFill>
              <w14:schemeClr w14:val="tx1"/>
            </w14:solidFill>
          </w14:textFill>
        </w:rPr>
        <w:t>日产品资产净值除以当日产品总份额计算</w:t>
      </w:r>
      <w:r>
        <w:rPr>
          <w:rFonts w:ascii="楷体" w:hAnsi="楷体" w:eastAsia="楷体" w:cs="Arial Unicode MS"/>
          <w:color w:val="000000" w:themeColor="text1"/>
          <w:kern w:val="0"/>
          <w:szCs w:val="18"/>
          <w14:textFill>
            <w14:solidFill>
              <w14:schemeClr w14:val="tx1"/>
            </w14:solidFill>
          </w14:textFill>
        </w:rPr>
        <w:t>，保留到小数点后6位，</w:t>
      </w:r>
      <w:r>
        <w:rPr>
          <w:rFonts w:hint="eastAsia" w:ascii="楷体" w:hAnsi="楷体" w:eastAsia="楷体" w:cs="Arial Unicode MS"/>
          <w:color w:val="000000" w:themeColor="text1"/>
          <w:kern w:val="0"/>
          <w:szCs w:val="18"/>
          <w14:textFill>
            <w14:solidFill>
              <w14:schemeClr w14:val="tx1"/>
            </w14:solidFill>
          </w14:textFill>
        </w:rPr>
        <w:t>之后舍位，国家另有规定的，从其规定。</w:t>
      </w:r>
      <w:r>
        <w:rPr>
          <w:rFonts w:ascii="楷体" w:hAnsi="楷体" w:eastAsia="楷体" w:cs="Arial Unicode MS"/>
          <w:color w:val="000000" w:themeColor="text1"/>
          <w:kern w:val="0"/>
          <w:szCs w:val="18"/>
          <w14:textFill>
            <w14:solidFill>
              <w14:schemeClr w14:val="tx1"/>
            </w14:solidFill>
          </w14:textFill>
        </w:rPr>
        <w:t>由此误差产生的损失由理财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财产承担，产生的</w:t>
      </w:r>
      <w:r>
        <w:rPr>
          <w:rFonts w:ascii="楷体" w:hAnsi="楷体" w:eastAsia="楷体"/>
          <w:color w:val="000000" w:themeColor="text1"/>
          <w:kern w:val="0"/>
          <w14:textFill>
            <w14:solidFill>
              <w14:schemeClr w14:val="tx1"/>
            </w14:solidFill>
          </w14:textFill>
        </w:rPr>
        <w:t>收益</w:t>
      </w:r>
      <w:r>
        <w:rPr>
          <w:rFonts w:ascii="楷体" w:hAnsi="楷体" w:eastAsia="楷体" w:cs="Arial Unicode MS"/>
          <w:color w:val="000000" w:themeColor="text1"/>
          <w:kern w:val="0"/>
          <w:szCs w:val="18"/>
          <w14:textFill>
            <w14:solidFill>
              <w14:schemeClr w14:val="tx1"/>
            </w14:solidFill>
          </w14:textFill>
        </w:rPr>
        <w:t>归理财</w:t>
      </w:r>
      <w:r>
        <w:rPr>
          <w:rFonts w:hint="eastAsia" w:ascii="楷体" w:hAnsi="楷体" w:eastAsia="楷体" w:cs="Arial Unicode MS"/>
          <w:color w:val="000000" w:themeColor="text1"/>
          <w:kern w:val="0"/>
          <w:szCs w:val="18"/>
          <w14:textFill>
            <w14:solidFill>
              <w14:schemeClr w14:val="tx1"/>
            </w14:solidFill>
          </w14:textFill>
        </w:rPr>
        <w:t>产品</w:t>
      </w:r>
      <w:r>
        <w:rPr>
          <w:rFonts w:ascii="楷体" w:hAnsi="楷体" w:eastAsia="楷体" w:cs="Arial Unicode MS"/>
          <w:color w:val="000000" w:themeColor="text1"/>
          <w:kern w:val="0"/>
          <w:szCs w:val="18"/>
          <w14:textFill>
            <w14:solidFill>
              <w14:schemeClr w14:val="tx1"/>
            </w14:solidFill>
          </w14:textFill>
        </w:rPr>
        <w:t>财产所有。</w:t>
      </w:r>
      <w:r>
        <w:rPr>
          <w:rFonts w:hint="eastAsia" w:ascii="楷体" w:hAnsi="楷体" w:eastAsia="楷体" w:cs="Arial Unicode MS"/>
          <w:color w:val="000000" w:themeColor="text1"/>
          <w:kern w:val="0"/>
          <w:szCs w:val="18"/>
          <w14:textFill>
            <w14:solidFill>
              <w14:schemeClr w14:val="tx1"/>
            </w14:solidFill>
          </w14:textFill>
        </w:rPr>
        <w:t>产品资产总值是指购买的各类证券及票据价值、银行存款本息和产品应收的申购产品款以及其他投资所形成的价值总和。产品资产净值是指产品资产总值减去产品负债后的价值</w:t>
      </w:r>
      <w:r>
        <w:rPr>
          <w:rFonts w:hint="eastAsia" w:ascii="楷体" w:hAnsi="楷体" w:eastAsia="楷体"/>
          <w:color w:val="000000" w:themeColor="text1"/>
          <w:kern w:val="0"/>
          <w14:textFill>
            <w14:solidFill>
              <w14:schemeClr w14:val="tx1"/>
            </w14:solidFill>
          </w14:textFill>
        </w:rPr>
        <w:t>。</w:t>
      </w:r>
    </w:p>
    <w:p>
      <w:pPr>
        <w:pStyle w:val="10"/>
        <w:numPr>
          <w:ilvl w:val="0"/>
          <w:numId w:val="15"/>
        </w:numPr>
        <w:tabs>
          <w:tab w:val="left" w:pos="720"/>
        </w:tabs>
        <w:spacing w:before="0" w:beforeAutospacing="0" w:after="0" w:afterAutospacing="0"/>
        <w:rPr>
          <w:rFonts w:ascii="楷体" w:hAnsi="楷体" w:eastAsia="楷体"/>
          <w:sz w:val="21"/>
          <w:szCs w:val="18"/>
        </w:rPr>
      </w:pPr>
      <w:r>
        <w:rPr>
          <w:rFonts w:hint="eastAsia" w:ascii="楷体" w:hAnsi="楷体" w:eastAsia="楷体"/>
          <w:sz w:val="21"/>
          <w:szCs w:val="18"/>
        </w:rPr>
        <w:t>投资者风险计算示例</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（1）假如投资者在认购期认购理财产品50万份，</w:t>
      </w:r>
      <w:r>
        <w:rPr>
          <w:rFonts w:hint="eastAsia" w:ascii="楷体" w:hAnsi="楷体" w:eastAsia="楷体"/>
          <w:szCs w:val="18"/>
        </w:rPr>
        <w:t>产品无认购费，</w:t>
      </w:r>
      <w:r>
        <w:rPr>
          <w:rFonts w:hint="eastAsia" w:ascii="楷体" w:hAnsi="楷体" w:eastAsia="楷体" w:cs="Arial Unicode MS"/>
          <w:color w:val="000000" w:themeColor="text1"/>
          <w:kern w:val="0"/>
          <w:szCs w:val="18"/>
          <w14:textFill>
            <w14:solidFill>
              <w14:schemeClr w14:val="tx1"/>
            </w14:solidFill>
          </w14:textFill>
        </w:rPr>
        <w:t>并在开放日赎回50万份，赎回份额净值为1.04</w:t>
      </w:r>
      <w:r>
        <w:rPr>
          <w:rFonts w:ascii="楷体" w:hAnsi="楷体" w:eastAsia="楷体" w:cs="Arial Unicode MS"/>
          <w:color w:val="000000" w:themeColor="text1"/>
          <w:kern w:val="0"/>
          <w:szCs w:val="18"/>
          <w14:textFill>
            <w14:solidFill>
              <w14:schemeClr w14:val="tx1"/>
            </w14:solidFill>
          </w14:textFill>
        </w:rPr>
        <w:t>00</w:t>
      </w:r>
      <w:r>
        <w:rPr>
          <w:rFonts w:hint="eastAsia" w:ascii="楷体" w:hAnsi="楷体" w:eastAsia="楷体" w:cs="Arial Unicode MS"/>
          <w:color w:val="000000" w:themeColor="text1"/>
          <w:kern w:val="0"/>
          <w:szCs w:val="18"/>
          <w14:textFill>
            <w14:solidFill>
              <w14:schemeClr w14:val="tx1"/>
            </w14:solidFill>
          </w14:textFill>
        </w:rPr>
        <w:t>00，持有</w:t>
      </w:r>
      <w:r>
        <w:rPr>
          <w:rFonts w:ascii="楷体" w:hAnsi="楷体" w:eastAsia="楷体" w:cs="Arial Unicode MS"/>
          <w:color w:val="000000" w:themeColor="text1"/>
          <w:kern w:val="0"/>
          <w:szCs w:val="18"/>
          <w14:textFill>
            <w14:solidFill>
              <w14:schemeClr w14:val="tx1"/>
            </w14:solidFill>
          </w14:textFill>
        </w:rPr>
        <w:t>1</w:t>
      </w:r>
      <w:r>
        <w:rPr>
          <w:rFonts w:hint="eastAsia" w:ascii="楷体" w:hAnsi="楷体" w:eastAsia="楷体" w:cs="Arial Unicode MS"/>
          <w:color w:val="000000" w:themeColor="text1"/>
          <w:kern w:val="0"/>
          <w:szCs w:val="18"/>
          <w14:textFill>
            <w14:solidFill>
              <w14:schemeClr w14:val="tx1"/>
            </w14:solidFill>
          </w14:textFill>
        </w:rPr>
        <w:t>年。</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则投资者赎回总额为：500,000×1.04</w:t>
      </w:r>
      <w:r>
        <w:rPr>
          <w:rFonts w:ascii="楷体" w:hAnsi="楷体" w:eastAsia="楷体" w:cs="Arial Unicode MS"/>
          <w:color w:val="000000" w:themeColor="text1"/>
          <w:kern w:val="0"/>
          <w:szCs w:val="18"/>
          <w14:textFill>
            <w14:solidFill>
              <w14:schemeClr w14:val="tx1"/>
            </w14:solidFill>
          </w14:textFill>
        </w:rPr>
        <w:t>0</w:t>
      </w:r>
      <w:r>
        <w:rPr>
          <w:rFonts w:hint="eastAsia" w:ascii="楷体" w:hAnsi="楷体" w:eastAsia="楷体" w:cs="Arial Unicode MS"/>
          <w:color w:val="000000" w:themeColor="text1"/>
          <w:kern w:val="0"/>
          <w:szCs w:val="18"/>
          <w14:textFill>
            <w14:solidFill>
              <w14:schemeClr w14:val="tx1"/>
            </w14:solidFill>
          </w14:textFill>
        </w:rPr>
        <w:t>00</w:t>
      </w:r>
      <w:r>
        <w:rPr>
          <w:rFonts w:ascii="楷体" w:hAnsi="楷体" w:eastAsia="楷体" w:cs="Arial Unicode MS"/>
          <w:color w:val="000000" w:themeColor="text1"/>
          <w:kern w:val="0"/>
          <w:szCs w:val="18"/>
          <w14:textFill>
            <w14:solidFill>
              <w14:schemeClr w14:val="tx1"/>
            </w14:solidFill>
          </w14:textFill>
        </w:rPr>
        <w:t>0</w:t>
      </w:r>
      <w:r>
        <w:rPr>
          <w:rFonts w:hint="eastAsia" w:ascii="楷体" w:hAnsi="楷体" w:eastAsia="楷体" w:cs="Arial Unicode MS"/>
          <w:color w:val="000000" w:themeColor="text1"/>
          <w:kern w:val="0"/>
          <w:szCs w:val="18"/>
          <w14:textFill>
            <w14:solidFill>
              <w14:schemeClr w14:val="tx1"/>
            </w14:solidFill>
          </w14:textFill>
        </w:rPr>
        <w:t>=520,000元</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年化投资收益率为</w:t>
      </w:r>
      <w:r>
        <w:rPr>
          <w:rFonts w:ascii="楷体" w:hAnsi="楷体" w:eastAsia="楷体" w:cs="Arial Unicode MS"/>
          <w:color w:val="000000" w:themeColor="text1"/>
          <w:kern w:val="0"/>
          <w:szCs w:val="18"/>
          <w14:textFill>
            <w14:solidFill>
              <w14:schemeClr w14:val="tx1"/>
            </w14:solidFill>
          </w14:textFill>
        </w:rPr>
        <w:t>4</w:t>
      </w:r>
      <w:r>
        <w:rPr>
          <w:rFonts w:hint="eastAsia" w:ascii="楷体" w:hAnsi="楷体" w:eastAsia="楷体" w:cs="Arial Unicode MS"/>
          <w:color w:val="000000" w:themeColor="text1"/>
          <w:kern w:val="0"/>
          <w:szCs w:val="18"/>
          <w14:textFill>
            <w14:solidFill>
              <w14:schemeClr w14:val="tx1"/>
            </w14:solidFill>
          </w14:textFill>
        </w:rPr>
        <w:t>%。</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（2）假如投资者在认购期认购理财产品50万份，</w:t>
      </w:r>
      <w:r>
        <w:rPr>
          <w:rFonts w:hint="eastAsia" w:ascii="楷体" w:hAnsi="楷体" w:eastAsia="楷体"/>
          <w:szCs w:val="18"/>
        </w:rPr>
        <w:t>产品无认购费，</w:t>
      </w:r>
      <w:r>
        <w:rPr>
          <w:rFonts w:hint="eastAsia" w:ascii="楷体" w:hAnsi="楷体" w:eastAsia="楷体" w:cs="Arial Unicode MS"/>
          <w:color w:val="000000" w:themeColor="text1"/>
          <w:kern w:val="0"/>
          <w:szCs w:val="18"/>
          <w14:textFill>
            <w14:solidFill>
              <w14:schemeClr w14:val="tx1"/>
            </w14:solidFill>
          </w14:textFill>
        </w:rPr>
        <w:t>并在开放日赎回50万份，赎回份额净值为0.9800</w:t>
      </w:r>
      <w:r>
        <w:rPr>
          <w:rFonts w:ascii="楷体" w:hAnsi="楷体" w:eastAsia="楷体" w:cs="Arial Unicode MS"/>
          <w:color w:val="000000" w:themeColor="text1"/>
          <w:kern w:val="0"/>
          <w:szCs w:val="18"/>
          <w14:textFill>
            <w14:solidFill>
              <w14:schemeClr w14:val="tx1"/>
            </w14:solidFill>
          </w14:textFill>
        </w:rPr>
        <w:t>00</w:t>
      </w:r>
      <w:r>
        <w:rPr>
          <w:rFonts w:hint="eastAsia" w:ascii="楷体" w:hAnsi="楷体" w:eastAsia="楷体" w:cs="Arial Unicode MS"/>
          <w:color w:val="000000" w:themeColor="text1"/>
          <w:kern w:val="0"/>
          <w:szCs w:val="18"/>
          <w14:textFill>
            <w14:solidFill>
              <w14:schemeClr w14:val="tx1"/>
            </w14:solidFill>
          </w14:textFill>
        </w:rPr>
        <w:t>，持有</w:t>
      </w:r>
      <w:r>
        <w:rPr>
          <w:rFonts w:ascii="楷体" w:hAnsi="楷体" w:eastAsia="楷体" w:cs="Arial Unicode MS"/>
          <w:color w:val="000000" w:themeColor="text1"/>
          <w:kern w:val="0"/>
          <w:szCs w:val="18"/>
          <w14:textFill>
            <w14:solidFill>
              <w14:schemeClr w14:val="tx1"/>
            </w14:solidFill>
          </w14:textFill>
        </w:rPr>
        <w:t>1</w:t>
      </w:r>
      <w:r>
        <w:rPr>
          <w:rFonts w:hint="eastAsia" w:ascii="楷体" w:hAnsi="楷体" w:eastAsia="楷体" w:cs="Arial Unicode MS"/>
          <w:color w:val="000000" w:themeColor="text1"/>
          <w:kern w:val="0"/>
          <w:szCs w:val="18"/>
          <w14:textFill>
            <w14:solidFill>
              <w14:schemeClr w14:val="tx1"/>
            </w14:solidFill>
          </w14:textFill>
        </w:rPr>
        <w:t>年。</w:t>
      </w:r>
    </w:p>
    <w:p>
      <w:pPr>
        <w:topLinePunct/>
        <w:ind w:right="67" w:rightChars="32" w:firstLine="409" w:firstLineChars="195"/>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则投资者赎回总额为：500,000×</w:t>
      </w:r>
      <w:r>
        <w:rPr>
          <w:rFonts w:ascii="楷体" w:hAnsi="楷体" w:eastAsia="楷体" w:cs="Arial Unicode MS"/>
          <w:color w:val="000000" w:themeColor="text1"/>
          <w:kern w:val="0"/>
          <w:szCs w:val="18"/>
          <w14:textFill>
            <w14:solidFill>
              <w14:schemeClr w14:val="tx1"/>
            </w14:solidFill>
          </w14:textFill>
        </w:rPr>
        <w:t>0.98</w:t>
      </w:r>
      <w:r>
        <w:rPr>
          <w:rFonts w:hint="eastAsia" w:ascii="楷体" w:hAnsi="楷体" w:eastAsia="楷体" w:cs="Arial Unicode MS"/>
          <w:color w:val="000000" w:themeColor="text1"/>
          <w:kern w:val="0"/>
          <w:szCs w:val="18"/>
          <w14:textFill>
            <w14:solidFill>
              <w14:schemeClr w14:val="tx1"/>
            </w14:solidFill>
          </w14:textFill>
        </w:rPr>
        <w:t>00</w:t>
      </w:r>
      <w:r>
        <w:rPr>
          <w:rFonts w:ascii="楷体" w:hAnsi="楷体" w:eastAsia="楷体" w:cs="Arial Unicode MS"/>
          <w:color w:val="000000" w:themeColor="text1"/>
          <w:kern w:val="0"/>
          <w:szCs w:val="18"/>
          <w14:textFill>
            <w14:solidFill>
              <w14:schemeClr w14:val="tx1"/>
            </w14:solidFill>
          </w14:textFill>
        </w:rPr>
        <w:t>00</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49</w:t>
      </w:r>
      <w:r>
        <w:rPr>
          <w:rFonts w:hint="eastAsia" w:ascii="楷体" w:hAnsi="楷体" w:eastAsia="楷体" w:cs="Arial Unicode MS"/>
          <w:color w:val="000000" w:themeColor="text1"/>
          <w:kern w:val="0"/>
          <w:szCs w:val="18"/>
          <w14:textFill>
            <w14:solidFill>
              <w14:schemeClr w14:val="tx1"/>
            </w14:solidFill>
          </w14:textFill>
        </w:rPr>
        <w:t>0,000元</w:t>
      </w:r>
    </w:p>
    <w:p>
      <w:pPr>
        <w:pStyle w:val="10"/>
        <w:tabs>
          <w:tab w:val="left" w:pos="720"/>
        </w:tabs>
        <w:spacing w:before="0" w:beforeAutospacing="0" w:after="0" w:afterAutospacing="0"/>
        <w:ind w:left="400"/>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年化投资收益率为</w:t>
      </w:r>
      <w:r>
        <w:rPr>
          <w:rFonts w:ascii="楷体" w:hAnsi="楷体" w:eastAsia="楷体"/>
          <w:color w:val="000000" w:themeColor="text1"/>
          <w:sz w:val="21"/>
          <w:szCs w:val="18"/>
          <w14:textFill>
            <w14:solidFill>
              <w14:schemeClr w14:val="tx1"/>
            </w14:solidFill>
          </w14:textFill>
        </w:rPr>
        <w:t>-2</w:t>
      </w:r>
      <w:r>
        <w:rPr>
          <w:rFonts w:hint="eastAsia" w:ascii="楷体" w:hAnsi="楷体" w:eastAsia="楷体"/>
          <w:color w:val="000000" w:themeColor="text1"/>
          <w:sz w:val="21"/>
          <w:szCs w:val="18"/>
          <w14:textFill>
            <w14:solidFill>
              <w14:schemeClr w14:val="tx1"/>
            </w14:solidFill>
          </w14:textFill>
        </w:rPr>
        <w:t>%。</w:t>
      </w:r>
    </w:p>
    <w:p>
      <w:pPr>
        <w:topLinePunct/>
        <w:ind w:right="67" w:rightChars="32" w:firstLine="422" w:firstLineChars="200"/>
        <w:rPr>
          <w:rFonts w:ascii="楷体" w:hAnsi="楷体" w:eastAsia="楷体" w:cs="Arial Unicode MS"/>
          <w:b/>
          <w:szCs w:val="18"/>
        </w:rPr>
      </w:pPr>
      <w:r>
        <w:rPr>
          <w:rFonts w:hint="eastAsia" w:ascii="楷体" w:hAnsi="楷体" w:eastAsia="楷体"/>
          <w:b/>
          <w:szCs w:val="18"/>
        </w:rPr>
        <w:t>上述收益与风险计算示例仅为说明文件，所用数据均为模拟数据，并不作为产品承诺收益或损失的保证。</w:t>
      </w:r>
      <w:r>
        <w:rPr>
          <w:rFonts w:hint="eastAsia" w:ascii="楷体" w:hAnsi="楷体" w:eastAsia="楷体" w:cs="Arial Unicode MS"/>
          <w:b/>
          <w:szCs w:val="18"/>
        </w:rPr>
        <w:t>本理财产品最不利投资情形为所投资的国债、信用债、证券投资基金、权益类资产等金融工具出现市场价格剧烈波动或发行人违约等极端情况，本理财产品收益可能为零，本金全部损失。</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巨额赎回限制</w:t>
      </w:r>
    </w:p>
    <w:p>
      <w:pPr>
        <w:numPr>
          <w:ilvl w:val="0"/>
          <w:numId w:val="16"/>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巨额赎回的认定。本理财产品单个开放日净赎回申请份额（赎回申请份额总数扣除申购申请份额总数）超过前一日终理财产品总份额的</w:t>
      </w:r>
      <w:r>
        <w:rPr>
          <w:rFonts w:ascii="楷体" w:hAnsi="楷体" w:eastAsia="楷体" w:cs="Arial Unicode MS"/>
          <w:color w:val="000000" w:themeColor="text1"/>
          <w:kern w:val="0"/>
          <w:szCs w:val="18"/>
          <w14:textFill>
            <w14:solidFill>
              <w14:schemeClr w14:val="tx1"/>
            </w14:solidFill>
          </w14:textFill>
        </w:rPr>
        <w:t>10%。</w:t>
      </w:r>
    </w:p>
    <w:p>
      <w:pPr>
        <w:numPr>
          <w:ilvl w:val="0"/>
          <w:numId w:val="16"/>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当产品出现巨额赎回时，理财产品管理人可以根据产品实际状况决定全额赎回、部分延期赎回。</w:t>
      </w:r>
    </w:p>
    <w:p>
      <w:pPr>
        <w:topLinePunct/>
        <w:ind w:right="67" w:rightChars="32"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全额赎回：当理财产品管理人认为有能力支付投资者的全部赎回申请时，按正常赎回程序执行。</w:t>
      </w:r>
    </w:p>
    <w:p>
      <w:pPr>
        <w:topLinePunct/>
        <w:ind w:right="67" w:rightChars="32" w:firstLine="420" w:firstLineChars="20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部分延期赎回：当理财产品管理人认为支付投资者的赎回申请有困难或认为因支付投资者的赎回申请而进行的资产变现可能会对产品资产净值造成较大波动时，理财产品管理人在当日办理的赎回比例不低于前一日终产品总份额的</w:t>
      </w:r>
      <w:r>
        <w:rPr>
          <w:rFonts w:ascii="楷体" w:hAnsi="楷体" w:eastAsia="楷体" w:cs="Arial Unicode MS"/>
          <w:color w:val="000000" w:themeColor="text1"/>
          <w:kern w:val="0"/>
          <w:szCs w:val="18"/>
          <w14:textFill>
            <w14:solidFill>
              <w14:schemeClr w14:val="tx1"/>
            </w14:solidFill>
          </w14:textFill>
        </w:rPr>
        <w:t>10%的前提下，可对其余赎回申请延期办理。对于当日办理的赎回申请，按单个客户赎回申请量占赎回申请总量的比例，确定当日受理的赎回份额。对于未能办理的赎回部分，根据投资者在提交赎回申请时的选择处理，选择延期赎回的，将自动转入下一工作日继续赎回，直到全部赎回为止；选择取消赎回的，当日未办理的部分赎回申请将被撤销。延期</w:t>
      </w:r>
      <w:r>
        <w:rPr>
          <w:rFonts w:hint="eastAsia" w:ascii="楷体" w:hAnsi="楷体" w:eastAsia="楷体" w:cs="Arial Unicode MS"/>
          <w:color w:val="000000" w:themeColor="text1"/>
          <w:kern w:val="0"/>
          <w:szCs w:val="18"/>
          <w14:textFill>
            <w14:solidFill>
              <w14:schemeClr w14:val="tx1"/>
            </w14:solidFill>
          </w14:textFill>
        </w:rPr>
        <w:t>的赎回申请与下一工作日赎回申请一并处理，不享有优先确认权且赎回价格为下一个工作日的价格，以此类推，直到全部赎回为止。</w:t>
      </w:r>
    </w:p>
    <w:p>
      <w:pPr>
        <w:topLinePunct/>
        <w:ind w:right="67" w:rightChars="32" w:firstLine="420" w:firstLineChars="200"/>
        <w:rPr>
          <w:rFonts w:ascii="楷体" w:hAnsi="楷体" w:eastAsia="楷体" w:cs="Arial Unicode MS"/>
          <w:kern w:val="0"/>
          <w:szCs w:val="18"/>
        </w:rPr>
      </w:pPr>
      <w:r>
        <w:rPr>
          <w:rFonts w:hint="eastAsia" w:ascii="楷体" w:hAnsi="楷体" w:eastAsia="楷体" w:cs="Arial Unicode MS"/>
          <w:color w:val="000000" w:themeColor="text1"/>
          <w:kern w:val="0"/>
          <w:szCs w:val="18"/>
          <w14:textFill>
            <w14:solidFill>
              <w14:schemeClr w14:val="tx1"/>
            </w14:solidFill>
          </w14:textFill>
        </w:rPr>
        <w:t>发生上述情形且理财产品管理人决定根据本条约定延期办理巨额赎回申请时，理财产品管理人应当在</w:t>
      </w:r>
      <w:r>
        <w:rPr>
          <w:rFonts w:ascii="楷体" w:hAnsi="楷体" w:eastAsia="楷体" w:cs="Arial Unicode MS"/>
          <w:color w:val="000000" w:themeColor="text1"/>
          <w:kern w:val="0"/>
          <w:szCs w:val="18"/>
          <w14:textFill>
            <w14:solidFill>
              <w14:schemeClr w14:val="tx1"/>
            </w14:solidFill>
          </w14:textFill>
        </w:rPr>
        <w:t>3个工作日内通过相应信息披露渠道进行披露，并说明运用相关措施的原因、拟采取的应对安排等。</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暂停申购的情形</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发生下列情形时，产品管理人可拒绝或暂停接受投资人的申购</w:t>
      </w:r>
      <w:r>
        <w:rPr>
          <w:rFonts w:ascii="楷体" w:hAnsi="楷体" w:eastAsia="楷体" w:cs="Arial Unicode MS"/>
          <w:color w:val="000000" w:themeColor="text1"/>
          <w:kern w:val="0"/>
          <w:szCs w:val="18"/>
          <w14:textFill>
            <w14:solidFill>
              <w14:schemeClr w14:val="tx1"/>
            </w14:solidFill>
          </w14:textFill>
        </w:rPr>
        <w:t>申请：</w:t>
      </w:r>
    </w:p>
    <w:p>
      <w:pPr>
        <w:numPr>
          <w:ilvl w:val="0"/>
          <w:numId w:val="17"/>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因</w:t>
      </w:r>
      <w:r>
        <w:rPr>
          <w:rFonts w:ascii="楷体" w:hAnsi="楷体" w:eastAsia="楷体" w:cs="Arial Unicode MS"/>
          <w:color w:val="000000" w:themeColor="text1"/>
          <w:kern w:val="0"/>
          <w:szCs w:val="18"/>
          <w14:textFill>
            <w14:solidFill>
              <w14:schemeClr w14:val="tx1"/>
            </w14:solidFill>
          </w14:textFill>
        </w:rPr>
        <w:t>不可抗力导致理财无法正常运作</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7"/>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发生暂停理财资产估值情况时</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7"/>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当</w:t>
      </w:r>
      <w:r>
        <w:rPr>
          <w:rFonts w:ascii="楷体" w:hAnsi="楷体" w:eastAsia="楷体" w:cs="Arial Unicode MS"/>
          <w:color w:val="000000" w:themeColor="text1"/>
          <w:kern w:val="0"/>
          <w:szCs w:val="18"/>
          <w14:textFill>
            <w14:solidFill>
              <w14:schemeClr w14:val="tx1"/>
            </w14:solidFill>
          </w14:textFill>
        </w:rPr>
        <w:t>产品申购金额将导致产品规模大幅波动</w:t>
      </w:r>
      <w:r>
        <w:rPr>
          <w:rFonts w:hint="eastAsia" w:ascii="楷体" w:hAnsi="楷体" w:eastAsia="楷体" w:cs="Arial Unicode MS"/>
          <w:color w:val="000000" w:themeColor="text1"/>
          <w:kern w:val="0"/>
          <w:szCs w:val="18"/>
          <w14:textFill>
            <w14:solidFill>
              <w14:schemeClr w14:val="tx1"/>
            </w14:solidFill>
          </w14:textFill>
        </w:rPr>
        <w:t>或超过上限，</w:t>
      </w:r>
      <w:r>
        <w:rPr>
          <w:rFonts w:ascii="楷体" w:hAnsi="楷体" w:eastAsia="楷体" w:cs="Arial Unicode MS"/>
          <w:color w:val="000000" w:themeColor="text1"/>
          <w:kern w:val="0"/>
          <w:szCs w:val="18"/>
          <w14:textFill>
            <w14:solidFill>
              <w14:schemeClr w14:val="tx1"/>
            </w14:solidFill>
          </w14:textFill>
        </w:rPr>
        <w:t>为保护投资者利益时</w:t>
      </w:r>
      <w:r>
        <w:rPr>
          <w:rFonts w:hint="eastAsia" w:ascii="楷体" w:hAnsi="楷体" w:eastAsia="楷体" w:cs="Arial Unicode MS"/>
          <w:color w:val="000000" w:themeColor="text1"/>
          <w:kern w:val="0"/>
          <w:szCs w:val="18"/>
          <w14:textFill>
            <w14:solidFill>
              <w14:schemeClr w14:val="tx1"/>
            </w14:solidFill>
          </w14:textFill>
        </w:rPr>
        <w:t>。</w:t>
      </w:r>
    </w:p>
    <w:p>
      <w:pPr>
        <w:numPr>
          <w:ilvl w:val="255"/>
          <w:numId w:val="0"/>
        </w:num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发生上述情形之一且理财产品管理人决定暂停接受申购申请时，理财产品管理人应当在</w:t>
      </w:r>
      <w:r>
        <w:rPr>
          <w:rFonts w:ascii="楷体" w:hAnsi="楷体" w:eastAsia="楷体" w:cs="Arial Unicode MS"/>
          <w:color w:val="000000" w:themeColor="text1"/>
          <w:kern w:val="0"/>
          <w:szCs w:val="18"/>
          <w14:textFill>
            <w14:solidFill>
              <w14:schemeClr w14:val="tx1"/>
            </w14:solidFill>
          </w14:textFill>
        </w:rPr>
        <w:t>3个工作日内通过相应信息披露渠道进行披露，并说明运用相关措施的原因、拟采取的应对安排等</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1"/>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暂停赎回或延缓</w:t>
      </w:r>
      <w:r>
        <w:rPr>
          <w:rFonts w:hint="eastAsia" w:ascii="楷体" w:hAnsi="楷体" w:eastAsia="楷体" w:cs="Arial Unicode MS"/>
          <w:color w:val="000000" w:themeColor="text1"/>
          <w:kern w:val="0"/>
          <w:szCs w:val="18"/>
          <w14:textFill>
            <w14:solidFill>
              <w14:schemeClr w14:val="tx1"/>
            </w14:solidFill>
          </w14:textFill>
        </w:rPr>
        <w:t>支付</w:t>
      </w:r>
      <w:r>
        <w:rPr>
          <w:rFonts w:ascii="楷体" w:hAnsi="楷体" w:eastAsia="楷体" w:cs="Arial Unicode MS"/>
          <w:color w:val="000000" w:themeColor="text1"/>
          <w:kern w:val="0"/>
          <w:szCs w:val="18"/>
          <w14:textFill>
            <w14:solidFill>
              <w14:schemeClr w14:val="tx1"/>
            </w14:solidFill>
          </w14:textFill>
        </w:rPr>
        <w:t>赎回款</w:t>
      </w:r>
      <w:r>
        <w:rPr>
          <w:rFonts w:hint="eastAsia" w:ascii="楷体" w:hAnsi="楷体" w:eastAsia="楷体" w:cs="Arial Unicode MS"/>
          <w:color w:val="000000" w:themeColor="text1"/>
          <w:kern w:val="0"/>
          <w:szCs w:val="18"/>
          <w14:textFill>
            <w14:solidFill>
              <w14:schemeClr w14:val="tx1"/>
            </w14:solidFill>
          </w14:textFill>
        </w:rPr>
        <w:t>项</w:t>
      </w:r>
      <w:r>
        <w:rPr>
          <w:rFonts w:ascii="楷体" w:hAnsi="楷体" w:eastAsia="楷体" w:cs="Arial Unicode MS"/>
          <w:color w:val="000000" w:themeColor="text1"/>
          <w:kern w:val="0"/>
          <w:szCs w:val="18"/>
          <w14:textFill>
            <w14:solidFill>
              <w14:schemeClr w14:val="tx1"/>
            </w14:solidFill>
          </w14:textFill>
        </w:rPr>
        <w:t>的情形</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发生下列情形时，产品管理人可暂停接受客户的赎回申请或延缓支付赎回款项：</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因不可抗力导致产品管理人不能支付赎回款项</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发生暂停理财资产估值情况时</w:t>
      </w:r>
      <w:r>
        <w:rPr>
          <w:rFonts w:hint="eastAsia" w:ascii="楷体" w:hAnsi="楷体" w:eastAsia="楷体" w:cs="Arial Unicode MS"/>
          <w:color w:val="000000" w:themeColor="text1"/>
          <w:kern w:val="0"/>
          <w:szCs w:val="18"/>
          <w14:textFill>
            <w14:solidFill>
              <w14:schemeClr w14:val="tx1"/>
            </w14:solidFill>
          </w14:textFill>
        </w:rPr>
        <w:t>；</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证券交易所或银行间市场出现异常</w:t>
      </w:r>
      <w:r>
        <w:rPr>
          <w:rFonts w:hint="eastAsia" w:ascii="楷体" w:hAnsi="楷体" w:eastAsia="楷体" w:cs="Arial Unicode MS"/>
          <w:color w:val="000000" w:themeColor="text1"/>
          <w:kern w:val="0"/>
          <w:szCs w:val="18"/>
          <w14:textFill>
            <w14:solidFill>
              <w14:schemeClr w14:val="tx1"/>
            </w14:solidFill>
          </w14:textFill>
        </w:rPr>
        <w:t>，导致</w:t>
      </w:r>
      <w:r>
        <w:rPr>
          <w:rFonts w:ascii="楷体" w:hAnsi="楷体" w:eastAsia="楷体" w:cs="Arial Unicode MS"/>
          <w:color w:val="000000" w:themeColor="text1"/>
          <w:kern w:val="0"/>
          <w:szCs w:val="18"/>
          <w14:textFill>
            <w14:solidFill>
              <w14:schemeClr w14:val="tx1"/>
            </w14:solidFill>
          </w14:textFill>
        </w:rPr>
        <w:t>市场发生系统性风险时</w:t>
      </w:r>
      <w:r>
        <w:rPr>
          <w:rFonts w:hint="eastAsia" w:ascii="楷体" w:hAnsi="楷体" w:eastAsia="楷体" w:cs="Arial Unicode MS"/>
          <w:color w:val="000000" w:themeColor="text1"/>
          <w:kern w:val="0"/>
          <w:szCs w:val="18"/>
          <w14:textFill>
            <w14:solidFill>
              <w14:schemeClr w14:val="tx1"/>
            </w14:solidFill>
          </w14:textFill>
        </w:rPr>
        <w:t>；</w:t>
      </w:r>
    </w:p>
    <w:p>
      <w:pPr>
        <w:pStyle w:val="40"/>
        <w:numPr>
          <w:ilvl w:val="0"/>
          <w:numId w:val="18"/>
        </w:numPr>
        <w:ind w:firstLineChars="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连续2个以上工作日触动巨额赎回限制时；</w:t>
      </w:r>
    </w:p>
    <w:p>
      <w:pPr>
        <w:numPr>
          <w:ilvl w:val="0"/>
          <w:numId w:val="18"/>
        </w:numPr>
        <w:topLinePunct/>
        <w:ind w:right="67" w:rightChars="3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单个份额持有人在单个开放日申请赎回理财产品份额超过该理财产品总份额【10%】时。</w:t>
      </w:r>
    </w:p>
    <w:p>
      <w:pPr>
        <w:topLinePunct/>
        <w:ind w:right="67" w:rightChars="3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上述情形之一且理财产品管理人决定暂停接受赎回申请或延缓支付赎回款项时，理财产品管理人应当在3个工作日内通过相应信息披露渠道进行披露，并说明运用相关措施的原因、拟采取的应对安排等，且延缓期限不得超过20个工作日。已确认的赎回申请，理财产品管理人应足额支付；如暂时不能足额支付，应将可支付部分按单个账户申请量占申请总量的比例分配给赎回申请人，未支付部分可延期支付。在</w:t>
      </w:r>
      <w:r>
        <w:rPr>
          <w:rFonts w:ascii="楷体" w:hAnsi="楷体" w:eastAsia="楷体" w:cs="Arial Unicode MS"/>
          <w:color w:val="000000" w:themeColor="text1"/>
          <w:kern w:val="0"/>
          <w:szCs w:val="18"/>
          <w14:textFill>
            <w14:solidFill>
              <w14:schemeClr w14:val="tx1"/>
            </w14:solidFill>
          </w14:textFill>
        </w:rPr>
        <w:t>开放</w:t>
      </w:r>
      <w:r>
        <w:rPr>
          <w:rFonts w:hint="eastAsia" w:ascii="楷体" w:hAnsi="楷体" w:eastAsia="楷体" w:cs="Arial Unicode MS"/>
          <w:color w:val="000000" w:themeColor="text1"/>
          <w:kern w:val="0"/>
          <w:szCs w:val="18"/>
          <w14:textFill>
            <w14:solidFill>
              <w14:schemeClr w14:val="tx1"/>
            </w14:solidFill>
          </w14:textFill>
        </w:rPr>
        <w:t>日</w:t>
      </w:r>
      <w:r>
        <w:rPr>
          <w:rFonts w:ascii="楷体" w:hAnsi="楷体" w:eastAsia="楷体" w:cs="Arial Unicode MS"/>
          <w:color w:val="000000" w:themeColor="text1"/>
          <w:kern w:val="0"/>
          <w:szCs w:val="18"/>
          <w14:textFill>
            <w14:solidFill>
              <w14:schemeClr w14:val="tx1"/>
            </w14:solidFill>
          </w14:textFill>
        </w:rPr>
        <w:t>内，</w:t>
      </w:r>
      <w:r>
        <w:rPr>
          <w:rFonts w:hint="eastAsia" w:ascii="楷体" w:hAnsi="楷体" w:eastAsia="楷体" w:cs="Arial Unicode MS"/>
          <w:color w:val="000000" w:themeColor="text1"/>
          <w:kern w:val="0"/>
          <w:szCs w:val="18"/>
          <w14:textFill>
            <w14:solidFill>
              <w14:schemeClr w14:val="tx1"/>
            </w14:solidFill>
          </w14:textFill>
        </w:rPr>
        <w:t>当暂停赎回或延缓支付赎回款项的情况消除时，产品管理人将及时恢复赎回或支付业务赎回款项的办理。</w:t>
      </w:r>
    </w:p>
    <w:p>
      <w:pPr>
        <w:topLinePunct/>
        <w:ind w:right="67" w:rightChars="32" w:firstLine="420"/>
        <w:rPr>
          <w:rFonts w:ascii="楷体" w:hAnsi="楷体" w:eastAsia="楷体"/>
          <w:color w:val="000000" w:themeColor="text1"/>
          <w:kern w:val="0"/>
          <w14:textFill>
            <w14:solidFill>
              <w14:schemeClr w14:val="tx1"/>
            </w14:solidFill>
          </w14:textFill>
        </w:rPr>
      </w:pPr>
      <w:r>
        <w:rPr>
          <w:rFonts w:hint="eastAsia" w:ascii="楷体" w:hAnsi="楷体" w:eastAsia="楷体"/>
          <w:color w:val="000000" w:themeColor="text1"/>
          <w:kern w:val="0"/>
          <w14:textFill>
            <w14:solidFill>
              <w14:schemeClr w14:val="tx1"/>
            </w14:solidFill>
          </w14:textFill>
        </w:rPr>
        <w:t>本理财产品不承诺保证本金和投资收益。如本理财产品发生因交易对手</w:t>
      </w:r>
      <w:r>
        <w:rPr>
          <w:rFonts w:hint="eastAsia" w:ascii="楷体" w:hAnsi="楷体" w:eastAsia="楷体" w:cs="Arial Unicode MS"/>
          <w:color w:val="000000" w:themeColor="text1"/>
          <w:kern w:val="0"/>
          <w:szCs w:val="18"/>
          <w14:textFill>
            <w14:solidFill>
              <w14:schemeClr w14:val="tx1"/>
            </w14:solidFill>
          </w14:textFill>
        </w:rPr>
        <w:t>、</w:t>
      </w:r>
      <w:r>
        <w:rPr>
          <w:rFonts w:ascii="楷体" w:hAnsi="楷体" w:eastAsia="楷体" w:cs="Arial Unicode MS"/>
          <w:color w:val="000000" w:themeColor="text1"/>
          <w:kern w:val="0"/>
          <w:szCs w:val="18"/>
          <w14:textFill>
            <w14:solidFill>
              <w14:schemeClr w14:val="tx1"/>
            </w14:solidFill>
          </w14:textFill>
        </w:rPr>
        <w:t>投资标的等</w:t>
      </w:r>
      <w:r>
        <w:rPr>
          <w:rFonts w:hint="eastAsia" w:ascii="楷体" w:hAnsi="楷体" w:eastAsia="楷体"/>
          <w:color w:val="000000" w:themeColor="text1"/>
          <w:kern w:val="0"/>
          <w14:textFill>
            <w14:solidFill>
              <w14:schemeClr w14:val="tx1"/>
            </w14:solidFill>
          </w14:textFill>
        </w:rPr>
        <w:t>未按时足额支付</w:t>
      </w:r>
      <w:r>
        <w:rPr>
          <w:rFonts w:ascii="楷体" w:hAnsi="楷体" w:eastAsia="楷体"/>
          <w:color w:val="000000" w:themeColor="text1"/>
          <w:kern w:val="0"/>
          <w14:textFill>
            <w14:solidFill>
              <w14:schemeClr w14:val="tx1"/>
            </w14:solidFill>
          </w14:textFill>
        </w:rPr>
        <w:t>本金</w:t>
      </w:r>
      <w:r>
        <w:rPr>
          <w:rFonts w:hint="eastAsia" w:ascii="楷体" w:hAnsi="楷体" w:eastAsia="楷体"/>
          <w:color w:val="000000" w:themeColor="text1"/>
          <w:kern w:val="0"/>
          <w14:textFill>
            <w14:solidFill>
              <w14:schemeClr w14:val="tx1"/>
            </w14:solidFill>
          </w14:textFill>
        </w:rPr>
        <w:t>及/或收益等情形，造成本理财产品的基础资产无法及时、足额变现，理财产品管理人可以根据实际情况选择向投资者延迟支付或分次支付，出现极端情况时，本理财产品收益可能为零，本金全部损失。产品管理人将于发生上述情形后的</w:t>
      </w:r>
      <w:r>
        <w:rPr>
          <w:rFonts w:hint="eastAsia" w:ascii="楷体" w:hAnsi="楷体" w:eastAsia="楷体" w:cs="Arial Unicode MS"/>
          <w:color w:val="000000" w:themeColor="text1"/>
          <w:kern w:val="0"/>
          <w:szCs w:val="18"/>
          <w14:textFill>
            <w14:solidFill>
              <w14:schemeClr w14:val="tx1"/>
            </w14:solidFill>
          </w14:textFill>
        </w:rPr>
        <w:t>2</w:t>
      </w:r>
      <w:r>
        <w:rPr>
          <w:rFonts w:ascii="楷体" w:hAnsi="楷体" w:eastAsia="楷体"/>
          <w:color w:val="000000" w:themeColor="text1"/>
          <w:kern w:val="0"/>
          <w14:textFill>
            <w14:solidFill>
              <w14:schemeClr w14:val="tx1"/>
            </w14:solidFill>
          </w14:textFill>
        </w:rPr>
        <w:t>个工作日内</w:t>
      </w:r>
      <w:r>
        <w:rPr>
          <w:rFonts w:hint="eastAsia" w:ascii="楷体" w:hAnsi="楷体" w:eastAsia="楷体"/>
          <w:color w:val="000000" w:themeColor="text1"/>
          <w:kern w:val="0"/>
          <w14:textFill>
            <w14:solidFill>
              <w14:schemeClr w14:val="tx1"/>
            </w14:solidFill>
          </w14:textFill>
        </w:rPr>
        <w:t>通过相应信息披露渠道予以披露</w:t>
      </w:r>
      <w:r>
        <w:rPr>
          <w:rFonts w:ascii="楷体" w:hAnsi="楷体" w:eastAsia="楷体"/>
          <w:color w:val="000000" w:themeColor="text1"/>
          <w:kern w:val="0"/>
          <w14:textFill>
            <w14:solidFill>
              <w14:schemeClr w14:val="tx1"/>
            </w14:solidFill>
          </w14:textFill>
        </w:rPr>
        <w:t>。</w:t>
      </w:r>
    </w:p>
    <w:p>
      <w:pPr>
        <w:topLinePunct/>
        <w:ind w:right="67" w:rightChars="32" w:firstLine="420"/>
        <w:rPr>
          <w:rFonts w:ascii="楷体" w:hAnsi="楷体" w:eastAsia="楷体" w:cs="Arial Unicode MS"/>
          <w:color w:val="000000" w:themeColor="text1"/>
          <w:szCs w:val="18"/>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提前终止</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本理财产品存续期内，投资者无权单方面主动决定终止本理财产品。为保护投资者利益，理财产品管理人有权按照本理财产品资金运作的实际情况，主动终止本理财产品。如理财产品管理人需要提前终止本理财产品，将至少提前【3】个工作日（含）予以公告。</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理财</w:t>
      </w:r>
      <w:r>
        <w:rPr>
          <w:rFonts w:hint="eastAsia" w:ascii="楷体" w:hAnsi="楷体" w:eastAsia="楷体"/>
          <w:color w:val="000000" w:themeColor="text1"/>
          <w:sz w:val="21"/>
          <w:szCs w:val="18"/>
          <w14:textFill>
            <w14:solidFill>
              <w14:schemeClr w14:val="tx1"/>
            </w14:solidFill>
          </w14:textFill>
        </w:rPr>
        <w:t>产品管理人提前终止本理财产品的原因</w:t>
      </w:r>
      <w:r>
        <w:rPr>
          <w:rFonts w:ascii="楷体" w:hAnsi="楷体" w:eastAsia="楷体"/>
          <w:color w:val="000000" w:themeColor="text1"/>
          <w:sz w:val="21"/>
          <w:szCs w:val="18"/>
          <w14:textFill>
            <w14:solidFill>
              <w14:schemeClr w14:val="tx1"/>
            </w14:solidFill>
          </w14:textFill>
        </w:rPr>
        <w:t>包括但不限于：</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因不可抗力原因导致理财产品无法继续运作。</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遇有市场出现剧烈波动、异常风险事件等情形导致理财产品收益出现大幅波动或严重影响理财产品的资产安全。</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w:t>
      </w:r>
      <w:r>
        <w:rPr>
          <w:rFonts w:hint="eastAsia" w:ascii="楷体" w:hAnsi="楷体" w:eastAsia="楷体"/>
          <w:color w:val="000000" w:themeColor="text1"/>
          <w:sz w:val="21"/>
          <w:szCs w:val="18"/>
          <w14:textFill>
            <w14:solidFill>
              <w14:schemeClr w14:val="tx1"/>
            </w14:solidFill>
          </w14:textFill>
        </w:rPr>
        <w:t>投资者</w:t>
      </w:r>
      <w:r>
        <w:rPr>
          <w:rFonts w:ascii="楷体" w:hAnsi="楷体" w:eastAsia="楷体"/>
          <w:color w:val="000000" w:themeColor="text1"/>
          <w:sz w:val="21"/>
          <w:szCs w:val="18"/>
          <w14:textFill>
            <w14:solidFill>
              <w14:schemeClr w14:val="tx1"/>
            </w14:solidFill>
          </w14:textFill>
        </w:rPr>
        <w:t>理财资金被有权机关扣划等原因导致理财产品剩余资产无法满足相关法律法规规定、所投资市场要求或协议等相关法律文件约定，或者继续存续无法实现投资目标。</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因相关投资管理机构解散、破产、撤销、被取消业务资格等原因无法继续履行相应职责导致产品无法继续运作。</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相关投资管理机构或运用理财资金的第三方主体实施符合法律法规规定或协议等相关文件约定的行为导致理财产品被动提前终止。</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因法律法规变化或国家金融政策调整、紧急措施出台影响产品继续正常运作。</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提前终止产品比维持产品运作更有利于保护产品持有人的权益。</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本</w:t>
      </w:r>
      <w:r>
        <w:rPr>
          <w:rFonts w:ascii="楷体" w:hAnsi="楷体" w:eastAsia="楷体"/>
          <w:color w:val="000000" w:themeColor="text1"/>
          <w:sz w:val="21"/>
          <w:szCs w:val="18"/>
          <w14:textFill>
            <w14:solidFill>
              <w14:schemeClr w14:val="tx1"/>
            </w14:solidFill>
          </w14:textFill>
        </w:rPr>
        <w:t>理财</w:t>
      </w:r>
      <w:r>
        <w:rPr>
          <w:rFonts w:hint="eastAsia" w:ascii="楷体" w:hAnsi="楷体" w:eastAsia="楷体"/>
          <w:color w:val="000000" w:themeColor="text1"/>
          <w:sz w:val="21"/>
          <w:szCs w:val="18"/>
          <w14:textFill>
            <w14:solidFill>
              <w14:schemeClr w14:val="tx1"/>
            </w14:solidFill>
          </w14:textFill>
        </w:rPr>
        <w:t>产品</w:t>
      </w:r>
      <w:r>
        <w:rPr>
          <w:rFonts w:ascii="楷体" w:hAnsi="楷体" w:eastAsia="楷体"/>
          <w:color w:val="000000" w:themeColor="text1"/>
          <w:sz w:val="21"/>
          <w:szCs w:val="18"/>
          <w14:textFill>
            <w14:solidFill>
              <w14:schemeClr w14:val="tx1"/>
            </w14:solidFill>
          </w14:textFill>
        </w:rPr>
        <w:t>资产净值低于</w:t>
      </w:r>
      <w:r>
        <w:rPr>
          <w:rFonts w:hint="eastAsia" w:ascii="楷体" w:hAnsi="楷体" w:eastAsia="楷体"/>
          <w:color w:val="000000" w:themeColor="text1"/>
          <w:sz w:val="21"/>
          <w:szCs w:val="18"/>
          <w14:textFill>
            <w14:solidFill>
              <w14:schemeClr w14:val="tx1"/>
            </w14:solidFill>
          </w14:textFill>
        </w:rPr>
        <w:t>【1亿】</w:t>
      </w:r>
      <w:r>
        <w:rPr>
          <w:rFonts w:ascii="楷体" w:hAnsi="楷体" w:eastAsia="楷体"/>
          <w:color w:val="000000" w:themeColor="text1"/>
          <w:sz w:val="21"/>
          <w:szCs w:val="18"/>
          <w14:textFill>
            <w14:solidFill>
              <w14:schemeClr w14:val="tx1"/>
            </w14:solidFill>
          </w14:textFill>
        </w:rPr>
        <w:t>元时</w:t>
      </w:r>
      <w:r>
        <w:rPr>
          <w:rFonts w:hint="eastAsia" w:ascii="楷体" w:hAnsi="楷体" w:eastAsia="楷体"/>
          <w:color w:val="000000" w:themeColor="text1"/>
          <w:sz w:val="21"/>
          <w:szCs w:val="18"/>
          <w14:textFill>
            <w14:solidFill>
              <w14:schemeClr w14:val="tx1"/>
            </w14:solidFill>
          </w14:textFill>
        </w:rPr>
        <w:t>，</w:t>
      </w:r>
      <w:r>
        <w:rPr>
          <w:rFonts w:ascii="楷体" w:hAnsi="楷体" w:eastAsia="楷体"/>
          <w:color w:val="000000" w:themeColor="text1"/>
          <w:sz w:val="21"/>
          <w:szCs w:val="18"/>
          <w14:textFill>
            <w14:solidFill>
              <w14:schemeClr w14:val="tx1"/>
            </w14:solidFill>
          </w14:textFill>
        </w:rPr>
        <w:t>产品管理人有权提前终止</w:t>
      </w:r>
      <w:r>
        <w:rPr>
          <w:rFonts w:hint="eastAsia" w:ascii="楷体" w:hAnsi="楷体" w:eastAsia="楷体"/>
          <w:color w:val="000000" w:themeColor="text1"/>
          <w:sz w:val="21"/>
          <w:szCs w:val="18"/>
          <w14:textFill>
            <w14:solidFill>
              <w14:schemeClr w14:val="tx1"/>
            </w14:solidFill>
          </w14:textFill>
        </w:rPr>
        <w:t>本</w:t>
      </w:r>
      <w:r>
        <w:rPr>
          <w:rFonts w:ascii="楷体" w:hAnsi="楷体" w:eastAsia="楷体"/>
          <w:color w:val="000000" w:themeColor="text1"/>
          <w:sz w:val="21"/>
          <w:szCs w:val="18"/>
          <w14:textFill>
            <w14:solidFill>
              <w14:schemeClr w14:val="tx1"/>
            </w14:solidFill>
          </w14:textFill>
        </w:rPr>
        <w:t>产品</w:t>
      </w:r>
      <w:r>
        <w:rPr>
          <w:rFonts w:hint="eastAsia" w:ascii="楷体" w:hAnsi="楷体" w:eastAsia="楷体"/>
          <w:color w:val="000000" w:themeColor="text1"/>
          <w:sz w:val="21"/>
          <w:szCs w:val="18"/>
          <w14:textFill>
            <w14:solidFill>
              <w14:schemeClr w14:val="tx1"/>
            </w14:solidFill>
          </w14:textFill>
        </w:rPr>
        <w:t>。</w:t>
      </w:r>
    </w:p>
    <w:p>
      <w:pPr>
        <w:pStyle w:val="10"/>
        <w:widowControl w:val="0"/>
        <w:numPr>
          <w:ilvl w:val="0"/>
          <w:numId w:val="20"/>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法律法规规定或监管部门认定的其他情形。</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ascii="楷体" w:hAnsi="楷体" w:eastAsia="楷体"/>
          <w:color w:val="000000" w:themeColor="text1"/>
          <w:sz w:val="21"/>
          <w:szCs w:val="18"/>
          <w14:textFill>
            <w14:solidFill>
              <w14:schemeClr w14:val="tx1"/>
            </w14:solidFill>
          </w14:textFill>
        </w:rPr>
        <w:t>如理财</w:t>
      </w:r>
      <w:r>
        <w:rPr>
          <w:rFonts w:hint="eastAsia" w:ascii="楷体" w:hAnsi="楷体" w:eastAsia="楷体"/>
          <w:color w:val="000000" w:themeColor="text1"/>
          <w:sz w:val="21"/>
          <w:szCs w:val="18"/>
          <w14:textFill>
            <w14:solidFill>
              <w14:schemeClr w14:val="tx1"/>
            </w14:solidFill>
          </w14:textFill>
        </w:rPr>
        <w:t>产品管理人</w:t>
      </w:r>
      <w:r>
        <w:rPr>
          <w:rFonts w:ascii="楷体" w:hAnsi="楷体" w:eastAsia="楷体"/>
          <w:color w:val="000000" w:themeColor="text1"/>
          <w:sz w:val="21"/>
          <w:szCs w:val="18"/>
          <w14:textFill>
            <w14:solidFill>
              <w14:schemeClr w14:val="tx1"/>
            </w14:solidFill>
          </w14:textFill>
        </w:rPr>
        <w:t>提前终止本理财</w:t>
      </w:r>
      <w:r>
        <w:rPr>
          <w:rFonts w:hint="eastAsia" w:ascii="楷体" w:hAnsi="楷体" w:eastAsia="楷体"/>
          <w:color w:val="000000" w:themeColor="text1"/>
          <w:sz w:val="21"/>
          <w:szCs w:val="18"/>
          <w14:textFill>
            <w14:solidFill>
              <w14:schemeClr w14:val="tx1"/>
            </w14:solidFill>
          </w14:textFill>
        </w:rPr>
        <w:t>产品</w:t>
      </w:r>
      <w:r>
        <w:rPr>
          <w:rFonts w:ascii="楷体" w:hAnsi="楷体" w:eastAsia="楷体"/>
          <w:color w:val="000000" w:themeColor="text1"/>
          <w:sz w:val="21"/>
          <w:szCs w:val="18"/>
          <w14:textFill>
            <w14:solidFill>
              <w14:schemeClr w14:val="tx1"/>
            </w14:solidFill>
          </w14:textFill>
        </w:rPr>
        <w:t>，将至少提前</w:t>
      </w:r>
      <w:r>
        <w:rPr>
          <w:rFonts w:hint="eastAsia" w:ascii="楷体" w:hAnsi="楷体" w:eastAsia="楷体"/>
          <w:color w:val="000000" w:themeColor="text1"/>
          <w:sz w:val="21"/>
          <w:szCs w:val="18"/>
          <w14:textFill>
            <w14:solidFill>
              <w14:schemeClr w14:val="tx1"/>
            </w14:solidFill>
          </w14:textFill>
        </w:rPr>
        <w:t>【3】</w:t>
      </w:r>
      <w:r>
        <w:rPr>
          <w:rFonts w:ascii="楷体" w:hAnsi="楷体" w:eastAsia="楷体"/>
          <w:color w:val="000000" w:themeColor="text1"/>
          <w:sz w:val="21"/>
          <w:szCs w:val="18"/>
          <w14:textFill>
            <w14:solidFill>
              <w14:schemeClr w14:val="tx1"/>
            </w14:solidFill>
          </w14:textFill>
        </w:rPr>
        <w:t>个工作日（含）</w:t>
      </w:r>
      <w:r>
        <w:rPr>
          <w:rFonts w:hint="eastAsia" w:ascii="楷体" w:hAnsi="楷体" w:eastAsia="楷体"/>
          <w:color w:val="000000" w:themeColor="text1"/>
          <w:sz w:val="21"/>
          <w:szCs w:val="18"/>
          <w14:textFill>
            <w14:solidFill>
              <w14:schemeClr w14:val="tx1"/>
            </w14:solidFill>
          </w14:textFill>
        </w:rPr>
        <w:t>通过</w:t>
      </w:r>
      <w:r>
        <w:rPr>
          <w:rFonts w:hint="eastAsia" w:ascii="楷体" w:hAnsi="楷体" w:eastAsia="楷体" w:cs="楷体"/>
          <w:color w:val="000000" w:themeColor="text1"/>
          <w:sz w:val="21"/>
          <w:szCs w:val="18"/>
          <w14:textFill>
            <w14:solidFill>
              <w14:schemeClr w14:val="tx1"/>
            </w14:solidFill>
          </w14:textFill>
        </w:rPr>
        <w:t>相应信息</w:t>
      </w:r>
      <w:r>
        <w:rPr>
          <w:rFonts w:ascii="楷体" w:hAnsi="楷体" w:eastAsia="楷体" w:cs="楷体"/>
          <w:color w:val="000000" w:themeColor="text1"/>
          <w:sz w:val="21"/>
          <w:szCs w:val="18"/>
          <w14:textFill>
            <w14:solidFill>
              <w14:schemeClr w14:val="tx1"/>
            </w14:solidFill>
          </w14:textFill>
        </w:rPr>
        <w:t>披露渠道予以披露</w:t>
      </w:r>
      <w:r>
        <w:rPr>
          <w:rFonts w:ascii="楷体" w:hAnsi="楷体" w:eastAsia="楷体"/>
          <w:color w:val="000000" w:themeColor="text1"/>
          <w:sz w:val="21"/>
          <w:szCs w:val="18"/>
          <w14:textFill>
            <w14:solidFill>
              <w14:schemeClr w14:val="tx1"/>
            </w14:solidFill>
          </w14:textFill>
        </w:rPr>
        <w:t>，将理财</w:t>
      </w:r>
      <w:r>
        <w:rPr>
          <w:rFonts w:hint="eastAsia" w:ascii="楷体" w:hAnsi="楷体" w:eastAsia="楷体"/>
          <w:color w:val="000000" w:themeColor="text1"/>
          <w:sz w:val="21"/>
          <w:szCs w:val="18"/>
          <w14:textFill>
            <w14:solidFill>
              <w14:schemeClr w14:val="tx1"/>
            </w14:solidFill>
          </w14:textFill>
        </w:rPr>
        <w:t>产品</w:t>
      </w:r>
      <w:r>
        <w:rPr>
          <w:rFonts w:ascii="楷体" w:hAnsi="楷体" w:eastAsia="楷体"/>
          <w:color w:val="000000" w:themeColor="text1"/>
          <w:sz w:val="21"/>
          <w:szCs w:val="18"/>
          <w14:textFill>
            <w14:solidFill>
              <w14:schemeClr w14:val="tx1"/>
            </w14:solidFill>
          </w14:textFill>
        </w:rPr>
        <w:t>资产变现，并在</w:t>
      </w:r>
      <w:r>
        <w:rPr>
          <w:rFonts w:hint="eastAsia" w:ascii="楷体" w:hAnsi="楷体" w:eastAsia="楷体"/>
          <w:color w:val="000000" w:themeColor="text1"/>
          <w:sz w:val="21"/>
          <w:szCs w:val="18"/>
          <w14:textFill>
            <w14:solidFill>
              <w14:schemeClr w14:val="tx1"/>
            </w14:solidFill>
          </w14:textFill>
        </w:rPr>
        <w:t>变现完成</w:t>
      </w:r>
      <w:r>
        <w:rPr>
          <w:rFonts w:ascii="楷体" w:hAnsi="楷体" w:eastAsia="楷体"/>
          <w:color w:val="000000" w:themeColor="text1"/>
          <w:sz w:val="21"/>
          <w:szCs w:val="18"/>
          <w14:textFill>
            <w14:solidFill>
              <w14:schemeClr w14:val="tx1"/>
            </w14:solidFill>
          </w14:textFill>
        </w:rPr>
        <w:t>后</w:t>
      </w:r>
      <w:r>
        <w:rPr>
          <w:rFonts w:hint="eastAsia" w:ascii="楷体" w:hAnsi="楷体" w:eastAsia="楷体"/>
          <w:color w:val="000000" w:themeColor="text1"/>
          <w:sz w:val="21"/>
          <w:szCs w:val="18"/>
          <w14:textFill>
            <w14:solidFill>
              <w14:schemeClr w14:val="tx1"/>
            </w14:solidFill>
          </w14:textFill>
        </w:rPr>
        <w:t>【10】</w:t>
      </w:r>
      <w:r>
        <w:rPr>
          <w:rFonts w:ascii="楷体" w:hAnsi="楷体" w:eastAsia="楷体"/>
          <w:color w:val="000000" w:themeColor="text1"/>
          <w:sz w:val="21"/>
          <w:szCs w:val="18"/>
          <w14:textFill>
            <w14:solidFill>
              <w14:schemeClr w14:val="tx1"/>
            </w14:solidFill>
          </w14:textFill>
        </w:rPr>
        <w:t>个工作日内将变现后资金根据</w:t>
      </w:r>
      <w:r>
        <w:rPr>
          <w:rFonts w:hint="eastAsia" w:ascii="楷体" w:hAnsi="楷体" w:eastAsia="楷体"/>
          <w:color w:val="000000" w:themeColor="text1"/>
          <w:sz w:val="21"/>
          <w:szCs w:val="18"/>
          <w14:textFill>
            <w14:solidFill>
              <w14:schemeClr w14:val="tx1"/>
            </w14:solidFill>
          </w14:textFill>
        </w:rPr>
        <w:t>本理财产品说明书</w:t>
      </w:r>
      <w:r>
        <w:rPr>
          <w:rFonts w:ascii="楷体" w:hAnsi="楷体" w:eastAsia="楷体"/>
          <w:color w:val="000000" w:themeColor="text1"/>
          <w:sz w:val="21"/>
          <w:szCs w:val="18"/>
          <w14:textFill>
            <w14:solidFill>
              <w14:schemeClr w14:val="tx1"/>
            </w14:solidFill>
          </w14:textFill>
        </w:rPr>
        <w:t>的规定分配</w:t>
      </w:r>
      <w:r>
        <w:rPr>
          <w:rFonts w:hint="eastAsia" w:ascii="楷体" w:hAnsi="楷体" w:eastAsia="楷体"/>
          <w:color w:val="000000" w:themeColor="text1"/>
          <w:sz w:val="21"/>
          <w:szCs w:val="18"/>
          <w14:textFill>
            <w14:solidFill>
              <w14:schemeClr w14:val="tx1"/>
            </w14:solidFill>
          </w14:textFill>
        </w:rPr>
        <w:t>，</w:t>
      </w:r>
      <w:r>
        <w:rPr>
          <w:rFonts w:ascii="楷体" w:hAnsi="楷体" w:eastAsia="楷体"/>
          <w:color w:val="000000" w:themeColor="text1"/>
          <w:sz w:val="21"/>
          <w:szCs w:val="18"/>
          <w14:textFill>
            <w14:solidFill>
              <w14:schemeClr w14:val="tx1"/>
            </w14:solidFill>
          </w14:textFill>
        </w:rPr>
        <w:t>划入</w:t>
      </w:r>
      <w:r>
        <w:rPr>
          <w:rFonts w:hint="eastAsia" w:ascii="楷体" w:hAnsi="楷体" w:eastAsia="楷体"/>
          <w:color w:val="000000" w:themeColor="text1"/>
          <w:sz w:val="21"/>
          <w:szCs w:val="18"/>
          <w14:textFill>
            <w14:solidFill>
              <w14:schemeClr w14:val="tx1"/>
            </w14:solidFill>
          </w14:textFill>
        </w:rPr>
        <w:t>销售机构</w:t>
      </w:r>
      <w:r>
        <w:rPr>
          <w:rFonts w:ascii="楷体" w:hAnsi="楷体" w:eastAsia="楷体"/>
          <w:color w:val="000000" w:themeColor="text1"/>
          <w:sz w:val="21"/>
          <w:szCs w:val="18"/>
          <w14:textFill>
            <w14:solidFill>
              <w14:schemeClr w14:val="tx1"/>
            </w14:solidFill>
          </w14:textFill>
        </w:rPr>
        <w:t>指定资金账户。提前终止日至资金实际到账日期间</w:t>
      </w:r>
      <w:r>
        <w:rPr>
          <w:rFonts w:hint="eastAsia" w:ascii="楷体" w:hAnsi="楷体" w:eastAsia="楷体"/>
          <w:color w:val="000000" w:themeColor="text1"/>
          <w:sz w:val="21"/>
          <w:szCs w:val="18"/>
          <w14:textFill>
            <w14:solidFill>
              <w14:schemeClr w14:val="tx1"/>
            </w14:solidFill>
          </w14:textFill>
        </w:rPr>
        <w:t>如产生利息将支付给投资者</w:t>
      </w:r>
      <w:r>
        <w:rPr>
          <w:rFonts w:ascii="楷体" w:hAnsi="楷体" w:eastAsia="楷体"/>
          <w:color w:val="000000" w:themeColor="text1"/>
          <w:sz w:val="21"/>
          <w:szCs w:val="18"/>
          <w14:textFill>
            <w14:solidFill>
              <w14:schemeClr w14:val="tx1"/>
            </w14:solidFill>
          </w14:textFill>
        </w:rPr>
        <w:t>。</w:t>
      </w:r>
    </w:p>
    <w:p>
      <w:pPr>
        <w:pStyle w:val="10"/>
        <w:widowControl w:val="0"/>
        <w:numPr>
          <w:ilvl w:val="0"/>
          <w:numId w:val="19"/>
        </w:numPr>
        <w:overflowPunct w:val="0"/>
        <w:topLinePunct/>
        <w:autoSpaceDE w:val="0"/>
        <w:autoSpaceDN w:val="0"/>
        <w:spacing w:before="0" w:beforeAutospacing="0" w:after="0" w:afterAutospacing="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如理财产品管理人提前终止本理财产品，管理费、销售服务费、超额业绩报酬、托管费依照“五、理财产品费用”部分的约定计算和支付。</w:t>
      </w:r>
    </w:p>
    <w:p>
      <w:pPr>
        <w:pStyle w:val="10"/>
        <w:widowControl w:val="0"/>
        <w:overflowPunct w:val="0"/>
        <w:topLinePunct/>
        <w:autoSpaceDE w:val="0"/>
        <w:autoSpaceDN w:val="0"/>
        <w:spacing w:before="0" w:beforeAutospacing="0" w:after="0" w:afterAutospacing="0" w:line="400" w:lineRule="exact"/>
        <w:ind w:right="-110"/>
        <w:rPr>
          <w:rFonts w:ascii="楷体" w:hAnsi="楷体" w:eastAsia="楷体"/>
          <w:b/>
          <w:bCs/>
          <w:color w:val="000000" w:themeColor="text1"/>
          <w:sz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风险揭示</w:t>
      </w:r>
    </w:p>
    <w:p>
      <w:pPr>
        <w:widowControl/>
        <w:overflowPunct w:val="0"/>
        <w:topLinePunct/>
        <w:autoSpaceDE w:val="0"/>
        <w:autoSpaceDN w:val="0"/>
        <w:ind w:firstLine="42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本理财产品为非保本浮动收益型中低风险产品，理财产品管理人将本着“恪守信用、勤勉尽责”的原则管理和运用理财产品财产，但并不对本理财产品提供保证本金和收益的承诺，投资者的本金和</w:t>
      </w:r>
      <w:r>
        <w:rPr>
          <w:rFonts w:ascii="楷体" w:hAnsi="楷体" w:eastAsia="楷体" w:cs="Arial Unicode MS"/>
          <w:b/>
          <w:color w:val="000000" w:themeColor="text1"/>
          <w:kern w:val="0"/>
          <w:szCs w:val="18"/>
          <w14:textFill>
            <w14:solidFill>
              <w14:schemeClr w14:val="tx1"/>
            </w14:solidFill>
          </w14:textFill>
        </w:rPr>
        <w:t>收益</w:t>
      </w:r>
      <w:r>
        <w:rPr>
          <w:rFonts w:hint="eastAsia" w:ascii="楷体" w:hAnsi="楷体" w:eastAsia="楷体" w:cs="Arial Unicode MS"/>
          <w:b/>
          <w:color w:val="000000" w:themeColor="text1"/>
          <w:kern w:val="0"/>
          <w:szCs w:val="18"/>
          <w14:textFill>
            <w14:solidFill>
              <w14:schemeClr w14:val="tx1"/>
            </w14:solidFill>
          </w14:textFill>
        </w:rPr>
        <w:t>可能会因市场变动而蒙受一定程度的损失，投资者应充分认识投资风险，谨慎投资。</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市场风险：受各种市场因素、宏观政策因素等的影响，本理财产品所投资的各类资产价值可能下跌，导致理财收益下降甚至本金损失。理财产品管理人将密切跟踪货币市场、债券市场、股票市场及其他证券市场走势，在各类资产间灵活配置，设定单类资产的配置比例，降低市场风险。同时限制理财产品财产的投资范围和比例，严格按投资原则进行投资运作。</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信用风险：</w:t>
      </w:r>
      <w:r>
        <w:rPr>
          <w:rFonts w:hint="eastAsia" w:ascii="楷体" w:hAnsi="楷体" w:eastAsia="楷体" w:cs="Arial Unicode MS"/>
          <w:b/>
          <w:kern w:val="0"/>
          <w:szCs w:val="18"/>
        </w:rPr>
        <w:t>如果本理财产品的交易对手或者所投资的各类债券</w:t>
      </w:r>
      <w:r>
        <w:rPr>
          <w:rFonts w:hint="eastAsia" w:ascii="楷体" w:hAnsi="楷体" w:eastAsia="楷体"/>
          <w:b/>
          <w:kern w:val="0"/>
        </w:rPr>
        <w:t>和其他债权</w:t>
      </w:r>
      <w:r>
        <w:rPr>
          <w:rFonts w:hint="eastAsia" w:ascii="楷体" w:hAnsi="楷体" w:eastAsia="楷体" w:cs="Arial Unicode MS"/>
          <w:b/>
          <w:kern w:val="0"/>
          <w:szCs w:val="18"/>
        </w:rPr>
        <w:t>发生信用违约、托管人破产，可能影响投资收益，甚至致使理财产品本金受到损失。理财产品管理人将对所投资的各类</w:t>
      </w:r>
      <w:r>
        <w:rPr>
          <w:rFonts w:ascii="楷体" w:hAnsi="楷体" w:eastAsia="楷体" w:cs="Arial Unicode MS"/>
          <w:b/>
          <w:kern w:val="0"/>
          <w:szCs w:val="18"/>
        </w:rPr>
        <w:t>债权类</w:t>
      </w:r>
      <w:r>
        <w:rPr>
          <w:rFonts w:hint="eastAsia" w:ascii="楷体" w:hAnsi="楷体" w:eastAsia="楷体" w:cs="Arial Unicode MS"/>
          <w:b/>
          <w:kern w:val="0"/>
          <w:szCs w:val="18"/>
        </w:rPr>
        <w:t>资产的风险承担主体的财务状况、行业背景以及公司治理等进行密切跟踪及分析，并根据内部投资评级的要求，严格控制风险暴露；另外，理财产品管理人将基于谨慎性原则，对交易对手的资质进行严格挑选</w:t>
      </w:r>
      <w:r>
        <w:rPr>
          <w:rFonts w:hint="eastAsia" w:ascii="楷体" w:hAnsi="楷体" w:eastAsia="楷体" w:cs="Arial Unicode MS"/>
          <w:b/>
          <w:color w:val="000000" w:themeColor="text1"/>
          <w:kern w:val="0"/>
          <w:szCs w:val="18"/>
          <w14:textFill>
            <w14:solidFill>
              <w14:schemeClr w14:val="tx1"/>
            </w14:solidFill>
          </w14:textFill>
        </w:rPr>
        <w:t>。</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流动性风险：流动性风险是指本理财产品无法通过变现资产等途径以合理成本及时获得充足资金，用于满足本理财产品的投资者赎回需求、履行其他支付义务的风险。理财产品管理人将对持仓证券的流动性进行研究和监控，使未来现金流尽可能地均匀分布，保留适当的现金和高流动性资产比例，同时增加剩余期限短、流动性好的资产比例。加强与投资者的沟通与宣传、分析投资者的行为方式、关注资金市场变化，提前判断流动性变化并且采取应对措施，力争理财产品的参与和退出较为平稳地运行</w:t>
      </w:r>
      <w:r>
        <w:rPr>
          <w:rFonts w:ascii="楷体" w:hAnsi="楷体" w:eastAsia="楷体" w:cs="Arial Unicode MS"/>
          <w:b/>
          <w:color w:val="000000" w:themeColor="text1"/>
          <w:kern w:val="0"/>
          <w:szCs w:val="18"/>
          <w14:textFill>
            <w14:solidFill>
              <w14:schemeClr w14:val="tx1"/>
            </w14:solidFill>
          </w14:textFill>
        </w:rPr>
        <w:t>。</w:t>
      </w:r>
    </w:p>
    <w:p>
      <w:pPr>
        <w:pStyle w:val="40"/>
        <w:numPr>
          <w:ilvl w:val="0"/>
          <w:numId w:val="22"/>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认（申）购、赎回安排</w:t>
      </w:r>
    </w:p>
    <w:p>
      <w:pPr>
        <w:tabs>
          <w:tab w:val="left" w:pos="1481"/>
        </w:tabs>
        <w:overflowPunct w:val="0"/>
        <w:topLinePunct/>
        <w:autoSpaceDE w:val="0"/>
        <w:autoSpaceDN w:val="0"/>
        <w:ind w:firstLine="422" w:firstLineChars="200"/>
        <w:rPr>
          <w:rFonts w:ascii="楷体" w:hAnsi="楷体" w:eastAsia="楷体"/>
          <w:b/>
          <w:szCs w:val="20"/>
        </w:rPr>
      </w:pPr>
      <w:r>
        <w:rPr>
          <w:rFonts w:hint="eastAsia" w:ascii="楷体" w:hAnsi="楷体" w:eastAsia="楷体"/>
          <w:b/>
          <w:szCs w:val="20"/>
        </w:rPr>
        <w:t>本理财产品的认（申）购、赎回安排具体规则详见《产品说明书》“三 、认购”和“七、申购和赎回”部分。</w:t>
      </w:r>
    </w:p>
    <w:p>
      <w:pPr>
        <w:pStyle w:val="40"/>
        <w:numPr>
          <w:ilvl w:val="0"/>
          <w:numId w:val="22"/>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拟投资市场、资产的流动性风险评估</w:t>
      </w:r>
    </w:p>
    <w:p>
      <w:pPr>
        <w:rPr>
          <w:rFonts w:ascii="楷体" w:hAnsi="楷体" w:eastAsia="楷体" w:cs="楷体"/>
          <w:b/>
          <w:szCs w:val="20"/>
        </w:rPr>
      </w:pPr>
      <w:r>
        <w:rPr>
          <w:rFonts w:hint="eastAsia" w:ascii="楷体" w:hAnsi="楷体" w:eastAsia="楷体" w:cs="楷体"/>
          <w:b/>
          <w:szCs w:val="20"/>
        </w:rPr>
        <w:t xml:space="preserve"> </w:t>
      </w:r>
      <w:r>
        <w:rPr>
          <w:rFonts w:ascii="楷体" w:hAnsi="楷体" w:eastAsia="楷体" w:cs="楷体"/>
          <w:b/>
          <w:szCs w:val="20"/>
        </w:rPr>
        <w:t xml:space="preserve">   </w:t>
      </w:r>
      <w:r>
        <w:rPr>
          <w:rFonts w:hint="eastAsia" w:ascii="楷体" w:hAnsi="楷体" w:eastAsia="楷体" w:cs="楷体"/>
          <w:b/>
          <w:szCs w:val="20"/>
        </w:rPr>
        <w:t>本产品拟投资的具体资产可分为银行间债券、交易所债券、货币市场类资产、证券投资基金、交易所上市股票和其他资管产品。整体上银行间发行债券的流动性要优于交易所发行的债券，货币市场类一般投资期限较短，流动性也较好。拟投资的交易所上市股票，总体而言流通市值较大、成交活跃。证券投资基金及其他资管产品正常情况下有义务接受申赎申请，能够满足日常流动性运作要求。</w:t>
      </w:r>
    </w:p>
    <w:p>
      <w:pPr>
        <w:rPr>
          <w:rFonts w:ascii="楷体" w:hAnsi="楷体" w:eastAsia="楷体" w:cs="楷体"/>
          <w:b/>
          <w:szCs w:val="20"/>
        </w:rPr>
      </w:pPr>
      <w:r>
        <w:rPr>
          <w:rFonts w:hint="eastAsia" w:ascii="楷体" w:hAnsi="楷体" w:eastAsia="楷体" w:cs="楷体"/>
          <w:b/>
          <w:szCs w:val="20"/>
        </w:rPr>
        <w:t xml:space="preserve">    银行间市场发行的债券可分为三大类：第一类是银行间发行的国债、央票和政策性金融债，这三类债券的流动性最好。其中，央票因存量不断减少，成交量稀少，国债和政策性金融债的成交活跃品种以1年、3年、5年、7年和10年等关键期限的债券为主。第二类是银行间发行的短期融资券、超短期融资券、中期票据和企业债，这几类信用债按照信用等级的不同，高等级的流动性优于中低等级，成交活跃品种以信用等级为AAA的债券为主。第三类是地方政府债、政策性银行之外金融机构发行的金融债（商业银行债、商业银行次级债券、保险公司债、证券公司债、证券公司短期融资券和其它金融机构债）和资产支持证券，资产支持证券成交活跃度相对较低。</w:t>
      </w:r>
    </w:p>
    <w:p>
      <w:pPr>
        <w:rPr>
          <w:rFonts w:ascii="楷体" w:hAnsi="楷体" w:eastAsia="楷体" w:cs="楷体"/>
          <w:b/>
          <w:szCs w:val="20"/>
        </w:rPr>
      </w:pPr>
      <w:r>
        <w:rPr>
          <w:rFonts w:hint="eastAsia" w:ascii="楷体" w:hAnsi="楷体" w:eastAsia="楷体" w:cs="楷体"/>
          <w:b/>
          <w:szCs w:val="20"/>
        </w:rPr>
        <w:t xml:space="preserve">    交易所发行的债券也可分为三大类，一是流动性较好的国债；二是交易所发行的企业债和公募公司债，这两类信用债的个券流动性差异很大，部分债券竞价交易经常多日未有成交，成交活跃券种仍集中在AAA的高等级债券。三是交易所发行的地方政府债、证券公司债和政策银行债，这几类债券的成交量占比较小。尤其是政策银行债因主要在银行间发行，交易所发行量较少，成交相对不活跃。</w:t>
      </w:r>
    </w:p>
    <w:p>
      <w:pPr>
        <w:rPr>
          <w:rFonts w:ascii="楷体" w:hAnsi="楷体" w:eastAsia="楷体" w:cs="楷体"/>
          <w:b/>
          <w:szCs w:val="20"/>
        </w:rPr>
      </w:pPr>
      <w:r>
        <w:rPr>
          <w:rFonts w:hint="eastAsia" w:ascii="楷体" w:hAnsi="楷体" w:eastAsia="楷体" w:cs="楷体"/>
          <w:b/>
          <w:szCs w:val="20"/>
        </w:rPr>
        <w:t xml:space="preserve">    货币市场类资产主要包括同业存单、债券回购和存款。同业存单在银行间发行和交易，单只发行金额一般较大，AAA存单的流动性最好，在二级市场交易活跃。债券回购有确定的到期日限制，到期前无法为流动性变现提供帮助，但相对其他可投资产来说，债券回购的期限较短。银行存款分为有提前支取条款和无提前支取条款两类，一般可提前支取的流动性好于不可提前支取的存款，但可提前支取也要看是否有额外的附加条款。</w:t>
      </w:r>
    </w:p>
    <w:p>
      <w:pPr>
        <w:rPr>
          <w:rFonts w:ascii="楷体" w:hAnsi="楷体" w:eastAsia="楷体" w:cs="楷体"/>
          <w:b/>
          <w:szCs w:val="20"/>
        </w:rPr>
      </w:pPr>
      <w:r>
        <w:rPr>
          <w:rFonts w:hint="eastAsia" w:ascii="楷体" w:hAnsi="楷体" w:eastAsia="楷体" w:cs="楷体"/>
          <w:b/>
          <w:szCs w:val="20"/>
        </w:rPr>
        <w:t xml:space="preserve">    拟投资权益类资产包括上海证券交易所、深圳证券交易所、北京证券交易所以及其他国务院同意设立的证券交易所挂牌交易的股票、新股申购、定向增发、内地与香港股票市场交易互联互通机制下允许买卖的香港联合交易所上市股票及监管批准的其它互联互通机制下的交易所上市股票等。正常情况下交易所上市股票成交活跃，流动性较好。</w:t>
      </w:r>
    </w:p>
    <w:p>
      <w:pPr>
        <w:rPr>
          <w:rFonts w:ascii="楷体" w:hAnsi="楷体" w:eastAsia="楷体" w:cs="楷体"/>
          <w:b/>
          <w:szCs w:val="20"/>
        </w:rPr>
      </w:pPr>
      <w:r>
        <w:rPr>
          <w:rFonts w:hint="eastAsia" w:ascii="楷体" w:hAnsi="楷体" w:eastAsia="楷体" w:cs="楷体"/>
          <w:b/>
          <w:szCs w:val="20"/>
        </w:rPr>
        <w:t xml:space="preserve">    本产品主要以证券投资基金形式投资贵金属资产。证券投资基金及其他资管产品正常情况下能及时赎回变现，以满足日常流动性运作要求。本产品拟重点选择管理规范、业绩优良、历史流动性状况良好的基金及资管公司投资。</w:t>
      </w:r>
    </w:p>
    <w:p>
      <w:pPr>
        <w:rPr>
          <w:rFonts w:ascii="楷体" w:hAnsi="楷体" w:eastAsia="楷体" w:cs="楷体"/>
          <w:b/>
          <w:szCs w:val="20"/>
        </w:rPr>
      </w:pPr>
      <w:r>
        <w:rPr>
          <w:rFonts w:hint="eastAsia" w:ascii="楷体" w:hAnsi="楷体" w:eastAsia="楷体" w:cs="楷体"/>
          <w:b/>
          <w:szCs w:val="20"/>
        </w:rPr>
        <w:t>本产品也可投资于境外债券、银行存款、同业存单、结构化票据等境外固定收益类资产和股票型基金、混合型基金等境外权益类资产。整体来看投资组合投资期限较短，投资标的大部分为标准化金融工具，具备较强的流动性。管理人严格控制开放期内投资于低流动性资产的投资品种比例，并结合对各类资产的预期流动性合理进行资产配置，以防范流动性风险。</w:t>
      </w:r>
    </w:p>
    <w:p>
      <w:pPr>
        <w:pStyle w:val="40"/>
        <w:numPr>
          <w:ilvl w:val="0"/>
          <w:numId w:val="22"/>
        </w:numPr>
        <w:tabs>
          <w:tab w:val="left" w:pos="1481"/>
        </w:tabs>
        <w:overflowPunct w:val="0"/>
        <w:topLinePunct/>
        <w:autoSpaceDE w:val="0"/>
        <w:autoSpaceDN w:val="0"/>
        <w:ind w:left="0" w:firstLine="420" w:firstLineChars="0"/>
        <w:rPr>
          <w:rFonts w:ascii="楷体" w:hAnsi="楷体" w:eastAsia="楷体"/>
          <w:b/>
          <w:szCs w:val="20"/>
        </w:rPr>
      </w:pPr>
      <w:r>
        <w:rPr>
          <w:rFonts w:hint="eastAsia" w:ascii="楷体" w:hAnsi="楷体" w:eastAsia="楷体"/>
          <w:b/>
          <w:szCs w:val="20"/>
        </w:rPr>
        <w:t>拟运用的流动性风险应对措施及其使用情形、处理方法、程序及对投资者的潜在影响</w:t>
      </w:r>
    </w:p>
    <w:p>
      <w:pPr>
        <w:widowControl/>
        <w:numPr>
          <w:ilvl w:val="255"/>
          <w:numId w:val="0"/>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理财产品管理人可依照法律法规及《产品说明书》的约定，综合运用各类流动性风险应对措施，对认（申）购、赎回申请进行适度调整，流动性风险应对措施分为认（申）购风险应对措施和赎回风险应对措施。</w:t>
      </w:r>
    </w:p>
    <w:p>
      <w:pPr>
        <w:widowControl/>
        <w:overflowPunct w:val="0"/>
        <w:topLinePunct/>
        <w:autoSpaceDE w:val="0"/>
        <w:autoSpaceDN w:val="0"/>
        <w:ind w:left="400"/>
        <w:rPr>
          <w:rFonts w:ascii="楷体" w:hAnsi="楷体" w:eastAsia="楷体" w:cs="楷体"/>
          <w:b/>
          <w:szCs w:val="20"/>
        </w:rPr>
      </w:pPr>
      <w:r>
        <w:rPr>
          <w:rFonts w:hint="eastAsia" w:ascii="楷体" w:hAnsi="楷体" w:eastAsia="楷体" w:cs="楷体"/>
          <w:b/>
          <w:szCs w:val="20"/>
        </w:rPr>
        <w:t>（1）认（申）购风险应对措施</w:t>
      </w:r>
    </w:p>
    <w:p>
      <w:pPr>
        <w:widowControl/>
        <w:numPr>
          <w:ilvl w:val="255"/>
          <w:numId w:val="0"/>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当接受认（申）购申请将导致产品规模大幅波动或超过上限，或对存量理财产品份额持有人利益构成潜在重大不利影响时，或者基于投资运作与风险控制需要，理财产品管理人将采取设定单一投资者认（申）购金额上限、拒绝大额认（申）购、暂停认（申）购等措施，保护存量理财产品份额持有人的合法权益。实施认（申）购风险应对措施的情形、处理方式及程序详见《产品说明书》“七、申购和赎回”部分的相关约定。若实施认（申）购风险应对措施，投资者可能无法正常提交认（申）购申请，已经提交的认（申）购申请可能被拒绝接受。</w:t>
      </w:r>
    </w:p>
    <w:p>
      <w:pPr>
        <w:widowControl/>
        <w:overflowPunct w:val="0"/>
        <w:topLinePunct/>
        <w:autoSpaceDE w:val="0"/>
        <w:autoSpaceDN w:val="0"/>
        <w:ind w:left="400"/>
        <w:rPr>
          <w:rFonts w:ascii="楷体" w:hAnsi="楷体" w:eastAsia="楷体" w:cs="楷体"/>
          <w:b/>
          <w:szCs w:val="20"/>
        </w:rPr>
      </w:pPr>
      <w:r>
        <w:rPr>
          <w:rFonts w:hint="eastAsia" w:ascii="楷体" w:hAnsi="楷体" w:eastAsia="楷体" w:cs="楷体"/>
          <w:b/>
          <w:szCs w:val="20"/>
        </w:rPr>
        <w:t>（2）赎回风险应对措施</w:t>
      </w:r>
    </w:p>
    <w:p>
      <w:pPr>
        <w:widowControl/>
        <w:numPr>
          <w:ilvl w:val="0"/>
          <w:numId w:val="23"/>
        </w:numPr>
        <w:overflowPunct w:val="0"/>
        <w:topLinePunct/>
        <w:autoSpaceDE w:val="0"/>
        <w:autoSpaceDN w:val="0"/>
        <w:rPr>
          <w:rFonts w:ascii="楷体" w:hAnsi="楷体" w:eastAsia="楷体" w:cs="楷体"/>
          <w:b/>
          <w:szCs w:val="20"/>
        </w:rPr>
      </w:pPr>
      <w:r>
        <w:rPr>
          <w:rFonts w:hint="eastAsia" w:ascii="楷体" w:hAnsi="楷体" w:eastAsia="楷体" w:cs="楷体"/>
          <w:b/>
          <w:szCs w:val="20"/>
        </w:rPr>
        <w:t>延期办理巨额赎回申请：当本理财产品触发巨额赎回限制时，产品管理人可以延期办理巨额赎回申请，详见《产品说明书》“七、申购和赎回”部分关于巨额赎回的相关约定。当实施延期办理巨额赎回申请的措施时，投资者的赎回申请将无法按时全额获得确认，投资者自身的流动性可能受到影响，并将额外承担市场波动对理财产品净值的影响。</w:t>
      </w:r>
    </w:p>
    <w:p>
      <w:pPr>
        <w:widowControl/>
        <w:numPr>
          <w:ilvl w:val="0"/>
          <w:numId w:val="23"/>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暂停接受赎回申请或延缓支付赎回款项：实施暂停接受赎回申请或延缓支付赎回款项的情形、处理方式及程序详见《产品说明书》“七、申购和赎回”关于暂停接受赎回申请或延缓支付赎回款项的相关约定。若实施暂停接受赎回申请的措施，投资者一方面不能赎回理财产品份额，可能影响自身的流动性，另一方面将承担额外的市场波动对理财产品净值的影响；若实施延缓支付赎回款项，投资者不能如期获得全额赎回款，自身的流动性可能受到影响。</w:t>
      </w:r>
    </w:p>
    <w:p>
      <w:pPr>
        <w:widowControl/>
        <w:numPr>
          <w:ilvl w:val="0"/>
          <w:numId w:val="23"/>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暂停理财产品估值：暂停理财产品估值的情形详见《产品说明书》关于暂停理财产品估值情形的相关约定。若实施暂停理财产品估值，理财产品管理人会采取延缓支付赎回款项或暂停接受理财产品申购赎回申请的措施，对投资者产生的风险如前所述。</w:t>
      </w:r>
    </w:p>
    <w:p>
      <w:pPr>
        <w:widowControl/>
        <w:numPr>
          <w:ilvl w:val="255"/>
          <w:numId w:val="0"/>
        </w:numPr>
        <w:overflowPunct w:val="0"/>
        <w:topLinePunct/>
        <w:autoSpaceDE w:val="0"/>
        <w:autoSpaceDN w:val="0"/>
        <w:ind w:firstLine="422" w:firstLineChars="200"/>
        <w:rPr>
          <w:rFonts w:ascii="楷体" w:hAnsi="楷体" w:eastAsia="楷体" w:cs="楷体"/>
          <w:b/>
          <w:szCs w:val="20"/>
        </w:rPr>
      </w:pPr>
      <w:r>
        <w:rPr>
          <w:rFonts w:hint="eastAsia" w:ascii="楷体" w:hAnsi="楷体" w:eastAsia="楷体" w:cs="楷体"/>
          <w:b/>
          <w:szCs w:val="20"/>
        </w:rPr>
        <w:t>（3）如本理财产品采用国家金融监督管理机构规定的其他流动性风险控制措施或对上述流动性风险应对措施的使用情形、处理方法、程序进行调整，将在正式实施前至少3个工作日通过相应信息披露渠道披露，并在理财产品销售文件中约定或更新相关措施的使用情形、处理方法、程序及对投资者的潜在影响。</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操作风险：产品运作过程中，因内部控制存在缺陷或者人为因素造成操作失误或违反操作规程等引致的风险，例如，越权违规交易、交易错误、IT系统故障等风险。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管理风险：由于本理财产品管理人受技能和管理水平等因素的限制，可能会影响本理财产品的本金和投资收益，导致本金遭受损失和理财收益处于较低水平甚至为零的风险。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法律风险：法律风险包括但不限于因监管措施和解决民商事争议而支付的罚款、罚金、违约金或者赔偿金所导致的风险。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政策风险：本理财产品是针对当前的相关法规和政策设计的，如国家宏观政策及市场相关法规政策发生变化，可能影响本理财产品的受理、投资、偿还等的正常进行，甚至导致本理财产品收益降低甚至本金损失。</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kern w:val="0"/>
          <w:szCs w:val="18"/>
        </w:rPr>
        <w:t>产品不成立风险：如果因募集规模低于说明书约定的最低规模或其他因素导致产品管理人宣布本理财产品不成立的情形，投资者将面临再投资风险。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提前终止的风险：</w:t>
      </w:r>
      <w:r>
        <w:rPr>
          <w:rFonts w:hint="eastAsia" w:ascii="楷体" w:hAnsi="楷体" w:eastAsia="楷体" w:cs="Arial Unicode MS"/>
          <w:b/>
          <w:kern w:val="0"/>
          <w:szCs w:val="18"/>
        </w:rPr>
        <w:t>在投资期内，如本理财产品发生本《产品说明书》“八、提前终止”部分规定的情形，理财产品管理人有权提前终止本理财产品，投资者可能面临不能实现收益目标及不能进行再投资的风险。</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信息传递风险：本理财产品存续期内，投资者应根据本《产品说明书》所载明的信息披露方式及时、主动查询本理财产品的相关信息。如果投资者未及时、主动查询，或由于通讯故障、系统故障以及其他不可抗力等因素的影响使得投资者无法及时了解产品信息，并由此产生的责任和风险由投资者自行承担。</w:t>
      </w:r>
    </w:p>
    <w:p>
      <w:pPr>
        <w:numPr>
          <w:ilvl w:val="0"/>
          <w:numId w:val="21"/>
        </w:numPr>
        <w:tabs>
          <w:tab w:val="left" w:pos="1481"/>
        </w:tabs>
        <w:overflowPunct w:val="0"/>
        <w:topLinePunct/>
        <w:autoSpaceDE w:val="0"/>
        <w:autoSpaceDN w:val="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赎回款项支付延迟风险：如因本产品项下对应的金融资产延期或无法变现等原因造成本产品不能按时支付赎回款项，或因技术因素而产生的风险，如电脑系统故障等，可能会造成赎回款项支付延迟，投资者将面临无法及时获得赎回款项的风险。</w:t>
      </w:r>
    </w:p>
    <w:p>
      <w:pPr>
        <w:numPr>
          <w:ilvl w:val="0"/>
          <w:numId w:val="21"/>
        </w:numPr>
        <w:tabs>
          <w:tab w:val="left" w:pos="1481"/>
        </w:tabs>
        <w:overflowPunct w:val="0"/>
        <w:topLinePunct/>
        <w:autoSpaceDE w:val="0"/>
        <w:autoSpaceDN w:val="0"/>
        <w:rPr>
          <w:rFonts w:ascii="楷体" w:hAnsi="楷体" w:eastAsia="楷体" w:cs="Arial Unicode MS"/>
          <w:b/>
          <w:kern w:val="0"/>
          <w:szCs w:val="18"/>
        </w:rPr>
      </w:pPr>
      <w:r>
        <w:rPr>
          <w:rFonts w:hint="eastAsia" w:ascii="楷体" w:hAnsi="楷体" w:eastAsia="楷体" w:cs="Arial Unicode MS"/>
          <w:b/>
          <w:kern w:val="0"/>
          <w:szCs w:val="18"/>
        </w:rPr>
        <w:t>投资标的特有风险，可能涉及但不限于下列风险：</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货币市场工具投资风险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（1）本理财产品作为资金借出方参与货币市场工具交易时，交易对手可能无法及时偿还全部或部分本金和/或收益，导致理财产品收益下降甚至本金损失；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（2）本理财产品作为资金借入方参与货币市场工具交易时，交易利率可能大于债券投资收益，进而导致理财产品收益下降甚至本金损失。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（3）本理财产品作为资金借入方参与货币市场工具交易，将增大产品投资总量，放大投资组合风险。资金借入比例越高，风险暴露程度越高，理财产品收益下降甚至本金损失的可能性越大。</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债券投资风险</w:t>
      </w:r>
    </w:p>
    <w:p>
      <w:pPr>
        <w:tabs>
          <w:tab w:val="left" w:pos="1481"/>
        </w:tabs>
        <w:overflowPunct w:val="0"/>
        <w:topLinePunct/>
        <w:autoSpaceDE w:val="0"/>
        <w:autoSpaceDN w:val="0"/>
        <w:ind w:left="420"/>
        <w:outlineLvl w:val="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（1）市场风险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市场利率水平会影响本产品所投资的债券价格，如</w:t>
      </w:r>
      <w:r>
        <w:rPr>
          <w:rFonts w:ascii="楷体" w:hAnsi="楷体" w:eastAsia="楷体" w:cs="Arial Unicode MS"/>
          <w:b/>
          <w:color w:val="000000" w:themeColor="text1"/>
          <w:kern w:val="0"/>
          <w:szCs w:val="18"/>
          <w14:textFill>
            <w14:solidFill>
              <w14:schemeClr w14:val="tx1"/>
            </w14:solidFill>
          </w14:textFill>
        </w:rPr>
        <w:t>利率水平</w:t>
      </w:r>
      <w:r>
        <w:rPr>
          <w:rFonts w:hint="eastAsia" w:ascii="楷体" w:hAnsi="楷体" w:eastAsia="楷体" w:cs="Arial Unicode MS"/>
          <w:b/>
          <w:color w:val="000000" w:themeColor="text1"/>
          <w:kern w:val="0"/>
          <w:szCs w:val="18"/>
          <w14:textFill>
            <w14:solidFill>
              <w14:schemeClr w14:val="tx1"/>
            </w14:solidFill>
          </w14:textFill>
        </w:rPr>
        <w:t>上升将</w:t>
      </w:r>
      <w:r>
        <w:rPr>
          <w:rFonts w:ascii="楷体" w:hAnsi="楷体" w:eastAsia="楷体" w:cs="Arial Unicode MS"/>
          <w:b/>
          <w:color w:val="000000" w:themeColor="text1"/>
          <w:kern w:val="0"/>
          <w:szCs w:val="18"/>
          <w14:textFill>
            <w14:solidFill>
              <w14:schemeClr w14:val="tx1"/>
            </w14:solidFill>
          </w14:textFill>
        </w:rPr>
        <w:t>导致</w:t>
      </w:r>
      <w:r>
        <w:rPr>
          <w:rFonts w:hint="eastAsia" w:ascii="楷体" w:hAnsi="楷体" w:eastAsia="楷体" w:cs="Arial Unicode MS"/>
          <w:b/>
          <w:color w:val="000000" w:themeColor="text1"/>
          <w:kern w:val="0"/>
          <w:szCs w:val="18"/>
          <w14:textFill>
            <w14:solidFill>
              <w14:schemeClr w14:val="tx1"/>
            </w14:solidFill>
          </w14:textFill>
        </w:rPr>
        <w:t>本产品投资的</w:t>
      </w:r>
      <w:r>
        <w:rPr>
          <w:rFonts w:ascii="楷体" w:hAnsi="楷体" w:eastAsia="楷体" w:cs="Arial Unicode MS"/>
          <w:b/>
          <w:color w:val="000000" w:themeColor="text1"/>
          <w:kern w:val="0"/>
          <w:szCs w:val="18"/>
          <w14:textFill>
            <w14:solidFill>
              <w14:schemeClr w14:val="tx1"/>
            </w14:solidFill>
          </w14:textFill>
        </w:rPr>
        <w:t>债券价格</w:t>
      </w:r>
      <w:r>
        <w:rPr>
          <w:rFonts w:hint="eastAsia" w:ascii="楷体" w:hAnsi="楷体" w:eastAsia="楷体" w:cs="Arial Unicode MS"/>
          <w:b/>
          <w:color w:val="000000" w:themeColor="text1"/>
          <w:kern w:val="0"/>
          <w:szCs w:val="18"/>
          <w14:textFill>
            <w14:solidFill>
              <w14:schemeClr w14:val="tx1"/>
            </w14:solidFill>
          </w14:textFill>
        </w:rPr>
        <w:t>下跌，进而导致理财产品收益下降甚至本金损失。即使债券市场平均利率水平保持稳定，不同期限、不同风险等级、不同种类债券之间的利差变动，也可能导致本产品投资的债券的市场价格下跌，进而导致理财产品收益下降甚至本金损失。</w:t>
      </w:r>
    </w:p>
    <w:p>
      <w:pPr>
        <w:tabs>
          <w:tab w:val="left" w:pos="1481"/>
        </w:tabs>
        <w:overflowPunct w:val="0"/>
        <w:topLinePunct/>
        <w:autoSpaceDE w:val="0"/>
        <w:autoSpaceDN w:val="0"/>
        <w:ind w:left="420"/>
        <w:outlineLvl w:val="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（2）信用风险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债券的发行人和/或担保人可能由于经济周期、行业竞争、市场前景、管理能力、盈利模式、财务状况等变化发生经营不善，甚至可能发生资不抵债、破产清算、被兼并收购等状况，可能导致债券的市场价格下跌甚至无法按时偿付本息，从而导致理财产品收益下降甚至本金损失。资产支持证券项下的基础资产如发生原始权益人破产或基础资产项下现金流未能及时完整取得等情况，资产支持证券的收益将受到影响，可能导致理财产品收益下降甚至本金损失。</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资产管理产品投资风险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本理财产品通过其他资产管理产品投资时，可能因相关受托人、产品管理人违反法律法规和/或合同约定、未尽职或发生其他情形，造成本理财产品所投资的资产管理产品的财产损失，进而导致本理财产品收益下降甚至本金损失。</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权益类资产投资风险</w:t>
      </w:r>
    </w:p>
    <w:p>
      <w:pPr>
        <w:tabs>
          <w:tab w:val="left" w:pos="1481"/>
        </w:tabs>
        <w:overflowPunct w:val="0"/>
        <w:topLinePunct/>
        <w:autoSpaceDE w:val="0"/>
        <w:autoSpaceDN w:val="0"/>
        <w:ind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本理财产品可投资于上市公司股票等权益类资产，</w:t>
      </w:r>
      <w:r>
        <w:rPr>
          <w:rFonts w:ascii="楷体" w:hAnsi="楷体" w:eastAsia="楷体" w:cs="Arial Unicode MS"/>
          <w:b/>
          <w:color w:val="000000" w:themeColor="text1"/>
          <w:kern w:val="0"/>
          <w:szCs w:val="18"/>
          <w14:textFill>
            <w14:solidFill>
              <w14:schemeClr w14:val="tx1"/>
            </w14:solidFill>
          </w14:textFill>
        </w:rPr>
        <w:t>具有对股票市场的系统性风险，不能完全规避市场下跌的风险，在市场大幅上涨时也不能保证</w:t>
      </w:r>
      <w:r>
        <w:rPr>
          <w:rFonts w:hint="eastAsia" w:ascii="楷体" w:hAnsi="楷体" w:eastAsia="楷体" w:cs="Arial Unicode MS"/>
          <w:b/>
          <w:color w:val="000000" w:themeColor="text1"/>
          <w:kern w:val="0"/>
          <w:szCs w:val="18"/>
          <w14:textFill>
            <w14:solidFill>
              <w14:schemeClr w14:val="tx1"/>
            </w14:solidFill>
          </w14:textFill>
        </w:rPr>
        <w:t>投资组合中权益类资产部分的业绩表现</w:t>
      </w:r>
      <w:r>
        <w:rPr>
          <w:rFonts w:ascii="楷体" w:hAnsi="楷体" w:eastAsia="楷体" w:cs="Arial Unicode MS"/>
          <w:b/>
          <w:color w:val="000000" w:themeColor="text1"/>
          <w:kern w:val="0"/>
          <w:szCs w:val="18"/>
          <w14:textFill>
            <w14:solidFill>
              <w14:schemeClr w14:val="tx1"/>
            </w14:solidFill>
          </w14:textFill>
        </w:rPr>
        <w:t>能够完全跟随或超越市场上涨幅度。</w:t>
      </w:r>
      <w:r>
        <w:rPr>
          <w:rFonts w:hint="eastAsia" w:ascii="楷体" w:hAnsi="楷体" w:eastAsia="楷体" w:cs="Arial Unicode MS"/>
          <w:b/>
          <w:color w:val="000000" w:themeColor="text1"/>
          <w:kern w:val="0"/>
          <w:szCs w:val="18"/>
          <w14:textFill>
            <w14:solidFill>
              <w14:schemeClr w14:val="tx1"/>
            </w14:solidFill>
          </w14:textFill>
        </w:rPr>
        <w:t>此外，如果本产品投资的上市公司盈利下降，其股票价格可能会下跌，或能够用于分配的利润减少，导致理财产品收益下降甚至本金损失。即使本产品可通过分散投资管理非系统风险，也无法完全规避。</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境外投资特别风险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本产品可能投资于境外市场，涉及的境外投资特别风险主要包括：</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（1）境外市场风险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由于本产品投资于境外市场，因此各国或地区的金融市场和总体经济趋势将会对本理财产品的投资收益产生影响。境外证券市场可能对于特定事件、该国或地区特有的政治因素、法律法规、市场状况、经济发展趋势的反应较境内证券市场有诸多不同。</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（2）汇率风险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以人民币为计价单位，但可能投资于非计价货币报价的资产，如果资产报价货币兑产品计价货币汇率下降，则以产品计价货币计价的上述资产的价值将会下降，本产品管理人将使用衍生工具管理上述汇率波动的风险，但由于技术上的原因，外汇敞口无法事先准确预测。</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（3）税务风险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投资各国或地区市场时，因各国或地区税务法律法规的不同，可能会就股息、利息、资本利得等收益向该国或该地区税务机构缴纳税金，包括预扣税，该行为可能会使得资产回报受到一定影响；该国或该地区的税收法律法规的规定可能变化，或者加以具有追溯力的修订，所以可能须向该国或该地区缴纳本产品销售、估值或者出售投资当日并未预计的额外税项。</w:t>
      </w:r>
    </w:p>
    <w:p>
      <w:pPr>
        <w:pStyle w:val="40"/>
        <w:numPr>
          <w:ilvl w:val="0"/>
          <w:numId w:val="24"/>
        </w:numPr>
        <w:tabs>
          <w:tab w:val="left" w:pos="1481"/>
        </w:tabs>
        <w:overflowPunct w:val="0"/>
        <w:topLinePunct/>
        <w:autoSpaceDE w:val="0"/>
        <w:autoSpaceDN w:val="0"/>
        <w:ind w:firstLineChars="0"/>
        <w:rPr>
          <w:rFonts w:ascii="楷体" w:hAnsi="楷体" w:eastAsia="楷体"/>
          <w:b/>
          <w:szCs w:val="20"/>
        </w:rPr>
      </w:pPr>
      <w:r>
        <w:rPr>
          <w:rFonts w:hint="eastAsia" w:ascii="楷体" w:hAnsi="楷体" w:eastAsia="楷体"/>
          <w:b/>
          <w:szCs w:val="20"/>
        </w:rPr>
        <w:t>商品及金融衍生品投资风险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理财产品投资于商品及金融衍生品时，商品及金融衍生品投资风险包括但不限于：</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（1）市场风险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市场价格波动将使商品及金融衍生品合约价值发生变化，如本理财产品投资的商品及金融衍生品合约价格下跌，将导致理财产品收益下降甚至本金损失。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（2）杠杆风险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商品及金融衍生产品具有杠杆效应，会放大收益或损失，价格波动剧烈时可能面临追加保证金的问题，如未在规定的时间内补足保证金，将被强制平仓。</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（3）基差风险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基差是指现货价格与期货价格之间的差额，若本理财产品投资的商品及金融衍生品出现基差波动不确定性加大、基差向不利方向变动等情况，可能对本理财产品投资产生不利影响。</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（4）流动性风险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受市场广度或深度影响，本理财产品存在无法及时以所希望的价格建立或了结商品及金融衍生品头寸的风险；在某些市场情况下，可能会难以或无法将已建立的商品及金融衍生品头寸了结；某些情况下，保证金可能无法弥补全部损失，甚至会导致投资亏损高于初始投资金额。</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（5）信用风险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本理财产品投资的信用衍生工具可能因挂钩资产的参考实体发生信用违约而产生损失，在此情况下，将导致本理财产品收益下降甚至本金损失。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（6）交易对手信用风险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本产品投资的商品及金融衍生品合约的交易对手，可能无法及时足额履行合约规定的义务，在此情况下，将导致本理财产品收益下降甚至本金损失。</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（7）实物交割风险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商品及金融衍生品合约到期时，未平仓合约可能须进行实物交割。如发生合约到期前未及时平仓的情况，存在承担交割责任的风险。</w:t>
      </w:r>
    </w:p>
    <w:p>
      <w:pPr>
        <w:pStyle w:val="40"/>
        <w:numPr>
          <w:ilvl w:val="0"/>
          <w:numId w:val="24"/>
        </w:numPr>
        <w:ind w:firstLineChars="0"/>
        <w:rPr>
          <w:rFonts w:ascii="楷体" w:hAnsi="楷体" w:eastAsia="楷体"/>
          <w:b/>
          <w:szCs w:val="20"/>
        </w:rPr>
      </w:pPr>
      <w:r>
        <w:rPr>
          <w:rFonts w:hint="eastAsia" w:ascii="楷体" w:hAnsi="楷体" w:eastAsia="楷体"/>
          <w:b/>
          <w:szCs w:val="20"/>
        </w:rPr>
        <w:t>投资黄金相关资产的风险</w:t>
      </w:r>
    </w:p>
    <w:p>
      <w:pPr>
        <w:tabs>
          <w:tab w:val="left" w:pos="1481"/>
        </w:tabs>
        <w:overflowPunct w:val="0"/>
        <w:topLinePunct/>
        <w:autoSpaceDE w:val="0"/>
        <w:autoSpaceDN w:val="0"/>
        <w:ind w:firstLine="422" w:firstLineChars="200"/>
        <w:rPr>
          <w:rFonts w:ascii="楷体" w:hAnsi="楷体" w:eastAsia="楷体" w:cs="Arial Unicode MS"/>
          <w:b/>
          <w:kern w:val="0"/>
          <w:szCs w:val="18"/>
        </w:rPr>
      </w:pPr>
      <w:r>
        <w:rPr>
          <w:rFonts w:hint="eastAsia" w:ascii="楷体" w:hAnsi="楷体" w:eastAsia="楷体" w:cs="Arial Unicode MS"/>
          <w:b/>
          <w:kern w:val="0"/>
          <w:szCs w:val="18"/>
        </w:rPr>
        <w:t>本理财产品投资黄金相关资产，黄金价格的波动会影响黄金相关资产的价格波动，进而影响到本理财产品的净值波动。</w:t>
      </w:r>
    </w:p>
    <w:p>
      <w:pPr>
        <w:numPr>
          <w:ilvl w:val="0"/>
          <w:numId w:val="21"/>
        </w:numPr>
        <w:tabs>
          <w:tab w:val="left" w:pos="1481"/>
        </w:tabs>
        <w:overflowPunct w:val="0"/>
        <w:topLinePunct/>
        <w:autoSpaceDE w:val="0"/>
        <w:autoSpaceDN w:val="0"/>
        <w:ind w:right="22"/>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其他风险：包括但不限于自然灾害、金融市场危机、战争等不可抗力因素造成的相关投资风险。理财产品管理人在代理本理财产品买卖投资标的物时，交易对手可能为理财产品管理人。理财产品管理人将秉承公允市价交易的原则进行交易，并且保留交易记录以备相关部门查询。</w:t>
      </w:r>
    </w:p>
    <w:p>
      <w:pPr>
        <w:tabs>
          <w:tab w:val="left" w:pos="1481"/>
        </w:tabs>
        <w:overflowPunct w:val="0"/>
        <w:topLinePunct/>
        <w:autoSpaceDE w:val="0"/>
        <w:autoSpaceDN w:val="0"/>
        <w:ind w:right="23" w:firstLine="422" w:firstLineChars="20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理财产品管理人将本着“恪守信用、勤勉尽责”的原则管理和运用理财产品财产，但并不对本理财产品提供保证本金和收益的承诺。</w:t>
      </w:r>
    </w:p>
    <w:p>
      <w:pPr>
        <w:tabs>
          <w:tab w:val="left" w:pos="1481"/>
        </w:tabs>
        <w:overflowPunct w:val="0"/>
        <w:topLinePunct/>
        <w:autoSpaceDE w:val="0"/>
        <w:autoSpaceDN w:val="0"/>
        <w:ind w:left="316" w:right="22"/>
        <w:rPr>
          <w:rFonts w:ascii="楷体" w:hAnsi="楷体" w:eastAsia="楷体" w:cs="Arial Unicode MS"/>
          <w:b/>
          <w:color w:val="000000" w:themeColor="text1"/>
          <w:kern w:val="0"/>
          <w:szCs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理财产品估值</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估值原则</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匹配性原则。金融工具的公允价值确定方法应与理财产品的类型相匹配。</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一致性原则。同类型产品中同一类别金融工具应采用一致的估值方法，不得随意变更。确需变更的，应经充分论证并予以披露。</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审慎性原则。审慎确认和计量公允价值时，不高估公允价值收益，不低估公允价值损失。</w:t>
      </w:r>
    </w:p>
    <w:p>
      <w:pPr>
        <w:numPr>
          <w:ilvl w:val="0"/>
          <w:numId w:val="26"/>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充分披露原则。根据金融工具性质、重要性及复杂程度等因素，充分披露公允价值相关信息。</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估值日</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rPr>
        <w:t>本产品的估值日为产品成立日及开放日。</w:t>
      </w:r>
      <w:r>
        <w:rPr>
          <w:rFonts w:hint="eastAsia" w:ascii="楷体" w:hAnsi="楷体" w:eastAsia="楷体" w:cs="Arial Unicode MS"/>
          <w:color w:val="000000" w:themeColor="text1"/>
          <w:kern w:val="0"/>
          <w:szCs w:val="18"/>
          <w14:textFill>
            <w14:solidFill>
              <w14:schemeClr w14:val="tx1"/>
            </w14:solidFill>
          </w14:textFill>
        </w:rPr>
        <w:t>产品净值信息依照“十一、信息披露”部分第（一）条第5款约定进行披露。</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本产品每个开放日的产品份额净值用于计算当日受理的申购申请份额和赎回申请份额。</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暂停估值的情形：1.理财产品投资所涉及的证券交易所遇法定节假日或其他原因暂停营业时；2.因任何不可抗力致使无法准确评估资产价值时；3.前一估值日内，产品资产净值50%以上的资产不具备活跃交易市场或者在活跃市场中无报价，且不能采用估值技术可靠计量公允价值的。</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发生上述情形之一且理财产品管理人决定</w:t>
      </w:r>
      <w:r>
        <w:rPr>
          <w:rFonts w:hint="eastAsia" w:ascii="楷体" w:hAnsi="楷体" w:eastAsia="楷体" w:cs="楷体"/>
          <w:color w:val="000000" w:themeColor="text1"/>
          <w:kern w:val="0"/>
          <w:szCs w:val="18"/>
          <w14:textFill>
            <w14:solidFill>
              <w14:schemeClr w14:val="tx1"/>
            </w14:solidFill>
          </w14:textFill>
        </w:rPr>
        <w:t>暂停估值</w:t>
      </w:r>
      <w:r>
        <w:rPr>
          <w:rFonts w:hint="eastAsia" w:ascii="楷体" w:hAnsi="楷体" w:eastAsia="楷体" w:cs="Arial Unicode MS"/>
          <w:color w:val="000000" w:themeColor="text1"/>
          <w:kern w:val="0"/>
          <w:szCs w:val="18"/>
          <w14:textFill>
            <w14:solidFill>
              <w14:schemeClr w14:val="tx1"/>
            </w14:solidFill>
          </w14:textFill>
        </w:rPr>
        <w:t>时，理财产品管理人应当在3个工作日内通过相应信息披露渠道进行披露</w:t>
      </w:r>
      <w:r>
        <w:rPr>
          <w:rFonts w:hint="eastAsia" w:ascii="楷体" w:hAnsi="楷体" w:eastAsia="楷体" w:cs="Arial Unicode MS"/>
          <w:color w:val="000000"/>
          <w:kern w:val="0"/>
          <w:szCs w:val="18"/>
        </w:rPr>
        <w:t>，并说明运用相关措施的原因、拟采取的应对安排等</w:t>
      </w:r>
      <w:r>
        <w:rPr>
          <w:rFonts w:hint="eastAsia" w:ascii="楷体" w:hAnsi="楷体" w:eastAsia="楷体" w:cs="Arial Unicode MS"/>
          <w:color w:val="000000" w:themeColor="text1"/>
          <w:kern w:val="0"/>
          <w:szCs w:val="18"/>
          <w14:textFill>
            <w14:solidFill>
              <w14:schemeClr w14:val="tx1"/>
            </w14:solidFill>
          </w14:textFill>
        </w:rPr>
        <w:t>。估值条件恢复时，将按规定完成估值工作。</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估值对象</w:t>
      </w:r>
    </w:p>
    <w:p>
      <w:p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本产品所拥有的各类证券、银行存款本息、应收款项及其它投资等资产及负债。</w:t>
      </w:r>
    </w:p>
    <w:p>
      <w:pPr>
        <w:numPr>
          <w:ilvl w:val="0"/>
          <w:numId w:val="25"/>
        </w:numPr>
        <w:overflowPunct w:val="0"/>
        <w:topLinePunct/>
        <w:autoSpaceDE w:val="0"/>
        <w:autoSpaceDN w:val="0"/>
        <w:ind w:right="22"/>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估值方法</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本理财产品成立后，所投资产按照以下方式进行估值：</w:t>
      </w:r>
    </w:p>
    <w:p>
      <w:pPr>
        <w:numPr>
          <w:ilvl w:val="0"/>
          <w:numId w:val="27"/>
        </w:numPr>
        <w:overflowPunct w:val="0"/>
        <w:topLinePunct/>
        <w:autoSpaceDE w:val="0"/>
        <w:autoSpaceDN w:val="0"/>
        <w:ind w:right="22" w:firstLine="420"/>
        <w:rPr>
          <w:rFonts w:ascii="楷体" w:hAnsi="楷体" w:eastAsia="楷体" w:cs="Arial Unicode MS"/>
          <w:kern w:val="0"/>
          <w:szCs w:val="18"/>
        </w:rPr>
      </w:pPr>
      <w:r>
        <w:rPr>
          <w:rFonts w:hint="eastAsia" w:ascii="楷体" w:hAnsi="楷体" w:eastAsia="楷体" w:cs="Arial Unicode MS"/>
          <w:kern w:val="0"/>
          <w:szCs w:val="18"/>
        </w:rPr>
        <w:t>债券</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在证券交易所交易的债券，存在活跃市场报价的，可按估值日收盘价估值，估值日没有交易的，按最近交易日的收盘价估值；或按第三方估值机构提供的估值结果数据进行估值，具体第三方估值机构由管理人和托管行协商确定；</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（2）在全国银行间市场交易的债券，按第三方估值机构提供的估值结果数据进行估值，具体第三方估值机构由管理人和托管行协商确定。</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（3）在境外市场交易的债券，按第三方估值机构提供的估值结果数据进行估值，具体第三方估值机构由管理人和托管行协商确定。</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股票</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上市流通的普通股票，采用当日收盘价进行估值。估值日无交易，且最近交易日后未发生影响公允价值计量的重大事件的，按最近交易日的收盘价估值；当日无交易，且最近交易日后发生影响公允价值计量的重大事件的，应参考类似投资品种的现行价格及重大变化因素，调整最近交易日的收盘价确定公允价值；优先股采用估值技术或按第三方估值机构提供的估值结果确定其公允价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（2）发行时明确一定期限限售期的股票，按监管机构或行业协会有关规定估值；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（3）送股、转增股、配股和公开增发新股，按当日在证券交易所挂牌的同一股票的市价估值；该日无交易的，以最近交易日的市价估值；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（4）对于首次发行未上市股票，在未上市期间按照其发行价格估值。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金融衍生品</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 xml:space="preserve">（1）对于交易所交易的商品及金融衍生产品按交易所公布的当日结算价估值；当日无交易，且最近交易日后未发生影响公允价值计量的重大事件的，按最近交易日的结算价估值；如最近交易日后发生影响公允价值计量的重大事件的，应采取相应的衍生金融工具估值模型确定公允价值； </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（2）对于非交易所交易的衍生产品，可依据第三方估值机构提供的价格数据或采取相应的衍生金融工具估值模型确定公允价值。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基金</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（1）在证券交易所交易的场内基金（如ETF\定开\封闭\LOF\货基）按估值日收盘价估值；或按所投资基金的基金管理人披露的估值方式进行估值；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（2）未在证券交易所交易的场外货币市场基金，按基金管理人披露的前一估值日后至估值日期间（含节假日）的万份收益计提收益进行估值；</w:t>
      </w:r>
    </w:p>
    <w:p>
      <w:pPr>
        <w:overflowPunct w:val="0"/>
        <w:topLinePunct/>
        <w:autoSpaceDE w:val="0"/>
        <w:autoSpaceDN w:val="0"/>
        <w:ind w:right="22" w:firstLine="420"/>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（3）未在证券交易所交易的场外基金，按估值日的基金份额净值估值。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资产管理产品按资产管理产品管理人所公布/披露的资产管理产品财产净值进行估值。结构性票据按照发行人公布</w:t>
      </w:r>
      <w:r>
        <w:rPr>
          <w:rFonts w:ascii="楷体" w:hAnsi="楷体" w:eastAsia="楷体" w:cs="Arial Unicode MS"/>
          <w:kern w:val="0"/>
          <w:szCs w:val="18"/>
        </w:rPr>
        <w:t>/披露的结构性票据净值或投资收益情况进行估值。</w:t>
      </w:r>
    </w:p>
    <w:p>
      <w:pPr>
        <w:pStyle w:val="21"/>
        <w:numPr>
          <w:ilvl w:val="0"/>
          <w:numId w:val="27"/>
        </w:numPr>
        <w:ind w:firstLineChars="0"/>
        <w:rPr>
          <w:rFonts w:ascii="楷体" w:hAnsi="楷体" w:eastAsia="楷体" w:cs="Arial Unicode MS"/>
          <w:kern w:val="0"/>
          <w:szCs w:val="18"/>
        </w:rPr>
      </w:pPr>
      <w:r>
        <w:rPr>
          <w:rFonts w:hint="eastAsia" w:ascii="楷体" w:hAnsi="楷体" w:eastAsia="楷体" w:cs="Arial Unicode MS"/>
          <w:kern w:val="0"/>
          <w:szCs w:val="18"/>
        </w:rPr>
        <w:t>存款、债券逆回购及同业拆借等货币市场工具，采用合理的估值技术确定公允价值。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若理财产品存续期间持有其他投资品种，以理财产品管理人和理财产品托管人共同认可的方式估值。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如有确凿证据表明按上述方法进行估值不能客观反映资产公允价值的，可根据具体情况，在综合考虑市场成交、市场报价、流动性、收益率曲线等因素基础上，按最能反映公允价值的价格估值。</w:t>
      </w:r>
    </w:p>
    <w:p>
      <w:pPr>
        <w:numPr>
          <w:ilvl w:val="0"/>
          <w:numId w:val="27"/>
        </w:numPr>
        <w:overflowPunct w:val="0"/>
        <w:topLinePunct/>
        <w:autoSpaceDE w:val="0"/>
        <w:autoSpaceDN w:val="0"/>
        <w:ind w:right="22" w:firstLine="420" w:firstLineChars="200"/>
        <w:rPr>
          <w:rFonts w:ascii="楷体" w:hAnsi="楷体" w:eastAsia="楷体" w:cs="Arial Unicode MS"/>
          <w:kern w:val="0"/>
          <w:szCs w:val="18"/>
        </w:rPr>
      </w:pPr>
      <w:r>
        <w:rPr>
          <w:rFonts w:hint="eastAsia" w:ascii="楷体" w:hAnsi="楷体" w:eastAsia="楷体" w:cs="Arial Unicode MS"/>
          <w:kern w:val="0"/>
          <w:szCs w:val="18"/>
        </w:rPr>
        <w:t>如有新增事项或变更事项，按国家最新规定或理财产品管理人公布的最新约定进行估值。</w:t>
      </w:r>
    </w:p>
    <w:p>
      <w:pPr>
        <w:ind w:left="420"/>
        <w:rPr>
          <w:rFonts w:ascii="楷体" w:hAnsi="楷体" w:eastAsia="楷体"/>
          <w:color w:val="000000"/>
          <w:szCs w:val="18"/>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信息披露</w:t>
      </w:r>
    </w:p>
    <w:p>
      <w:pPr>
        <w:pStyle w:val="3"/>
        <w:numPr>
          <w:ilvl w:val="0"/>
          <w:numId w:val="28"/>
        </w:numPr>
        <w:ind w:firstLine="282"/>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信息披露的内容</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发行</w:t>
      </w:r>
      <w:r>
        <w:rPr>
          <w:rFonts w:ascii="楷体" w:hAnsi="楷体" w:eastAsia="楷体" w:cs="楷体"/>
          <w:b/>
          <w:color w:val="000000" w:themeColor="text1"/>
          <w:sz w:val="21"/>
          <w:szCs w:val="18"/>
          <w14:textFill>
            <w14:solidFill>
              <w14:schemeClr w14:val="tx1"/>
            </w14:solidFill>
          </w14:textFill>
        </w:rPr>
        <w:t>公告：在</w:t>
      </w:r>
      <w:r>
        <w:rPr>
          <w:rFonts w:hint="eastAsia" w:ascii="楷体" w:hAnsi="楷体" w:eastAsia="楷体" w:cs="楷体"/>
          <w:b/>
          <w:color w:val="000000" w:themeColor="text1"/>
          <w:sz w:val="21"/>
          <w:szCs w:val="18"/>
          <w14:textFill>
            <w14:solidFill>
              <w14:schemeClr w14:val="tx1"/>
            </w14:solidFill>
          </w14:textFill>
        </w:rPr>
        <w:t>产品</w:t>
      </w:r>
      <w:r>
        <w:rPr>
          <w:rFonts w:ascii="楷体" w:hAnsi="楷体" w:eastAsia="楷体" w:cs="楷体"/>
          <w:b/>
          <w:color w:val="000000" w:themeColor="text1"/>
          <w:sz w:val="21"/>
          <w:szCs w:val="18"/>
          <w14:textFill>
            <w14:solidFill>
              <w14:schemeClr w14:val="tx1"/>
            </w14:solidFill>
          </w14:textFill>
        </w:rPr>
        <w:t>成立后5</w:t>
      </w:r>
      <w:r>
        <w:rPr>
          <w:rFonts w:hint="eastAsia" w:ascii="楷体" w:hAnsi="楷体" w:eastAsia="楷体" w:cs="楷体"/>
          <w:b/>
          <w:color w:val="000000" w:themeColor="text1"/>
          <w:sz w:val="21"/>
          <w:szCs w:val="18"/>
          <w14:textFill>
            <w14:solidFill>
              <w14:schemeClr w14:val="tx1"/>
            </w14:solidFill>
          </w14:textFill>
        </w:rPr>
        <w:t>个工作日内披露</w:t>
      </w:r>
      <w:r>
        <w:rPr>
          <w:rFonts w:ascii="楷体" w:hAnsi="楷体" w:eastAsia="楷体" w:cs="楷体"/>
          <w:b/>
          <w:color w:val="000000" w:themeColor="text1"/>
          <w:sz w:val="21"/>
          <w:szCs w:val="18"/>
          <w14:textFill>
            <w14:solidFill>
              <w14:schemeClr w14:val="tx1"/>
            </w14:solidFill>
          </w14:textFill>
        </w:rPr>
        <w:t>产品发行公告。</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color w:val="000000" w:themeColor="text1"/>
          <w:sz w:val="21"/>
          <w:szCs w:val="18"/>
          <w14:textFill>
            <w14:solidFill>
              <w14:schemeClr w14:val="tx1"/>
            </w14:solidFill>
          </w14:textFill>
        </w:rPr>
        <w:t>定期报告：</w:t>
      </w:r>
      <w:r>
        <w:rPr>
          <w:rFonts w:hint="eastAsia" w:ascii="楷体" w:hAnsi="楷体" w:eastAsia="楷体" w:cs="楷体"/>
          <w:b/>
          <w:sz w:val="21"/>
          <w:szCs w:val="21"/>
        </w:rPr>
        <w:t>在每个季度结束之日起15</w:t>
      </w:r>
      <w:r>
        <w:rPr>
          <w:rFonts w:hint="eastAsia" w:ascii="楷体" w:hAnsi="楷体" w:eastAsia="楷体" w:cs="楷体"/>
          <w:b/>
          <w:sz w:val="21"/>
          <w:szCs w:val="18"/>
        </w:rPr>
        <w:t>个工作</w:t>
      </w:r>
      <w:r>
        <w:rPr>
          <w:rFonts w:hint="eastAsia" w:ascii="楷体" w:hAnsi="楷体" w:eastAsia="楷体" w:cs="楷体"/>
          <w:b/>
          <w:sz w:val="21"/>
          <w:szCs w:val="21"/>
        </w:rPr>
        <w:t>日内、上半年结束之日起60</w:t>
      </w:r>
      <w:r>
        <w:rPr>
          <w:rFonts w:hint="eastAsia" w:ascii="楷体" w:hAnsi="楷体" w:eastAsia="楷体" w:cs="楷体"/>
          <w:b/>
          <w:sz w:val="21"/>
          <w:szCs w:val="18"/>
        </w:rPr>
        <w:t>个工作</w:t>
      </w:r>
      <w:r>
        <w:rPr>
          <w:rFonts w:hint="eastAsia" w:ascii="楷体" w:hAnsi="楷体" w:eastAsia="楷体" w:cs="楷体"/>
          <w:b/>
          <w:sz w:val="21"/>
          <w:szCs w:val="21"/>
        </w:rPr>
        <w:t>日内、每年结束之日起90</w:t>
      </w:r>
      <w:r>
        <w:rPr>
          <w:rFonts w:hint="eastAsia" w:ascii="楷体" w:hAnsi="楷体" w:eastAsia="楷体" w:cs="楷体"/>
          <w:b/>
          <w:sz w:val="21"/>
          <w:szCs w:val="18"/>
        </w:rPr>
        <w:t>个工作</w:t>
      </w:r>
      <w:r>
        <w:rPr>
          <w:rFonts w:hint="eastAsia" w:ascii="楷体" w:hAnsi="楷体" w:eastAsia="楷体" w:cs="楷体"/>
          <w:b/>
          <w:sz w:val="21"/>
          <w:szCs w:val="21"/>
        </w:rPr>
        <w:t>日内，披露理财产品的季度、半年和年度报告等定期报告</w:t>
      </w:r>
      <w:r>
        <w:rPr>
          <w:rFonts w:ascii="楷体" w:hAnsi="楷体" w:eastAsia="楷体" w:cs="楷体"/>
          <w:b/>
          <w:sz w:val="21"/>
          <w:szCs w:val="21"/>
        </w:rPr>
        <w:t>。</w:t>
      </w:r>
      <w:r>
        <w:rPr>
          <w:rFonts w:hint="eastAsia" w:ascii="楷体" w:hAnsi="楷体" w:eastAsia="楷体" w:cs="楷体"/>
          <w:b/>
          <w:sz w:val="21"/>
          <w:szCs w:val="18"/>
        </w:rPr>
        <w:t>理财产品成立不足90个工作日或者剩余存续期不超过90个工作日的，产品管理人可以不编制理财产品当期的季度、半年和年度报告。</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到期</w:t>
      </w:r>
      <w:r>
        <w:rPr>
          <w:rFonts w:ascii="楷体" w:hAnsi="楷体" w:eastAsia="楷体" w:cs="楷体"/>
          <w:b/>
          <w:sz w:val="21"/>
          <w:szCs w:val="18"/>
        </w:rPr>
        <w:t>公告：</w:t>
      </w:r>
      <w:r>
        <w:rPr>
          <w:rFonts w:hint="eastAsia" w:ascii="楷体" w:hAnsi="楷体" w:eastAsia="楷体" w:cs="楷体"/>
          <w:b/>
          <w:sz w:val="21"/>
          <w:szCs w:val="18"/>
        </w:rPr>
        <w:t>在产品终止后5个</w:t>
      </w:r>
      <w:r>
        <w:rPr>
          <w:rFonts w:ascii="楷体" w:hAnsi="楷体" w:eastAsia="楷体" w:cs="楷体"/>
          <w:b/>
          <w:sz w:val="21"/>
          <w:szCs w:val="18"/>
        </w:rPr>
        <w:t>工作</w:t>
      </w:r>
      <w:r>
        <w:rPr>
          <w:rFonts w:hint="eastAsia" w:ascii="楷体" w:hAnsi="楷体" w:eastAsia="楷体" w:cs="楷体"/>
          <w:b/>
          <w:sz w:val="21"/>
          <w:szCs w:val="18"/>
        </w:rPr>
        <w:t>日内披露产品</w:t>
      </w:r>
      <w:r>
        <w:rPr>
          <w:rFonts w:ascii="楷体" w:hAnsi="楷体" w:eastAsia="楷体" w:cs="楷体"/>
          <w:b/>
          <w:sz w:val="21"/>
          <w:szCs w:val="18"/>
        </w:rPr>
        <w:t>到期公告。</w:t>
      </w:r>
    </w:p>
    <w:p>
      <w:pPr>
        <w:pStyle w:val="10"/>
        <w:widowControl w:val="0"/>
        <w:numPr>
          <w:ilvl w:val="0"/>
          <w:numId w:val="29"/>
        </w:numPr>
        <w:tabs>
          <w:tab w:val="left" w:pos="1080"/>
        </w:tabs>
        <w:overflowPunct w:val="0"/>
        <w:topLinePunct/>
        <w:autoSpaceDE w:val="0"/>
        <w:autoSpaceDN w:val="0"/>
        <w:spacing w:before="0" w:beforeAutospacing="0" w:after="0" w:afterAutospacing="0"/>
        <w:ind w:right="-108"/>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重大事项</w:t>
      </w:r>
      <w:r>
        <w:rPr>
          <w:rFonts w:ascii="楷体" w:hAnsi="楷体" w:eastAsia="楷体" w:cs="楷体"/>
          <w:b/>
          <w:color w:val="000000" w:themeColor="text1"/>
          <w:sz w:val="21"/>
          <w:szCs w:val="18"/>
          <w14:textFill>
            <w14:solidFill>
              <w14:schemeClr w14:val="tx1"/>
            </w14:solidFill>
          </w14:textFill>
        </w:rPr>
        <w:t>公告：</w:t>
      </w:r>
      <w:r>
        <w:rPr>
          <w:rFonts w:hint="eastAsia" w:ascii="楷体" w:hAnsi="楷体" w:eastAsia="楷体" w:cs="楷体"/>
          <w:b/>
          <w:color w:val="000000" w:themeColor="text1"/>
          <w:sz w:val="21"/>
          <w:szCs w:val="18"/>
          <w14:textFill>
            <w14:solidFill>
              <w14:schemeClr w14:val="tx1"/>
            </w14:solidFill>
          </w14:textFill>
        </w:rPr>
        <w:t>在</w:t>
      </w:r>
      <w:r>
        <w:rPr>
          <w:rFonts w:ascii="楷体" w:hAnsi="楷体" w:eastAsia="楷体" w:cs="楷体"/>
          <w:b/>
          <w:color w:val="000000" w:themeColor="text1"/>
          <w:sz w:val="21"/>
          <w:szCs w:val="18"/>
          <w14:textFill>
            <w14:solidFill>
              <w14:schemeClr w14:val="tx1"/>
            </w14:solidFill>
          </w14:textFill>
        </w:rPr>
        <w:t>产品重大事项发生后的</w:t>
      </w:r>
      <w:r>
        <w:rPr>
          <w:rFonts w:hint="eastAsia" w:ascii="楷体" w:hAnsi="楷体" w:eastAsia="楷体" w:cs="楷体"/>
          <w:b/>
          <w:color w:val="000000" w:themeColor="text1"/>
          <w:sz w:val="21"/>
          <w:szCs w:val="18"/>
          <w14:textFill>
            <w14:solidFill>
              <w14:schemeClr w14:val="tx1"/>
            </w14:solidFill>
          </w14:textFill>
        </w:rPr>
        <w:t>2个</w:t>
      </w:r>
      <w:r>
        <w:rPr>
          <w:rFonts w:ascii="楷体" w:hAnsi="楷体" w:eastAsia="楷体" w:cs="楷体"/>
          <w:b/>
          <w:color w:val="000000" w:themeColor="text1"/>
          <w:sz w:val="21"/>
          <w:szCs w:val="18"/>
          <w14:textFill>
            <w14:solidFill>
              <w14:schemeClr w14:val="tx1"/>
            </w14:solidFill>
          </w14:textFill>
        </w:rPr>
        <w:t>工作日内</w:t>
      </w:r>
      <w:r>
        <w:rPr>
          <w:rFonts w:hint="eastAsia" w:ascii="楷体" w:hAnsi="楷体" w:eastAsia="楷体" w:cs="楷体"/>
          <w:b/>
          <w:color w:val="000000" w:themeColor="text1"/>
          <w:sz w:val="21"/>
          <w:szCs w:val="18"/>
          <w14:textFill>
            <w14:solidFill>
              <w14:schemeClr w14:val="tx1"/>
            </w14:solidFill>
          </w14:textFill>
        </w:rPr>
        <w:t>披露重大</w:t>
      </w:r>
      <w:r>
        <w:rPr>
          <w:rFonts w:ascii="楷体" w:hAnsi="楷体" w:eastAsia="楷体" w:cs="楷体"/>
          <w:b/>
          <w:color w:val="000000" w:themeColor="text1"/>
          <w:sz w:val="21"/>
          <w:szCs w:val="18"/>
          <w14:textFill>
            <w14:solidFill>
              <w14:schemeClr w14:val="tx1"/>
            </w14:solidFill>
          </w14:textFill>
        </w:rPr>
        <w:t>事项</w:t>
      </w:r>
      <w:r>
        <w:rPr>
          <w:rFonts w:hint="eastAsia" w:ascii="楷体" w:hAnsi="楷体" w:eastAsia="楷体" w:cs="楷体"/>
          <w:b/>
          <w:color w:val="000000" w:themeColor="text1"/>
          <w:sz w:val="21"/>
          <w:szCs w:val="18"/>
          <w14:textFill>
            <w14:solidFill>
              <w14:schemeClr w14:val="tx1"/>
            </w14:solidFill>
          </w14:textFill>
        </w:rPr>
        <w:t>公告</w:t>
      </w:r>
      <w:r>
        <w:rPr>
          <w:rFonts w:ascii="楷体" w:hAnsi="楷体" w:eastAsia="楷体" w:cs="楷体"/>
          <w:b/>
          <w:color w:val="000000" w:themeColor="text1"/>
          <w:sz w:val="21"/>
          <w:szCs w:val="18"/>
          <w14:textFill>
            <w14:solidFill>
              <w14:schemeClr w14:val="tx1"/>
            </w14:solidFill>
          </w14:textFill>
        </w:rPr>
        <w:t>。产品</w:t>
      </w:r>
      <w:r>
        <w:rPr>
          <w:rFonts w:hint="eastAsia" w:ascii="楷体" w:hAnsi="楷体" w:eastAsia="楷体" w:cs="楷体"/>
          <w:b/>
          <w:color w:val="000000" w:themeColor="text1"/>
          <w:sz w:val="21"/>
          <w:szCs w:val="18"/>
          <w14:textFill>
            <w14:solidFill>
              <w14:schemeClr w14:val="tx1"/>
            </w14:solidFill>
          </w14:textFill>
        </w:rPr>
        <w:t>重大事项</w:t>
      </w:r>
      <w:r>
        <w:rPr>
          <w:rFonts w:ascii="楷体" w:hAnsi="楷体" w:eastAsia="楷体" w:cs="楷体"/>
          <w:b/>
          <w:color w:val="000000" w:themeColor="text1"/>
          <w:sz w:val="21"/>
          <w:szCs w:val="18"/>
          <w14:textFill>
            <w14:solidFill>
              <w14:schemeClr w14:val="tx1"/>
            </w14:solidFill>
          </w14:textFill>
        </w:rPr>
        <w:t>包括但不限于如下</w:t>
      </w:r>
      <w:r>
        <w:rPr>
          <w:rFonts w:hint="eastAsia" w:ascii="楷体" w:hAnsi="楷体" w:eastAsia="楷体" w:cs="楷体"/>
          <w:b/>
          <w:color w:val="000000" w:themeColor="text1"/>
          <w:sz w:val="21"/>
          <w:szCs w:val="18"/>
          <w14:textFill>
            <w14:solidFill>
              <w14:schemeClr w14:val="tx1"/>
            </w14:solidFill>
          </w14:textFill>
        </w:rPr>
        <w:t>事件</w:t>
      </w:r>
      <w:r>
        <w:rPr>
          <w:rFonts w:ascii="楷体" w:hAnsi="楷体" w:eastAsia="楷体" w:cs="楷体"/>
          <w:b/>
          <w:color w:val="000000" w:themeColor="text1"/>
          <w:sz w:val="21"/>
          <w:szCs w:val="18"/>
          <w14:textFill>
            <w14:solidFill>
              <w14:schemeClr w14:val="tx1"/>
            </w14:solidFill>
          </w14:textFill>
        </w:rPr>
        <w:t>：</w:t>
      </w:r>
    </w:p>
    <w:p>
      <w:pPr>
        <w:pStyle w:val="10"/>
        <w:widowControl w:val="0"/>
        <w:overflowPunct w:val="0"/>
        <w:topLinePunct/>
        <w:autoSpaceDE w:val="0"/>
        <w:autoSpaceDN w:val="0"/>
        <w:spacing w:before="0" w:beforeAutospacing="0" w:after="0" w:afterAutospacing="0"/>
        <w:ind w:firstLine="424" w:firstLineChars="201"/>
        <w:jc w:val="both"/>
        <w:rPr>
          <w:rFonts w:ascii="楷体" w:hAnsi="楷体" w:eastAsia="楷体" w:cs="楷体"/>
          <w:b/>
          <w:sz w:val="21"/>
          <w:szCs w:val="18"/>
        </w:rPr>
      </w:pPr>
      <w:r>
        <w:rPr>
          <w:rFonts w:hint="eastAsia" w:ascii="楷体" w:hAnsi="楷体" w:eastAsia="楷体" w:cs="楷体"/>
          <w:b/>
          <w:sz w:val="21"/>
          <w:szCs w:val="18"/>
        </w:rPr>
        <w:t>（1）理财产品所投资资产对投资者权益或投资收益等产生重大影响的突发事件；</w:t>
      </w:r>
    </w:p>
    <w:p>
      <w:pPr>
        <w:pStyle w:val="10"/>
        <w:widowControl w:val="0"/>
        <w:overflowPunct w:val="0"/>
        <w:topLinePunct/>
        <w:autoSpaceDE w:val="0"/>
        <w:autoSpaceDN w:val="0"/>
        <w:spacing w:before="0" w:beforeAutospacing="0" w:after="0" w:afterAutospacing="0"/>
        <w:ind w:firstLine="424" w:firstLineChars="201"/>
        <w:jc w:val="both"/>
        <w:rPr>
          <w:rFonts w:ascii="楷体" w:hAnsi="楷体" w:eastAsia="楷体" w:cs="楷体"/>
          <w:b/>
          <w:sz w:val="21"/>
          <w:szCs w:val="18"/>
        </w:rPr>
      </w:pPr>
      <w:r>
        <w:rPr>
          <w:rFonts w:hint="eastAsia" w:ascii="楷体" w:hAnsi="楷体" w:eastAsia="楷体" w:cs="楷体"/>
          <w:b/>
          <w:sz w:val="21"/>
          <w:szCs w:val="18"/>
        </w:rPr>
        <w:t>（</w:t>
      </w:r>
      <w:r>
        <w:rPr>
          <w:rFonts w:ascii="楷体" w:hAnsi="楷体" w:eastAsia="楷体" w:cs="楷体"/>
          <w:b/>
          <w:sz w:val="21"/>
          <w:szCs w:val="18"/>
        </w:rPr>
        <w:t>2</w:t>
      </w:r>
      <w:r>
        <w:rPr>
          <w:rFonts w:hint="eastAsia" w:ascii="楷体" w:hAnsi="楷体" w:eastAsia="楷体" w:cs="楷体"/>
          <w:b/>
          <w:sz w:val="21"/>
          <w:szCs w:val="18"/>
        </w:rPr>
        <w:t>）金融市场发生重大变化导致理财产品投资比例暂时超出浮动区间且可能对理财产品收益产生重大影响的；</w:t>
      </w:r>
    </w:p>
    <w:p>
      <w:pPr>
        <w:pStyle w:val="10"/>
        <w:widowControl w:val="0"/>
        <w:overflowPunct w:val="0"/>
        <w:topLinePunct/>
        <w:autoSpaceDE w:val="0"/>
        <w:autoSpaceDN w:val="0"/>
        <w:spacing w:before="0" w:beforeAutospacing="0" w:after="0" w:afterAutospacing="0"/>
        <w:ind w:firstLine="424" w:firstLineChars="201"/>
        <w:jc w:val="both"/>
        <w:rPr>
          <w:rFonts w:ascii="楷体" w:hAnsi="楷体" w:eastAsia="楷体" w:cs="楷体"/>
          <w:b/>
          <w:sz w:val="21"/>
          <w:szCs w:val="18"/>
        </w:rPr>
      </w:pPr>
      <w:r>
        <w:rPr>
          <w:rFonts w:hint="eastAsia" w:ascii="楷体" w:hAnsi="楷体" w:eastAsia="楷体" w:cs="楷体"/>
          <w:b/>
          <w:sz w:val="21"/>
          <w:szCs w:val="18"/>
        </w:rPr>
        <w:t>（3）其他可能对理财产品投资者或者理财产品收益产生重大影响的事件。</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净值披露</w:t>
      </w:r>
    </w:p>
    <w:p>
      <w:pPr>
        <w:pStyle w:val="10"/>
        <w:widowControl w:val="0"/>
        <w:overflowPunct w:val="0"/>
        <w:topLinePunct/>
        <w:autoSpaceDE w:val="0"/>
        <w:autoSpaceDN w:val="0"/>
        <w:spacing w:before="0" w:beforeAutospacing="0" w:after="0" w:afterAutospacing="0"/>
        <w:ind w:firstLine="422" w:firstLineChars="20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b/>
          <w:color w:val="000000" w:themeColor="text1"/>
          <w:sz w:val="21"/>
          <w14:textFill>
            <w14:solidFill>
              <w14:schemeClr w14:val="tx1"/>
            </w14:solidFill>
          </w14:textFill>
        </w:rPr>
        <w:t>（1）</w:t>
      </w:r>
      <w:r>
        <w:rPr>
          <w:rFonts w:hint="eastAsia" w:ascii="楷体" w:hAnsi="楷体" w:eastAsia="楷体" w:cs="楷体"/>
          <w:b/>
          <w:color w:val="000000" w:themeColor="text1"/>
          <w:sz w:val="21"/>
          <w:szCs w:val="18"/>
          <w14:textFill>
            <w14:solidFill>
              <w14:schemeClr w14:val="tx1"/>
            </w14:solidFill>
          </w14:textFill>
        </w:rPr>
        <w:t>理财产品管理人在估值日后【</w:t>
      </w:r>
      <w:r>
        <w:rPr>
          <w:rFonts w:ascii="楷体" w:hAnsi="楷体" w:eastAsia="楷体" w:cs="楷体"/>
          <w:b/>
          <w:color w:val="000000" w:themeColor="text1"/>
          <w:sz w:val="21"/>
          <w:szCs w:val="18"/>
          <w14:textFill>
            <w14:solidFill>
              <w14:schemeClr w14:val="tx1"/>
            </w14:solidFill>
          </w14:textFill>
        </w:rPr>
        <w:t>2</w:t>
      </w:r>
      <w:r>
        <w:rPr>
          <w:rFonts w:hint="eastAsia" w:ascii="楷体" w:hAnsi="楷体" w:eastAsia="楷体" w:cs="楷体"/>
          <w:b/>
          <w:color w:val="000000" w:themeColor="text1"/>
          <w:sz w:val="21"/>
          <w:szCs w:val="18"/>
          <w14:textFill>
            <w14:solidFill>
              <w14:schemeClr w14:val="tx1"/>
            </w14:solidFill>
          </w14:textFill>
        </w:rPr>
        <w:t>】个工作日内公布理财产品的份额净值，该份额净值扣除当期应付未付的理财费用，但未扣除超额业绩报酬。</w:t>
      </w:r>
    </w:p>
    <w:p>
      <w:pPr>
        <w:pStyle w:val="10"/>
        <w:widowControl w:val="0"/>
        <w:overflowPunct w:val="0"/>
        <w:topLinePunct/>
        <w:autoSpaceDE w:val="0"/>
        <w:autoSpaceDN w:val="0"/>
        <w:spacing w:before="0" w:beforeAutospacing="0" w:after="0" w:afterAutospacing="0"/>
        <w:ind w:firstLine="420"/>
        <w:jc w:val="both"/>
        <w:rPr>
          <w:rFonts w:ascii="楷体" w:hAnsi="楷体" w:eastAsia="楷体" w:cs="楷体"/>
          <w:b/>
          <w:color w:val="000000" w:themeColor="text1"/>
          <w:sz w:val="21"/>
          <w:szCs w:val="18"/>
          <w14:textFill>
            <w14:solidFill>
              <w14:schemeClr w14:val="tx1"/>
            </w14:solidFill>
          </w14:textFill>
        </w:rPr>
      </w:pPr>
      <w:r>
        <w:rPr>
          <w:rFonts w:ascii="楷体" w:hAnsi="楷体" w:eastAsia="楷体" w:cs="楷体"/>
          <w:b/>
          <w:color w:val="000000" w:themeColor="text1"/>
          <w:sz w:val="21"/>
          <w:szCs w:val="18"/>
          <w14:textFill>
            <w14:solidFill>
              <w14:schemeClr w14:val="tx1"/>
            </w14:solidFill>
          </w14:textFill>
        </w:rPr>
        <w:t>（</w:t>
      </w:r>
      <w:r>
        <w:rPr>
          <w:rFonts w:hint="eastAsia" w:ascii="楷体" w:hAnsi="楷体" w:eastAsia="楷体" w:cs="楷体"/>
          <w:b/>
          <w:color w:val="000000" w:themeColor="text1"/>
          <w:sz w:val="21"/>
          <w:szCs w:val="18"/>
          <w14:textFill>
            <w14:solidFill>
              <w14:schemeClr w14:val="tx1"/>
            </w14:solidFill>
          </w14:textFill>
        </w:rPr>
        <w:t>2）</w:t>
      </w:r>
      <w:r>
        <w:rPr>
          <w:rFonts w:ascii="楷体" w:hAnsi="楷体" w:eastAsia="楷体" w:cs="楷体"/>
          <w:b/>
          <w:color w:val="000000" w:themeColor="text1"/>
          <w:sz w:val="21"/>
          <w:szCs w:val="18"/>
          <w14:textFill>
            <w14:solidFill>
              <w14:schemeClr w14:val="tx1"/>
            </w14:solidFill>
          </w14:textFill>
        </w:rPr>
        <w:t>每个开放日结束后</w:t>
      </w:r>
      <w:r>
        <w:rPr>
          <w:rFonts w:hint="eastAsia" w:ascii="楷体" w:hAnsi="楷体" w:eastAsia="楷体" w:cs="楷体"/>
          <w:b/>
          <w:color w:val="000000" w:themeColor="text1"/>
          <w:sz w:val="21"/>
          <w:szCs w:val="18"/>
          <w14:textFill>
            <w14:solidFill>
              <w14:schemeClr w14:val="tx1"/>
            </w14:solidFill>
          </w14:textFill>
        </w:rPr>
        <w:t>【</w:t>
      </w:r>
      <w:r>
        <w:rPr>
          <w:rFonts w:ascii="楷体" w:hAnsi="楷体" w:eastAsia="楷体" w:cs="楷体"/>
          <w:b/>
          <w:color w:val="000000" w:themeColor="text1"/>
          <w:sz w:val="21"/>
          <w:szCs w:val="18"/>
          <w14:textFill>
            <w14:solidFill>
              <w14:schemeClr w14:val="tx1"/>
            </w14:solidFill>
          </w14:textFill>
        </w:rPr>
        <w:t>2</w:t>
      </w:r>
      <w:r>
        <w:rPr>
          <w:rFonts w:hint="eastAsia" w:ascii="楷体" w:hAnsi="楷体" w:eastAsia="楷体" w:cs="楷体"/>
          <w:b/>
          <w:color w:val="000000" w:themeColor="text1"/>
          <w:sz w:val="21"/>
          <w:szCs w:val="18"/>
          <w14:textFill>
            <w14:solidFill>
              <w14:schemeClr w14:val="tx1"/>
            </w14:solidFill>
          </w14:textFill>
        </w:rPr>
        <w:t>】</w:t>
      </w:r>
      <w:r>
        <w:rPr>
          <w:rFonts w:ascii="楷体" w:hAnsi="楷体" w:eastAsia="楷体" w:cs="楷体"/>
          <w:b/>
          <w:color w:val="000000" w:themeColor="text1"/>
          <w:sz w:val="21"/>
          <w:szCs w:val="18"/>
          <w14:textFill>
            <w14:solidFill>
              <w14:schemeClr w14:val="tx1"/>
            </w14:solidFill>
          </w14:textFill>
        </w:rPr>
        <w:t>个工作日内公告开放日的份额净值、份额累计净值、认购价格和赎回价格。</w:t>
      </w:r>
    </w:p>
    <w:p>
      <w:pPr>
        <w:pStyle w:val="10"/>
        <w:widowControl w:val="0"/>
        <w:overflowPunct w:val="0"/>
        <w:topLinePunct/>
        <w:autoSpaceDE w:val="0"/>
        <w:autoSpaceDN w:val="0"/>
        <w:spacing w:before="0" w:beforeAutospacing="0" w:after="0" w:afterAutospacing="0"/>
        <w:ind w:firstLine="420"/>
        <w:jc w:val="both"/>
        <w:rPr>
          <w:rFonts w:ascii="楷体" w:hAnsi="楷体" w:eastAsia="楷体"/>
          <w:b/>
          <w:color w:val="000000" w:themeColor="text1"/>
          <w:sz w:val="21"/>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（3</w:t>
      </w:r>
      <w:r>
        <w:rPr>
          <w:rFonts w:ascii="楷体" w:hAnsi="楷体" w:eastAsia="楷体"/>
          <w:b/>
          <w:color w:val="000000" w:themeColor="text1"/>
          <w:sz w:val="21"/>
          <w14:textFill>
            <w14:solidFill>
              <w14:schemeClr w14:val="tx1"/>
            </w14:solidFill>
          </w14:textFill>
        </w:rPr>
        <w:t>）</w:t>
      </w:r>
      <w:r>
        <w:rPr>
          <w:rFonts w:hint="eastAsia" w:ascii="楷体" w:hAnsi="楷体" w:eastAsia="楷体"/>
          <w:b/>
          <w:color w:val="000000" w:themeColor="text1"/>
          <w:sz w:val="21"/>
          <w14:textFill>
            <w14:solidFill>
              <w14:schemeClr w14:val="tx1"/>
            </w14:solidFill>
          </w14:textFill>
        </w:rPr>
        <w:t>在定期报告中披露产品在季度、半年和年度最后</w:t>
      </w:r>
      <w:r>
        <w:rPr>
          <w:rFonts w:ascii="楷体" w:hAnsi="楷体" w:eastAsia="楷体"/>
          <w:b/>
          <w:color w:val="000000" w:themeColor="text1"/>
          <w:sz w:val="21"/>
          <w14:textFill>
            <w14:solidFill>
              <w14:schemeClr w14:val="tx1"/>
            </w14:solidFill>
          </w14:textFill>
        </w:rPr>
        <w:t>1</w:t>
      </w:r>
      <w:r>
        <w:rPr>
          <w:rFonts w:hint="eastAsia" w:ascii="楷体" w:hAnsi="楷体" w:eastAsia="楷体"/>
          <w:b/>
          <w:color w:val="000000" w:themeColor="text1"/>
          <w:sz w:val="21"/>
          <w14:textFill>
            <w14:solidFill>
              <w14:schemeClr w14:val="tx1"/>
            </w14:solidFill>
          </w14:textFill>
        </w:rPr>
        <w:t>个市场交易日的份额净值、份额累计净值和资产净值。</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临时报告：以下事项，理财产品管理人应当进行临时报告：</w:t>
      </w:r>
    </w:p>
    <w:p>
      <w:pPr>
        <w:overflowPunct w:val="0"/>
        <w:topLinePunct/>
        <w:autoSpaceDE w:val="0"/>
        <w:autoSpaceDN w:val="0"/>
        <w:ind w:firstLine="422" w:firstLineChars="20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1）如理财产品管理人转换产品运作方式；产品认购期延长；变更投资收益分配事项；管理费、销售服务费、托管费等费用的具体收费项目、条件、计提标准、计提方式和费率发生变更。其中，管理人有权根据市场及产品运作情况调整超额业绩报酬的收费条件、标准和方式，并至少提前</w:t>
      </w:r>
      <w:r>
        <w:rPr>
          <w:rFonts w:ascii="楷体" w:hAnsi="楷体" w:eastAsia="楷体" w:cs="楷体"/>
          <w:b/>
          <w:color w:val="000000" w:themeColor="text1"/>
          <w:kern w:val="0"/>
          <w:szCs w:val="18"/>
          <w14:textFill>
            <w14:solidFill>
              <w14:schemeClr w14:val="tx1"/>
            </w14:solidFill>
          </w14:textFill>
        </w:rPr>
        <w:t>3个工作日事先通过本产品说明书约定的信息披露渠道进行公告。若投资者在公告约定的收费起始日（不含当日）之前已经完成本产品的认购、申购申请，即投资者提出认购、申购申请的日期在公告约定的收费起始日（不含当日）之前，则就该等份额而言不适用超额业绩报酬收取的相关条款；若投资</w:t>
      </w:r>
      <w:r>
        <w:rPr>
          <w:rFonts w:hint="eastAsia" w:ascii="楷体" w:hAnsi="楷体" w:eastAsia="楷体" w:cs="楷体"/>
          <w:b/>
          <w:color w:val="000000" w:themeColor="text1"/>
          <w:kern w:val="0"/>
          <w:szCs w:val="18"/>
          <w14:textFill>
            <w14:solidFill>
              <w14:schemeClr w14:val="tx1"/>
            </w14:solidFill>
          </w14:textFill>
        </w:rPr>
        <w:t>者在公告约定的收费起始日（含当日）后提出认购、申购申请，即投资者申请认购、申购的日期在公告约定的收费起始日（含当日）之后，则仅对此类份额适用超额业绩报酬收取的相关条款，超额业绩报酬的收费条件、标准和方式等要素以管理人公告约定为准。举例：若公告约定的收费起始日为</w:t>
      </w:r>
      <w:r>
        <w:rPr>
          <w:rFonts w:ascii="楷体" w:hAnsi="楷体" w:eastAsia="楷体" w:cs="楷体"/>
          <w:b/>
          <w:color w:val="000000" w:themeColor="text1"/>
          <w:kern w:val="0"/>
          <w:szCs w:val="18"/>
          <w14:textFill>
            <w14:solidFill>
              <w14:schemeClr w14:val="tx1"/>
            </w14:solidFill>
          </w14:textFill>
        </w:rPr>
        <w:t>T日，投资者分别在T日（不含当日）之前申请申购本理财产品份额、T日当日申请追加申购本理财产品份额，则在T日（不含当日）之前申购的理财产品份额不适用超额业绩报酬收取的相关条款，而在T日当日追加申购的理财产品份额适用于超额业绩报酬收取的相关条款。</w:t>
      </w:r>
    </w:p>
    <w:p>
      <w:pPr>
        <w:overflowPunct w:val="0"/>
        <w:topLinePunct/>
        <w:autoSpaceDE w:val="0"/>
        <w:autoSpaceDN w:val="0"/>
        <w:ind w:firstLine="42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（2）如本理财产品变更投资比例范围，理财产品管理人应在变更生效前进行公告；除高风险类型</w:t>
      </w:r>
      <w:r>
        <w:rPr>
          <w:rFonts w:ascii="楷体" w:hAnsi="楷体" w:eastAsia="楷体" w:cs="楷体"/>
          <w:b/>
          <w:color w:val="000000" w:themeColor="text1"/>
          <w:kern w:val="0"/>
          <w:szCs w:val="18"/>
          <w14:textFill>
            <w14:solidFill>
              <w14:schemeClr w14:val="tx1"/>
            </w14:solidFill>
          </w14:textFill>
        </w:rPr>
        <w:t>的理财产品超出比例范围投资较低风险</w:t>
      </w:r>
      <w:r>
        <w:rPr>
          <w:rFonts w:hint="eastAsia" w:ascii="楷体" w:hAnsi="楷体" w:eastAsia="楷体" w:cs="楷体"/>
          <w:b/>
          <w:color w:val="000000" w:themeColor="text1"/>
          <w:kern w:val="0"/>
          <w:szCs w:val="18"/>
          <w14:textFill>
            <w14:solidFill>
              <w14:schemeClr w14:val="tx1"/>
            </w14:solidFill>
          </w14:textFill>
        </w:rPr>
        <w:t>资产外，理财产品管理人还应事先取得投资者书面同意，并履行登记备案等法律法规以及国家金融监督管理部门规定的程序。</w:t>
      </w:r>
    </w:p>
    <w:p>
      <w:pPr>
        <w:overflowPunct w:val="0"/>
        <w:topLinePunct/>
        <w:autoSpaceDE w:val="0"/>
        <w:autoSpaceDN w:val="0"/>
        <w:ind w:firstLine="42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18"/>
          <w14:textFill>
            <w14:solidFill>
              <w14:schemeClr w14:val="tx1"/>
            </w14:solidFill>
          </w14:textFill>
        </w:rPr>
        <w:t>(3）如理财产品提前成立，理财产品管理人将于提前成立日后的第2个工作日发布相关信息公告。</w:t>
      </w:r>
    </w:p>
    <w:p>
      <w:pPr>
        <w:overflowPunct w:val="0"/>
        <w:topLinePunct/>
        <w:autoSpaceDE w:val="0"/>
        <w:autoSpaceDN w:val="0"/>
        <w:ind w:firstLine="420"/>
        <w:rPr>
          <w:rFonts w:ascii="楷体" w:hAnsi="楷体" w:eastAsia="楷体" w:cs="Arial Unicode MS"/>
          <w:b/>
          <w:color w:val="000000" w:themeColor="text1"/>
          <w:kern w:val="0"/>
          <w:szCs w:val="18"/>
          <w:lang w:val="zh-CN"/>
          <w14:textFill>
            <w14:solidFill>
              <w14:schemeClr w14:val="tx1"/>
            </w14:solidFill>
          </w14:textFill>
        </w:rPr>
      </w:pPr>
      <w:r>
        <w:rPr>
          <w:rFonts w:hint="eastAsia" w:ascii="楷体" w:hAnsi="楷体" w:eastAsia="楷体" w:cs="Arial Unicode MS"/>
          <w:b/>
          <w:color w:val="000000" w:themeColor="text1"/>
          <w:kern w:val="0"/>
          <w:szCs w:val="18"/>
          <w:lang w:val="zh-CN"/>
          <w14:textFill>
            <w14:solidFill>
              <w14:schemeClr w14:val="tx1"/>
            </w14:solidFill>
          </w14:textFill>
        </w:rPr>
        <w:t>（</w:t>
      </w:r>
      <w:r>
        <w:rPr>
          <w:rFonts w:hint="eastAsia" w:ascii="楷体" w:hAnsi="楷体" w:eastAsia="楷体" w:cs="Arial Unicode MS"/>
          <w:b/>
          <w:color w:val="000000" w:themeColor="text1"/>
          <w:kern w:val="0"/>
          <w:szCs w:val="18"/>
          <w14:textFill>
            <w14:solidFill>
              <w14:schemeClr w14:val="tx1"/>
            </w14:solidFill>
          </w14:textFill>
        </w:rPr>
        <w:t>4</w:t>
      </w:r>
      <w:r>
        <w:rPr>
          <w:rFonts w:hint="eastAsia" w:ascii="楷体" w:hAnsi="楷体" w:eastAsia="楷体" w:cs="Arial Unicode MS"/>
          <w:b/>
          <w:color w:val="000000" w:themeColor="text1"/>
          <w:kern w:val="0"/>
          <w:szCs w:val="18"/>
          <w:lang w:val="zh-CN"/>
          <w14:textFill>
            <w14:solidFill>
              <w14:schemeClr w14:val="tx1"/>
            </w14:solidFill>
          </w14:textFill>
        </w:rPr>
        <w:t>）如理财产品提前终止，理财产品管理人将至少提前3个工作日发布相关信息公告。</w:t>
      </w:r>
    </w:p>
    <w:p>
      <w:pPr>
        <w:overflowPunct w:val="0"/>
        <w:topLinePunct/>
        <w:autoSpaceDE w:val="0"/>
        <w:autoSpaceDN w:val="0"/>
        <w:ind w:firstLine="42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Arial Unicode MS"/>
          <w:b/>
          <w:color w:val="000000" w:themeColor="text1"/>
          <w:kern w:val="0"/>
          <w:szCs w:val="24"/>
          <w14:textFill>
            <w14:solidFill>
              <w14:schemeClr w14:val="tx1"/>
            </w14:solidFill>
          </w14:textFill>
        </w:rPr>
        <w:t>（5）</w:t>
      </w:r>
      <w:r>
        <w:rPr>
          <w:rFonts w:ascii="楷体" w:hAnsi="楷体" w:eastAsia="楷体" w:cs="楷体"/>
          <w:b/>
          <w:color w:val="000000" w:themeColor="text1"/>
          <w:kern w:val="0"/>
          <w:szCs w:val="18"/>
          <w14:textFill>
            <w14:solidFill>
              <w14:schemeClr w14:val="tx1"/>
            </w14:solidFill>
          </w14:textFill>
        </w:rPr>
        <w:t>如理财产品变更托管人、注册登记机构；理财产品所投资的资金信托变更受托人或投资顾问。</w:t>
      </w:r>
    </w:p>
    <w:p>
      <w:pPr>
        <w:overflowPunct w:val="0"/>
        <w:topLinePunct/>
        <w:autoSpaceDE w:val="0"/>
        <w:autoSpaceDN w:val="0"/>
        <w:ind w:firstLine="420"/>
        <w:rPr>
          <w:rFonts w:ascii="楷体" w:hAnsi="楷体" w:eastAsia="楷体" w:cs="Arial Unicode MS"/>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（6</w:t>
      </w:r>
      <w:r>
        <w:rPr>
          <w:rFonts w:ascii="楷体" w:hAnsi="楷体" w:eastAsia="楷体" w:cs="楷体"/>
          <w:b/>
          <w:color w:val="000000" w:themeColor="text1"/>
          <w:kern w:val="0"/>
          <w:szCs w:val="18"/>
          <w14:textFill>
            <w14:solidFill>
              <w14:schemeClr w14:val="tx1"/>
            </w14:solidFill>
          </w14:textFill>
        </w:rPr>
        <w:t>）如理财产品管理人决定进行收益分配，将至少</w:t>
      </w:r>
      <w:r>
        <w:rPr>
          <w:rFonts w:hint="eastAsia" w:ascii="楷体" w:hAnsi="楷体" w:eastAsia="楷体" w:cs="楷体"/>
          <w:b/>
          <w:color w:val="000000" w:themeColor="text1"/>
          <w:kern w:val="0"/>
          <w:szCs w:val="18"/>
          <w14:textFill>
            <w14:solidFill>
              <w14:schemeClr w14:val="tx1"/>
            </w14:solidFill>
          </w14:textFill>
        </w:rPr>
        <w:t>于产品分配前【2】</w:t>
      </w:r>
      <w:r>
        <w:rPr>
          <w:rFonts w:ascii="楷体" w:hAnsi="楷体" w:eastAsia="楷体" w:cs="楷体"/>
          <w:b/>
          <w:color w:val="000000" w:themeColor="text1"/>
          <w:kern w:val="0"/>
          <w:szCs w:val="18"/>
          <w14:textFill>
            <w14:solidFill>
              <w14:schemeClr w14:val="tx1"/>
            </w14:solidFill>
          </w14:textFill>
        </w:rPr>
        <w:t>个</w:t>
      </w:r>
      <w:r>
        <w:rPr>
          <w:rFonts w:hint="eastAsia" w:ascii="楷体" w:hAnsi="楷体" w:eastAsia="楷体" w:cs="楷体"/>
          <w:b/>
          <w:color w:val="000000" w:themeColor="text1"/>
          <w:kern w:val="0"/>
          <w:szCs w:val="18"/>
          <w14:textFill>
            <w14:solidFill>
              <w14:schemeClr w14:val="tx1"/>
            </w14:solidFill>
          </w14:textFill>
        </w:rPr>
        <w:t>工作日</w:t>
      </w:r>
      <w:r>
        <w:rPr>
          <w:rFonts w:ascii="楷体" w:hAnsi="楷体" w:eastAsia="楷体" w:cs="楷体"/>
          <w:b/>
          <w:color w:val="000000" w:themeColor="text1"/>
          <w:kern w:val="0"/>
          <w:szCs w:val="18"/>
          <w14:textFill>
            <w14:solidFill>
              <w14:schemeClr w14:val="tx1"/>
            </w14:solidFill>
          </w14:textFill>
        </w:rPr>
        <w:t>发布相关信息公告</w:t>
      </w:r>
      <w:r>
        <w:rPr>
          <w:rFonts w:hint="eastAsia" w:ascii="楷体" w:hAnsi="楷体" w:eastAsia="楷体" w:cs="楷体"/>
          <w:b/>
          <w:color w:val="000000" w:themeColor="text1"/>
          <w:kern w:val="0"/>
          <w:szCs w:val="18"/>
          <w14:textFill>
            <w14:solidFill>
              <w14:schemeClr w14:val="tx1"/>
            </w14:solidFill>
          </w14:textFill>
        </w:rPr>
        <w:t>。</w:t>
      </w:r>
    </w:p>
    <w:p>
      <w:pPr>
        <w:pStyle w:val="40"/>
        <w:numPr>
          <w:ilvl w:val="255"/>
          <w:numId w:val="0"/>
        </w:numPr>
        <w:overflowPunct w:val="0"/>
        <w:topLinePunct/>
        <w:autoSpaceDE w:val="0"/>
        <w:autoSpaceDN w:val="0"/>
        <w:ind w:left="420"/>
        <w:rPr>
          <w:rFonts w:ascii="楷体" w:hAnsi="楷体" w:eastAsia="楷体" w:cs="楷体"/>
          <w:b/>
          <w:color w:val="000000" w:themeColor="text1"/>
          <w:kern w:val="0"/>
          <w:szCs w:val="18"/>
          <w14:textFill>
            <w14:solidFill>
              <w14:schemeClr w14:val="tx1"/>
            </w14:solidFill>
          </w14:textFill>
        </w:rPr>
      </w:pPr>
      <w:r>
        <w:rPr>
          <w:rFonts w:hint="eastAsia" w:ascii="楷体" w:hAnsi="楷体" w:eastAsia="楷体" w:cs="楷体"/>
          <w:b/>
          <w:color w:val="000000" w:themeColor="text1"/>
          <w:kern w:val="0"/>
          <w:szCs w:val="18"/>
          <w14:textFill>
            <w14:solidFill>
              <w14:schemeClr w14:val="tx1"/>
            </w14:solidFill>
          </w14:textFill>
        </w:rPr>
        <w:t>（7）如产品成立</w:t>
      </w:r>
      <w:r>
        <w:rPr>
          <w:rFonts w:ascii="楷体" w:hAnsi="楷体" w:eastAsia="楷体" w:cs="楷体"/>
          <w:b/>
          <w:color w:val="000000" w:themeColor="text1"/>
          <w:kern w:val="0"/>
          <w:szCs w:val="18"/>
          <w14:textFill>
            <w14:solidFill>
              <w14:schemeClr w14:val="tx1"/>
            </w14:solidFill>
          </w14:textFill>
        </w:rPr>
        <w:t>后</w:t>
      </w:r>
      <w:r>
        <w:rPr>
          <w:rFonts w:hint="eastAsia" w:ascii="楷体" w:hAnsi="楷体" w:eastAsia="楷体" w:cs="楷体"/>
          <w:b/>
          <w:color w:val="000000" w:themeColor="text1"/>
          <w:kern w:val="0"/>
          <w:szCs w:val="18"/>
          <w14:textFill>
            <w14:solidFill>
              <w14:schemeClr w14:val="tx1"/>
            </w14:solidFill>
          </w14:textFill>
        </w:rPr>
        <w:t>调整</w:t>
      </w:r>
      <w:r>
        <w:rPr>
          <w:rFonts w:ascii="楷体" w:hAnsi="楷体" w:eastAsia="楷体" w:cs="楷体"/>
          <w:b/>
          <w:color w:val="000000" w:themeColor="text1"/>
          <w:kern w:val="0"/>
          <w:szCs w:val="18"/>
          <w14:textFill>
            <w14:solidFill>
              <w14:schemeClr w14:val="tx1"/>
            </w14:solidFill>
          </w14:textFill>
        </w:rPr>
        <w:t>相关要素，将</w:t>
      </w:r>
      <w:r>
        <w:rPr>
          <w:rFonts w:hint="eastAsia" w:ascii="楷体" w:hAnsi="楷体" w:eastAsia="楷体" w:cs="楷体"/>
          <w:b/>
          <w:color w:val="000000" w:themeColor="text1"/>
          <w:kern w:val="0"/>
          <w:szCs w:val="18"/>
          <w14:textFill>
            <w14:solidFill>
              <w14:schemeClr w14:val="tx1"/>
            </w14:solidFill>
          </w14:textFill>
        </w:rPr>
        <w:t>事先</w:t>
      </w:r>
      <w:r>
        <w:rPr>
          <w:rFonts w:ascii="楷体" w:hAnsi="楷体" w:eastAsia="楷体" w:cs="楷体"/>
          <w:b/>
          <w:color w:val="000000" w:themeColor="text1"/>
          <w:kern w:val="0"/>
          <w:szCs w:val="18"/>
          <w14:textFill>
            <w14:solidFill>
              <w14:schemeClr w14:val="tx1"/>
            </w14:solidFill>
          </w14:textFill>
        </w:rPr>
        <w:t>公告。</w:t>
      </w:r>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bookmarkStart w:id="1" w:name="_Hlk103015335"/>
      <w:r>
        <w:rPr>
          <w:rFonts w:hint="eastAsia" w:ascii="楷体" w:hAnsi="楷体" w:eastAsia="楷体" w:cs="楷体"/>
          <w:b/>
          <w:sz w:val="21"/>
          <w:szCs w:val="18"/>
        </w:rPr>
        <w:t>如本</w:t>
      </w:r>
      <w:r>
        <w:rPr>
          <w:rFonts w:ascii="楷体" w:hAnsi="楷体" w:eastAsia="楷体" w:cs="楷体"/>
          <w:b/>
          <w:sz w:val="21"/>
          <w:szCs w:val="18"/>
        </w:rPr>
        <w:t>理财产品终止后的清算期超过5</w:t>
      </w:r>
      <w:r>
        <w:rPr>
          <w:rFonts w:hint="eastAsia" w:ascii="楷体" w:hAnsi="楷体" w:eastAsia="楷体" w:cs="楷体"/>
          <w:b/>
          <w:sz w:val="21"/>
          <w:szCs w:val="18"/>
        </w:rPr>
        <w:t>个工作</w:t>
      </w:r>
      <w:r>
        <w:rPr>
          <w:rFonts w:ascii="楷体" w:hAnsi="楷体" w:eastAsia="楷体" w:cs="楷体"/>
          <w:b/>
          <w:sz w:val="21"/>
          <w:szCs w:val="18"/>
        </w:rPr>
        <w:t>日的，</w:t>
      </w:r>
      <w:r>
        <w:rPr>
          <w:rFonts w:hint="eastAsia" w:ascii="楷体" w:hAnsi="楷体" w:eastAsia="楷体" w:cs="楷体"/>
          <w:b/>
          <w:sz w:val="21"/>
          <w:szCs w:val="18"/>
        </w:rPr>
        <w:t>理财产品管理人</w:t>
      </w:r>
      <w:r>
        <w:rPr>
          <w:rFonts w:ascii="楷体" w:hAnsi="楷体" w:eastAsia="楷体" w:cs="楷体"/>
          <w:b/>
          <w:sz w:val="21"/>
          <w:szCs w:val="18"/>
        </w:rPr>
        <w:t>应当在</w:t>
      </w:r>
      <w:r>
        <w:rPr>
          <w:rFonts w:hint="eastAsia" w:ascii="楷体" w:hAnsi="楷体" w:eastAsia="楷体" w:cs="楷体"/>
          <w:b/>
          <w:sz w:val="21"/>
          <w:szCs w:val="18"/>
        </w:rPr>
        <w:t>本</w:t>
      </w:r>
      <w:r>
        <w:rPr>
          <w:rFonts w:ascii="楷体" w:hAnsi="楷体" w:eastAsia="楷体" w:cs="楷体"/>
          <w:b/>
          <w:sz w:val="21"/>
          <w:szCs w:val="18"/>
        </w:rPr>
        <w:t>理财产品终止前向投资者进行披露。</w:t>
      </w:r>
      <w:bookmarkEnd w:id="1"/>
    </w:p>
    <w:p>
      <w:pPr>
        <w:pStyle w:val="10"/>
        <w:widowControl w:val="0"/>
        <w:numPr>
          <w:ilvl w:val="0"/>
          <w:numId w:val="29"/>
        </w:numPr>
        <w:overflowPunct w:val="0"/>
        <w:topLinePunct/>
        <w:autoSpaceDE w:val="0"/>
        <w:autoSpaceDN w:val="0"/>
        <w:spacing w:before="0" w:beforeAutospacing="0" w:after="0" w:afterAutospacing="0"/>
        <w:jc w:val="both"/>
        <w:rPr>
          <w:rFonts w:ascii="楷体" w:hAnsi="楷体" w:eastAsia="楷体" w:cs="楷体"/>
          <w:b/>
          <w:sz w:val="21"/>
          <w:szCs w:val="18"/>
        </w:rPr>
      </w:pPr>
      <w:r>
        <w:rPr>
          <w:rFonts w:hint="eastAsia" w:ascii="楷体" w:hAnsi="楷体" w:eastAsia="楷体" w:cs="楷体"/>
          <w:b/>
          <w:sz w:val="21"/>
          <w:szCs w:val="18"/>
        </w:rPr>
        <w:t>其他信息披露：产品管理人根据适用法律法规、监管规定或本说明书约定进行的信息披露。</w:t>
      </w:r>
    </w:p>
    <w:p>
      <w:pPr>
        <w:pStyle w:val="3"/>
        <w:numPr>
          <w:ilvl w:val="0"/>
          <w:numId w:val="28"/>
        </w:numPr>
        <w:ind w:firstLineChars="0"/>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投资者关于信息披露方式的确认</w:t>
      </w:r>
    </w:p>
    <w:p>
      <w:pPr>
        <w:pStyle w:val="10"/>
        <w:widowControl w:val="0"/>
        <w:tabs>
          <w:tab w:val="left" w:pos="1080"/>
        </w:tabs>
        <w:overflowPunct w:val="0"/>
        <w:topLinePunct/>
        <w:autoSpaceDE w:val="0"/>
        <w:autoSpaceDN w:val="0"/>
        <w:spacing w:before="0" w:beforeAutospacing="0" w:after="0" w:afterAutospacing="0"/>
        <w:ind w:right="-108"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投资者购买本理财产品，即表明其确认并同意理财产品管理人可以通过下列方式披露信息：</w:t>
      </w:r>
    </w:p>
    <w:p>
      <w:pPr>
        <w:pStyle w:val="10"/>
        <w:widowControl w:val="0"/>
        <w:tabs>
          <w:tab w:val="left" w:pos="1080"/>
        </w:tabs>
        <w:overflowPunct w:val="0"/>
        <w:topLinePunct/>
        <w:autoSpaceDE w:val="0"/>
        <w:autoSpaceDN w:val="0"/>
        <w:spacing w:before="0" w:beforeAutospacing="0" w:after="0" w:afterAutospacing="0"/>
        <w:ind w:right="-108"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产品管理人通过管理人网站（www.bocwm.cn）、销售机构官方渠道（如官方网站/网上银行/手机银行/营业网点）或行业统一信息披露渠道如中国理财网（www.chinawealth.com.cn）等对本产品进行信息披露（将使用其中一种或多种渠道进行信息披露）。</w:t>
      </w:r>
    </w:p>
    <w:p>
      <w:pPr>
        <w:pStyle w:val="10"/>
        <w:widowControl w:val="0"/>
        <w:tabs>
          <w:tab w:val="left" w:pos="1080"/>
        </w:tabs>
        <w:overflowPunct w:val="0"/>
        <w:topLinePunct/>
        <w:autoSpaceDE w:val="0"/>
        <w:autoSpaceDN w:val="0"/>
        <w:spacing w:before="0" w:beforeAutospacing="0" w:after="0" w:afterAutospacing="0"/>
        <w:ind w:right="-108" w:firstLine="420"/>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投资者应及时、主动通过上述信息披露渠道浏览和阅读上述信息。投资者可在销售机构网站或在销售机构营业网点打印对账信息。如因投资者未及时、主动查询或由于通讯故障、系统故障以及其他不可抗力等因素的影响而产生的（包括但不限于因未及时获知信息而错过资金使用和再投资机会等）全部责任和风险由投资者自行承担。</w:t>
      </w:r>
    </w:p>
    <w:p>
      <w:pPr>
        <w:pStyle w:val="3"/>
        <w:numPr>
          <w:ilvl w:val="0"/>
          <w:numId w:val="28"/>
        </w:numPr>
        <w:ind w:firstLineChars="0"/>
        <w:rPr>
          <w:rFonts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其他需要投资者知晓的事项</w:t>
      </w:r>
    </w:p>
    <w:p>
      <w:pPr>
        <w:pStyle w:val="10"/>
        <w:widowControl w:val="0"/>
        <w:numPr>
          <w:ilvl w:val="0"/>
          <w:numId w:val="30"/>
        </w:numPr>
        <w:tabs>
          <w:tab w:val="left" w:pos="1080"/>
        </w:tabs>
        <w:overflowPunct w:val="0"/>
        <w:topLinePunct/>
        <w:autoSpaceDE w:val="0"/>
        <w:autoSpaceDN w:val="0"/>
        <w:spacing w:before="0" w:beforeAutospacing="0" w:after="0" w:afterAutospacing="0"/>
        <w:ind w:right="-108"/>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理财产品管理人根据适用的法律法规和监管机构要求，向监管机构和/或其他有权机关报送投资者身份信息及投资者持有本产品份额及其变动情况等相关信息。</w:t>
      </w:r>
    </w:p>
    <w:p>
      <w:pPr>
        <w:pStyle w:val="10"/>
        <w:widowControl w:val="0"/>
        <w:numPr>
          <w:ilvl w:val="0"/>
          <w:numId w:val="30"/>
        </w:numPr>
        <w:tabs>
          <w:tab w:val="left" w:pos="1080"/>
        </w:tabs>
        <w:overflowPunct w:val="0"/>
        <w:topLinePunct/>
        <w:autoSpaceDE w:val="0"/>
        <w:autoSpaceDN w:val="0"/>
        <w:spacing w:before="0" w:beforeAutospacing="0" w:after="0" w:afterAutospacing="0"/>
        <w:ind w:right="-108"/>
        <w:jc w:val="both"/>
        <w:rPr>
          <w:rFonts w:ascii="楷体" w:hAnsi="楷体" w:eastAsia="楷体" w:cs="楷体"/>
          <w:b/>
          <w:color w:val="000000" w:themeColor="text1"/>
          <w:sz w:val="21"/>
          <w:szCs w:val="18"/>
          <w14:textFill>
            <w14:solidFill>
              <w14:schemeClr w14:val="tx1"/>
            </w14:solidFill>
          </w14:textFill>
        </w:rPr>
      </w:pPr>
      <w:r>
        <w:rPr>
          <w:rFonts w:hint="eastAsia" w:ascii="楷体" w:hAnsi="楷体" w:eastAsia="楷体" w:cs="楷体"/>
          <w:b/>
          <w:color w:val="000000" w:themeColor="text1"/>
          <w:sz w:val="21"/>
          <w:szCs w:val="18"/>
          <w14:textFill>
            <w14:solidFill>
              <w14:schemeClr w14:val="tx1"/>
            </w14:solidFill>
          </w14:textFill>
        </w:rPr>
        <w:t>理财产品管理人对向监管机构和/或监管机构指定机构报送的相关信息负有保密义务，并在报送信息过程中，采取有效措施确保信息安全与保密。</w:t>
      </w:r>
    </w:p>
    <w:p>
      <w:pPr>
        <w:pStyle w:val="10"/>
        <w:widowControl w:val="0"/>
        <w:overflowPunct w:val="0"/>
        <w:topLinePunct/>
        <w:autoSpaceDE w:val="0"/>
        <w:autoSpaceDN w:val="0"/>
        <w:spacing w:before="0" w:beforeAutospacing="0" w:after="0" w:afterAutospacing="0" w:line="400" w:lineRule="exact"/>
        <w:ind w:right="-110" w:firstLine="422"/>
        <w:rPr>
          <w:rFonts w:ascii="楷体" w:hAnsi="楷体" w:eastAsia="楷体"/>
          <w:b/>
          <w:bCs/>
          <w:color w:val="000000" w:themeColor="text1"/>
          <w:sz w:val="2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托管人</w:t>
      </w:r>
    </w:p>
    <w:p>
      <w:pPr>
        <w:widowControl/>
        <w:numPr>
          <w:ilvl w:val="0"/>
          <w:numId w:val="31"/>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托管人基本信息</w:t>
      </w:r>
    </w:p>
    <w:p>
      <w:pPr>
        <w:numPr>
          <w:ilvl w:val="255"/>
          <w:numId w:val="0"/>
        </w:numPr>
        <w:tabs>
          <w:tab w:val="left" w:pos="1080"/>
        </w:tabs>
        <w:overflowPunct w:val="0"/>
        <w:topLinePunct/>
        <w:autoSpaceDE w:val="0"/>
        <w:autoSpaceDN w:val="0"/>
        <w:ind w:right="-108"/>
        <w:rPr>
          <w:rFonts w:ascii="楷体" w:hAnsi="楷体" w:eastAsia="楷体" w:cs="楷体"/>
          <w:color w:val="000000" w:themeColor="text1"/>
          <w:kern w:val="0"/>
          <w:szCs w:val="18"/>
          <w14:textFill>
            <w14:solidFill>
              <w14:schemeClr w14:val="tx1"/>
            </w14:solidFill>
          </w14:textFill>
        </w:rPr>
      </w:pPr>
      <w:r>
        <w:rPr>
          <w:rFonts w:hint="eastAsia" w:ascii="楷体" w:hAnsi="楷体" w:eastAsia="楷体" w:cs="楷体"/>
          <w:color w:val="000000" w:themeColor="text1"/>
          <w:kern w:val="0"/>
          <w:szCs w:val="18"/>
          <w14:textFill>
            <w14:solidFill>
              <w14:schemeClr w14:val="tx1"/>
            </w14:solidFill>
          </w14:textFill>
        </w:rPr>
        <w:t xml:space="preserve">    托管人：中信银行股份有限公司</w:t>
      </w:r>
      <w:r>
        <w:rPr>
          <w:rFonts w:hint="eastAsia" w:ascii="楷体" w:hAnsi="楷体" w:eastAsia="楷体" w:cs="楷体"/>
          <w:color w:val="000000" w:themeColor="text1"/>
          <w:kern w:val="0"/>
          <w:szCs w:val="18"/>
          <w14:textFill>
            <w14:solidFill>
              <w14:schemeClr w14:val="tx1"/>
            </w14:solidFill>
          </w14:textFill>
        </w:rPr>
        <w:br w:type="textWrapping"/>
      </w:r>
      <w:r>
        <w:rPr>
          <w:rFonts w:hint="eastAsia" w:ascii="楷体" w:hAnsi="楷体" w:eastAsia="楷体" w:cs="楷体"/>
          <w:color w:val="000000" w:themeColor="text1"/>
          <w:kern w:val="0"/>
          <w:szCs w:val="18"/>
          <w14:textFill>
            <w14:solidFill>
              <w14:schemeClr w14:val="tx1"/>
            </w14:solidFill>
          </w14:textFill>
        </w:rPr>
        <w:t xml:space="preserve">    注册地址：北京市朝阳区光华路10号院1号楼6-30层、32-42层</w:t>
      </w:r>
    </w:p>
    <w:p>
      <w:pPr>
        <w:widowControl/>
        <w:numPr>
          <w:ilvl w:val="0"/>
          <w:numId w:val="31"/>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托管人职责</w:t>
      </w:r>
    </w:p>
    <w:p>
      <w:pPr>
        <w:numPr>
          <w:ilvl w:val="255"/>
          <w:numId w:val="0"/>
        </w:numPr>
        <w:tabs>
          <w:tab w:val="left" w:pos="1080"/>
        </w:tabs>
        <w:overflowPunct w:val="0"/>
        <w:topLinePunct/>
        <w:autoSpaceDE w:val="0"/>
        <w:autoSpaceDN w:val="0"/>
        <w:ind w:left="400" w:right="-108"/>
        <w:rPr>
          <w:rFonts w:ascii="楷体" w:hAnsi="楷体" w:eastAsia="楷体" w:cs="楷体"/>
          <w:color w:val="000000" w:themeColor="text1"/>
          <w:kern w:val="0"/>
          <w:szCs w:val="18"/>
          <w14:textFill>
            <w14:solidFill>
              <w14:schemeClr w14:val="tx1"/>
            </w14:solidFill>
          </w14:textFill>
        </w:rPr>
      </w:pPr>
      <w:r>
        <w:rPr>
          <w:rFonts w:hint="eastAsia" w:ascii="楷体" w:hAnsi="楷体" w:eastAsia="楷体" w:cs="楷体"/>
          <w:color w:val="000000" w:themeColor="text1"/>
          <w:kern w:val="0"/>
          <w:szCs w:val="18"/>
          <w14:textFill>
            <w14:solidFill>
              <w14:schemeClr w14:val="tx1"/>
            </w14:solidFill>
          </w14:textFill>
        </w:rPr>
        <w:t>本理财产品托管人应当履行下列职责，确保实现实质性独立托管：</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安全保管理财产品财产；</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为每只理财产品开设独立的托管账户，不同托管账户中的资产应当相互独立；</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按照托管协议约定和理财产品管理人的投资指令，及时办理清算、交割事宜；</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建立与理财产品管理人的对账机制，复核、审查理财产品资金头寸、资产账目、资产净值、认购和赎回价格等数据，及时核查认购、赎回以及投资资金的支付和到账情况；</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监督理财产品投资运作，发现理财产品违反法律、行政法规、规章规定或合同约定进行投资的，应当拒绝执行，及时通知理财产品管理人并报告银行业监督管理机构；</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理财托管业务活动的记录、账册、报表和其他相关资料保存15年以上；</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对理财产品投资信息和相关资料承担保密责任，除法律、行政法规、规章规定、审计要求或者合同约定外，不得向任何机构或者个人提供相关信息和资料；</w:t>
      </w:r>
    </w:p>
    <w:p>
      <w:pPr>
        <w:pStyle w:val="10"/>
        <w:widowControl w:val="0"/>
        <w:numPr>
          <w:ilvl w:val="0"/>
          <w:numId w:val="32"/>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国务院银行业监督管理机构规定的其他职责。</w:t>
      </w:r>
    </w:p>
    <w:p>
      <w:pPr>
        <w:pStyle w:val="10"/>
        <w:widowControl w:val="0"/>
        <w:numPr>
          <w:ilvl w:val="255"/>
          <w:numId w:val="0"/>
        </w:numPr>
        <w:tabs>
          <w:tab w:val="left" w:pos="1080"/>
        </w:tabs>
        <w:overflowPunct w:val="0"/>
        <w:topLinePunct/>
        <w:autoSpaceDE w:val="0"/>
        <w:autoSpaceDN w:val="0"/>
        <w:spacing w:before="0" w:beforeAutospacing="0" w:after="0" w:afterAutospacing="0"/>
        <w:ind w:left="400" w:right="-108"/>
        <w:jc w:val="both"/>
        <w:rPr>
          <w:rFonts w:ascii="楷体" w:hAnsi="楷体" w:eastAsia="楷体"/>
          <w:color w:val="000000" w:themeColor="text1"/>
          <w14:textFill>
            <w14:solidFill>
              <w14:schemeClr w14:val="tx1"/>
            </w14:solidFill>
          </w14:textFill>
        </w:rPr>
      </w:pPr>
    </w:p>
    <w:p>
      <w:pPr>
        <w:pStyle w:val="2"/>
        <w:numPr>
          <w:ilvl w:val="0"/>
          <w:numId w:val="2"/>
        </w:numPr>
        <w:ind w:firstLine="0" w:firstLineChars="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销售机构</w:t>
      </w:r>
    </w:p>
    <w:p>
      <w:pPr>
        <w:widowControl/>
        <w:numPr>
          <w:ilvl w:val="0"/>
          <w:numId w:val="33"/>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销售机构基本信息</w:t>
      </w:r>
    </w:p>
    <w:p>
      <w:pPr>
        <w:numPr>
          <w:ilvl w:val="255"/>
          <w:numId w:val="0"/>
        </w:numPr>
        <w:tabs>
          <w:tab w:val="left" w:pos="1080"/>
        </w:tabs>
        <w:overflowPunct w:val="0"/>
        <w:topLinePunct/>
        <w:autoSpaceDE w:val="0"/>
        <w:autoSpaceDN w:val="0"/>
        <w:ind w:right="-108"/>
        <w:rPr>
          <w:rFonts w:ascii="楷体" w:hAnsi="楷体" w:eastAsia="楷体" w:cs="楷体"/>
          <w:color w:val="000000" w:themeColor="text1"/>
          <w:kern w:val="0"/>
          <w:szCs w:val="18"/>
          <w14:textFill>
            <w14:solidFill>
              <w14:schemeClr w14:val="tx1"/>
            </w14:solidFill>
          </w14:textFill>
        </w:rPr>
      </w:pPr>
      <w:r>
        <w:rPr>
          <w:rFonts w:hint="eastAsia" w:ascii="楷体" w:hAnsi="楷体" w:eastAsia="楷体" w:cs="楷体"/>
          <w:color w:val="000000" w:themeColor="text1"/>
          <w:kern w:val="0"/>
          <w:szCs w:val="18"/>
          <w14:textFill>
            <w14:solidFill>
              <w14:schemeClr w14:val="tx1"/>
            </w14:solidFill>
          </w14:textFill>
        </w:rPr>
        <w:t xml:space="preserve">    销售机构：湖南银行股份有限公司</w:t>
      </w:r>
      <w:r>
        <w:rPr>
          <w:rFonts w:hint="eastAsia" w:ascii="楷体" w:hAnsi="楷体" w:eastAsia="楷体" w:cs="楷体"/>
          <w:color w:val="000000" w:themeColor="text1"/>
          <w:kern w:val="0"/>
          <w:szCs w:val="18"/>
          <w14:textFill>
            <w14:solidFill>
              <w14:schemeClr w14:val="tx1"/>
            </w14:solidFill>
          </w14:textFill>
        </w:rPr>
        <w:br w:type="textWrapping"/>
      </w:r>
      <w:r>
        <w:rPr>
          <w:rFonts w:hint="eastAsia" w:ascii="楷体" w:hAnsi="楷体" w:eastAsia="楷体" w:cs="楷体"/>
          <w:color w:val="000000" w:themeColor="text1"/>
          <w:kern w:val="0"/>
          <w:szCs w:val="18"/>
          <w14:textFill>
            <w14:solidFill>
              <w14:schemeClr w14:val="tx1"/>
            </w14:solidFill>
          </w14:textFill>
        </w:rPr>
        <w:t xml:space="preserve">    注册地址：湖南省长沙市天心区湘江中路二段210号</w:t>
      </w:r>
    </w:p>
    <w:p>
      <w:pPr>
        <w:widowControl/>
        <w:numPr>
          <w:ilvl w:val="0"/>
          <w:numId w:val="33"/>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ascii="楷体" w:hAnsi="楷体" w:eastAsia="楷体" w:cs="Arial Unicode MS"/>
          <w:color w:val="000000" w:themeColor="text1"/>
          <w:kern w:val="0"/>
          <w:szCs w:val="18"/>
          <w14:textFill>
            <w14:solidFill>
              <w14:schemeClr w14:val="tx1"/>
            </w14:solidFill>
          </w14:textFill>
        </w:rPr>
        <w:t>销售机构职责</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在销售产品过程中，对投资者身份信息的真实性进行验证。对非机构投资者严谨客观实施风险承受能力评估，制定投资者风险承受能力评估书，确定投资者风险承受能力等级，建立将投资者和理财产品进行匹配的方法，审慎使用评估结果。根据投资者的风险承受能力销售不同风险等级的产品，把合适的理财产品销售给合适的投资者。</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做好投资者持续信息服务，包括但不限于以下方面:及时向投资者告知认（申）购、赎回理财产品的确认日期、确认份额和金额等信息；定期向投资者提供其所持有的理财产品基本信息，及时向投资者告知对其决策有重大影响的信息。</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充分了解面向特定对象销售的理财产品的投资者信息，收集、核验投资者金融资产证明、收入证明或纳税凭证等材料，对非机构投资者风险识别能力和风险承受能力进行持续评估。完善合格投资者尽职调查流程并履行投资者签字确认程序。</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根据反洗钱、反恐怖融资及非居民金融账户涉税信息尽职调查等相关法律法规要求识别客户身份。</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按照法律法规规定、理财产品销售协议约定办理理财产品的认（申）购、赎回，归集、划转理财产品销售结算资金，确保理财产品销售结算资金安全、及时划付。通过投资者指定的银行账户办理理财产品认（申）购和赎回的款项收付，并将赎回、分红及认（申）购不成功的相应款项划入投资者认（申）购时使用的银行账户，制作、留存款项收付的有效凭证。</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完整记录和保存销售业务活动信息，确保记录信息全面、准确和不可篡改。</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建立健全档案管理制度，妥善保管投资者理财产品销售相关资料，保管年限不得低于20年。</w:t>
      </w:r>
    </w:p>
    <w:p>
      <w:pPr>
        <w:pStyle w:val="10"/>
        <w:widowControl w:val="0"/>
        <w:numPr>
          <w:ilvl w:val="0"/>
          <w:numId w:val="34"/>
        </w:numPr>
        <w:tabs>
          <w:tab w:val="left" w:pos="1080"/>
        </w:tabs>
        <w:overflowPunct w:val="0"/>
        <w:topLinePunct/>
        <w:autoSpaceDE w:val="0"/>
        <w:autoSpaceDN w:val="0"/>
        <w:spacing w:before="0" w:beforeAutospacing="0" w:after="0" w:afterAutospacing="0"/>
        <w:ind w:right="-108"/>
        <w:jc w:val="both"/>
        <w:rPr>
          <w:rFonts w:ascii="楷体" w:hAnsi="楷体" w:eastAsia="楷体" w:cs="楷体"/>
          <w:color w:val="000000" w:themeColor="text1"/>
          <w:sz w:val="21"/>
          <w:szCs w:val="18"/>
          <w14:textFill>
            <w14:solidFill>
              <w14:schemeClr w14:val="tx1"/>
            </w14:solidFill>
          </w14:textFill>
        </w:rPr>
      </w:pPr>
      <w:r>
        <w:rPr>
          <w:rFonts w:hint="eastAsia" w:ascii="楷体" w:hAnsi="楷体" w:eastAsia="楷体" w:cs="楷体"/>
          <w:color w:val="000000" w:themeColor="text1"/>
          <w:sz w:val="21"/>
          <w:szCs w:val="18"/>
          <w14:textFill>
            <w14:solidFill>
              <w14:schemeClr w14:val="tx1"/>
            </w14:solidFill>
          </w14:textFill>
        </w:rPr>
        <w:t>国务院银行业监督管理机构规定、理财产品销售协议约定的其他职责。</w:t>
      </w:r>
    </w:p>
    <w:p>
      <w:pPr>
        <w:rPr>
          <w:rFonts w:ascii="楷体" w:hAnsi="楷体" w:eastAsia="楷体"/>
        </w:rPr>
      </w:pPr>
    </w:p>
    <w:p>
      <w:pPr>
        <w:pStyle w:val="2"/>
        <w:ind w:firstLine="424"/>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十四、特别提示</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根据《商业银行理财业务监督管理办法》相关规定，理财产品按照投资性质不同，“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金融衍生品的比例不低于80%；混合类理财产品投资于债权类资产、权益类资产、商品及金融衍生品类资产且任一资产的投资比例未达到前三类理财产品标准”。</w:t>
      </w:r>
    </w:p>
    <w:p>
      <w:pPr>
        <w:pStyle w:val="10"/>
        <w:tabs>
          <w:tab w:val="left" w:pos="1080"/>
        </w:tabs>
        <w:overflowPunct w:val="0"/>
        <w:topLinePunct/>
        <w:autoSpaceDE w:val="0"/>
        <w:autoSpaceDN w:val="0"/>
        <w:spacing w:before="0" w:beforeAutospacing="0" w:after="0" w:afterAutospacing="0"/>
        <w:ind w:firstLine="420" w:firstLineChars="200"/>
        <w:jc w:val="both"/>
        <w:rPr>
          <w:rFonts w:ascii="楷体" w:hAnsi="楷体" w:eastAsia="楷体"/>
          <w:color w:val="000000" w:themeColor="text1"/>
          <w:sz w:val="21"/>
          <w:szCs w:val="18"/>
          <w14:textFill>
            <w14:solidFill>
              <w14:schemeClr w14:val="tx1"/>
            </w14:solidFill>
          </w14:textFill>
        </w:rPr>
      </w:pPr>
      <w:r>
        <w:rPr>
          <w:rFonts w:hint="eastAsia" w:ascii="楷体" w:hAnsi="楷体" w:eastAsia="楷体"/>
          <w:color w:val="000000" w:themeColor="text1"/>
          <w:sz w:val="21"/>
          <w:szCs w:val="18"/>
          <w14:textFill>
            <w14:solidFill>
              <w14:schemeClr w14:val="tx1"/>
            </w14:solidFill>
          </w14:textFill>
        </w:rPr>
        <w:t>中银理财有限责任公司推出的理财产品，依据上述分类标准分为固定收益类、权益类、商品及金融衍生品类、混合类产品。</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本《产品说明书》是投资者与中银理财有限责任公司所签订的理财产品相关法律文件的组成部分，请认真阅读。</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投资者通过销售渠道提交认（申）购申请，即视为投资者授权及同意中银理财有限责任公司作为本理财产品的产品管理人，代表理财产品的投资者将募集资金进行投资和执行相关操作，并且有权代表投资者行使基础资产交易项下与其他交易各方进行交易所享有的全部权利。</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果发生理财产品的交易对手未按时足额付款等情形，投资者同意，中银理财有限责任公司有权向上述各方进行追索，追索期间所发生的费用（包括但不限于诉讼费、仲裁费、律师费、执行费等全部费用）将从追索回的款项中优先扣除。</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如出于维持产品正常运营的需要且在不实质损害投资者利益的前提下，或因国家法律法规、监管规定发生变化，产品管理人有权在法律法规、监管规定允许的范围内单方对《产品说明书》进行修订。产品管理人决定对《产品说明书》进行修订的，将按照理财产品文件有关约定或法律规定进行信息披露。对具体收费项目（包括但不限于增加费用名目）、条件、方式和标准（包括但不限于提高收费标准）进行调整时，投资者如不同意修改后的《产品说明书》，可在产品管理人公告的修改后的相关业务调整生效前全部赎回本理财产品。若投资者在相关调整生效后继续持有本理财产品或办理《产品说明书》项下相关业务的，视同接受相关调整。</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本《产品说明书》与《风险揭示书》、《中银理财有限责任公司理财产品投资协议书》共同规范投资者与理财产品管理人之间的权利义务关系。</w:t>
      </w:r>
    </w:p>
    <w:p>
      <w:pPr>
        <w:widowControl/>
        <w:numPr>
          <w:ilvl w:val="0"/>
          <w:numId w:val="35"/>
        </w:numPr>
        <w:tabs>
          <w:tab w:val="left" w:pos="1080"/>
        </w:tabs>
        <w:overflowPunct w:val="0"/>
        <w:topLinePunct/>
        <w:autoSpaceDE w:val="0"/>
        <w:autoSpaceDN w:val="0"/>
        <w:ind w:right="-108"/>
        <w:outlineLvl w:val="1"/>
        <w:rPr>
          <w:rFonts w:ascii="楷体" w:hAnsi="楷体" w:eastAsia="楷体" w:cs="Arial Unicode MS"/>
          <w:color w:val="000000" w:themeColor="text1"/>
          <w:kern w:val="0"/>
          <w:szCs w:val="18"/>
          <w14:textFill>
            <w14:solidFill>
              <w14:schemeClr w14:val="tx1"/>
            </w14:solidFill>
          </w14:textFill>
        </w:rPr>
      </w:pPr>
      <w:r>
        <w:rPr>
          <w:rFonts w:hint="eastAsia" w:ascii="楷体" w:hAnsi="楷体" w:eastAsia="楷体" w:cs="Arial Unicode MS"/>
          <w:color w:val="000000" w:themeColor="text1"/>
          <w:kern w:val="0"/>
          <w:szCs w:val="18"/>
          <w14:textFill>
            <w14:solidFill>
              <w14:schemeClr w14:val="tx1"/>
            </w14:solidFill>
          </w14:textFill>
        </w:rPr>
        <w:t>咨询或投诉请致电服务热线：中银理财服务热线（95566-8），湖南银行客户服务热线（96599）。如服务热线发生调整，将在相应信息披露渠道予以披露。</w:t>
      </w: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pPr>
      <w:r>
        <w:rPr>
          <w:rStyle w:val="18"/>
        </w:rPr>
        <w:footnoteRef/>
      </w:r>
      <w:r>
        <w:t xml:space="preserve"> </w:t>
      </w:r>
      <w:r>
        <w:rPr>
          <w:rFonts w:hint="eastAsia" w:ascii="楷体" w:hAnsi="楷体" w:eastAsia="楷体"/>
          <w:color w:val="000000" w:themeColor="text1"/>
          <w:sz w:val="21"/>
          <w14:textFill>
            <w14:solidFill>
              <w14:schemeClr w14:val="tx1"/>
            </w14:solidFill>
          </w14:textFill>
        </w:rPr>
        <w:t>流动性受限资产指由于法律法规、监管、合同或操作障碍等原因无法以合理价格予以变现资产，包括到期日在</w:t>
      </w:r>
      <w:r>
        <w:rPr>
          <w:rFonts w:ascii="楷体" w:hAnsi="楷体" w:eastAsia="楷体"/>
          <w:color w:val="000000" w:themeColor="text1"/>
          <w:sz w:val="21"/>
          <w14:textFill>
            <w14:solidFill>
              <w14:schemeClr w14:val="tx1"/>
            </w14:solidFill>
          </w14:textFill>
        </w:rPr>
        <w:t>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楷体" w:hAnsi="楷体" w:eastAsia="楷体"/>
          <w:color w:val="000000" w:themeColor="text1"/>
          <w:sz w:val="21"/>
          <w14:textFill>
            <w14:solidFill>
              <w14:schemeClr w14:val="tx1"/>
            </w14:solidFill>
          </w14:textFill>
        </w:rPr>
        <w:t>。</w:t>
      </w:r>
    </w:p>
  </w:footnote>
  <w:footnote w:id="1">
    <w:p>
      <w:pPr>
        <w:pStyle w:val="9"/>
        <w:rPr>
          <w:rFonts w:ascii="Times New Roman" w:hAnsi="Times New Roman" w:eastAsia="楷体"/>
          <w:sz w:val="21"/>
        </w:rPr>
      </w:pPr>
      <w:r>
        <w:rPr>
          <w:rStyle w:val="18"/>
        </w:rPr>
        <w:footnoteRef/>
      </w:r>
      <w:r>
        <w:t xml:space="preserve"> </w:t>
      </w:r>
      <w:r>
        <w:rPr>
          <w:rFonts w:ascii="Times New Roman" w:hAnsi="Times New Roman" w:eastAsia="楷体"/>
          <w:sz w:val="21"/>
        </w:rPr>
        <w:t>7</w:t>
      </w:r>
      <w:r>
        <w:rPr>
          <w:rFonts w:hint="eastAsia" w:ascii="Times New Roman" w:hAnsi="Times New Roman" w:eastAsia="楷体"/>
          <w:sz w:val="21"/>
        </w:rPr>
        <w:t>个工作日可变现资产包括可在交易所、银行间市场正常交易的股票、债券、非金融企业债务融资工具、期货及期权合约以及同业存单，</w:t>
      </w:r>
      <w:r>
        <w:rPr>
          <w:rFonts w:ascii="Times New Roman" w:hAnsi="Times New Roman" w:eastAsia="楷体"/>
          <w:sz w:val="21"/>
        </w:rPr>
        <w:t>7</w:t>
      </w:r>
      <w:r>
        <w:rPr>
          <w:rFonts w:hint="eastAsia" w:ascii="Times New Roman" w:hAnsi="Times New Roman" w:eastAsia="楷体"/>
          <w:sz w:val="21"/>
        </w:rPr>
        <w:t>个工作日内到期或可支取的买入返售、银行存款，</w:t>
      </w:r>
      <w:r>
        <w:rPr>
          <w:rFonts w:ascii="Times New Roman" w:hAnsi="Times New Roman" w:eastAsia="楷体"/>
          <w:sz w:val="21"/>
        </w:rPr>
        <w:t>7</w:t>
      </w:r>
      <w:r>
        <w:rPr>
          <w:rFonts w:hint="eastAsia" w:ascii="Times New Roman" w:hAnsi="Times New Roman" w:eastAsia="楷体"/>
          <w:sz w:val="21"/>
        </w:rPr>
        <w:t>个工作日内能够确认收到的各类应收款项等。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4232B"/>
    <w:multiLevelType w:val="singleLevel"/>
    <w:tmpl w:val="12C4232B"/>
    <w:lvl w:ilvl="0" w:tentative="0">
      <w:start w:val="1"/>
      <w:numFmt w:val="chineseCounting"/>
      <w:suff w:val="nothing"/>
      <w:lvlText w:val="（%1）"/>
      <w:lvlJc w:val="left"/>
      <w:pPr>
        <w:ind w:left="0" w:firstLine="420"/>
      </w:pPr>
      <w:rPr>
        <w:rFonts w:hint="eastAsia"/>
      </w:rPr>
    </w:lvl>
  </w:abstractNum>
  <w:abstractNum w:abstractNumId="1">
    <w:nsid w:val="14A955C3"/>
    <w:multiLevelType w:val="multilevel"/>
    <w:tmpl w:val="14A955C3"/>
    <w:lvl w:ilvl="0" w:tentative="0">
      <w:start w:val="1"/>
      <w:numFmt w:val="decimal"/>
      <w:suff w:val="nothing"/>
      <w:lvlText w:val="%1."/>
      <w:lvlJc w:val="left"/>
      <w:pPr>
        <w:ind w:left="842" w:hanging="420"/>
      </w:pPr>
      <w:rPr>
        <w:rFonts w:hint="eastAsia"/>
      </w:rPr>
    </w:lvl>
    <w:lvl w:ilvl="1" w:tentative="0">
      <w:start w:val="1"/>
      <w:numFmt w:val="lowerLetter"/>
      <w:lvlText w:val="%2)"/>
      <w:lvlJc w:val="left"/>
      <w:pPr>
        <w:ind w:left="1262" w:hanging="420"/>
      </w:pPr>
      <w:rPr>
        <w:rFonts w:hint="eastAsia"/>
      </w:rPr>
    </w:lvl>
    <w:lvl w:ilvl="2" w:tentative="0">
      <w:start w:val="1"/>
      <w:numFmt w:val="lowerRoman"/>
      <w:lvlText w:val="%3."/>
      <w:lvlJc w:val="right"/>
      <w:pPr>
        <w:ind w:left="1682" w:hanging="420"/>
      </w:pPr>
      <w:rPr>
        <w:rFonts w:hint="eastAsia"/>
      </w:rPr>
    </w:lvl>
    <w:lvl w:ilvl="3" w:tentative="0">
      <w:start w:val="1"/>
      <w:numFmt w:val="decimal"/>
      <w:lvlText w:val="%4."/>
      <w:lvlJc w:val="left"/>
      <w:pPr>
        <w:ind w:left="2102" w:hanging="420"/>
      </w:pPr>
      <w:rPr>
        <w:rFonts w:hint="eastAsia"/>
      </w:rPr>
    </w:lvl>
    <w:lvl w:ilvl="4" w:tentative="0">
      <w:start w:val="1"/>
      <w:numFmt w:val="lowerLetter"/>
      <w:lvlText w:val="%5)"/>
      <w:lvlJc w:val="left"/>
      <w:pPr>
        <w:ind w:left="2522" w:hanging="420"/>
      </w:pPr>
      <w:rPr>
        <w:rFonts w:hint="eastAsia"/>
      </w:rPr>
    </w:lvl>
    <w:lvl w:ilvl="5" w:tentative="0">
      <w:start w:val="1"/>
      <w:numFmt w:val="lowerRoman"/>
      <w:lvlText w:val="%6."/>
      <w:lvlJc w:val="right"/>
      <w:pPr>
        <w:ind w:left="2942" w:hanging="420"/>
      </w:pPr>
      <w:rPr>
        <w:rFonts w:hint="eastAsia"/>
      </w:rPr>
    </w:lvl>
    <w:lvl w:ilvl="6" w:tentative="0">
      <w:start w:val="1"/>
      <w:numFmt w:val="decimal"/>
      <w:lvlText w:val="%7."/>
      <w:lvlJc w:val="left"/>
      <w:pPr>
        <w:ind w:left="3362" w:hanging="420"/>
      </w:pPr>
      <w:rPr>
        <w:rFonts w:hint="eastAsia"/>
      </w:rPr>
    </w:lvl>
    <w:lvl w:ilvl="7" w:tentative="0">
      <w:start w:val="1"/>
      <w:numFmt w:val="lowerLetter"/>
      <w:lvlText w:val="%8)"/>
      <w:lvlJc w:val="left"/>
      <w:pPr>
        <w:ind w:left="3782" w:hanging="420"/>
      </w:pPr>
      <w:rPr>
        <w:rFonts w:hint="eastAsia"/>
      </w:rPr>
    </w:lvl>
    <w:lvl w:ilvl="8" w:tentative="0">
      <w:start w:val="1"/>
      <w:numFmt w:val="lowerRoman"/>
      <w:lvlText w:val="%9."/>
      <w:lvlJc w:val="right"/>
      <w:pPr>
        <w:ind w:left="4202" w:hanging="420"/>
      </w:pPr>
      <w:rPr>
        <w:rFonts w:hint="eastAsia"/>
      </w:rPr>
    </w:lvl>
  </w:abstractNum>
  <w:abstractNum w:abstractNumId="2">
    <w:nsid w:val="199C19C2"/>
    <w:multiLevelType w:val="singleLevel"/>
    <w:tmpl w:val="199C19C2"/>
    <w:lvl w:ilvl="0" w:tentative="0">
      <w:start w:val="1"/>
      <w:numFmt w:val="chineseCounting"/>
      <w:suff w:val="nothing"/>
      <w:lvlText w:val="（%1）"/>
      <w:lvlJc w:val="left"/>
      <w:pPr>
        <w:ind w:left="0" w:firstLine="420"/>
      </w:pPr>
      <w:rPr>
        <w:rFonts w:hint="eastAsia"/>
      </w:rPr>
    </w:lvl>
  </w:abstractNum>
  <w:abstractNum w:abstractNumId="3">
    <w:nsid w:val="2E792092"/>
    <w:multiLevelType w:val="singleLevel"/>
    <w:tmpl w:val="2E792092"/>
    <w:lvl w:ilvl="0" w:tentative="0">
      <w:start w:val="1"/>
      <w:numFmt w:val="decimal"/>
      <w:suff w:val="nothing"/>
      <w:lvlText w:val="%1．"/>
      <w:lvlJc w:val="left"/>
      <w:pPr>
        <w:ind w:left="0" w:firstLine="400"/>
      </w:pPr>
      <w:rPr>
        <w:rFonts w:hint="default"/>
      </w:rPr>
    </w:lvl>
  </w:abstractNum>
  <w:abstractNum w:abstractNumId="4">
    <w:nsid w:val="45AB79AA"/>
    <w:multiLevelType w:val="multilevel"/>
    <w:tmpl w:val="45AB79AA"/>
    <w:lvl w:ilvl="0" w:tentative="0">
      <w:start w:val="1"/>
      <w:numFmt w:val="decimal"/>
      <w:suff w:val="nothing"/>
      <w:lvlText w:val="%1."/>
      <w:lvlJc w:val="left"/>
      <w:pPr>
        <w:ind w:left="842" w:hanging="420"/>
      </w:pPr>
      <w:rPr>
        <w:rFonts w:hint="eastAsia"/>
      </w:rPr>
    </w:lvl>
    <w:lvl w:ilvl="1" w:tentative="0">
      <w:start w:val="1"/>
      <w:numFmt w:val="lowerLetter"/>
      <w:lvlText w:val="%2)"/>
      <w:lvlJc w:val="left"/>
      <w:pPr>
        <w:ind w:left="1262" w:hanging="420"/>
      </w:pPr>
      <w:rPr>
        <w:rFonts w:hint="eastAsia"/>
      </w:rPr>
    </w:lvl>
    <w:lvl w:ilvl="2" w:tentative="0">
      <w:start w:val="1"/>
      <w:numFmt w:val="lowerRoman"/>
      <w:lvlText w:val="%3."/>
      <w:lvlJc w:val="right"/>
      <w:pPr>
        <w:ind w:left="1682" w:hanging="420"/>
      </w:pPr>
      <w:rPr>
        <w:rFonts w:hint="eastAsia"/>
      </w:rPr>
    </w:lvl>
    <w:lvl w:ilvl="3" w:tentative="0">
      <w:start w:val="1"/>
      <w:numFmt w:val="decimal"/>
      <w:lvlText w:val="%4."/>
      <w:lvlJc w:val="left"/>
      <w:pPr>
        <w:ind w:left="2102" w:hanging="420"/>
      </w:pPr>
      <w:rPr>
        <w:rFonts w:hint="eastAsia"/>
      </w:rPr>
    </w:lvl>
    <w:lvl w:ilvl="4" w:tentative="0">
      <w:start w:val="1"/>
      <w:numFmt w:val="lowerLetter"/>
      <w:lvlText w:val="%5)"/>
      <w:lvlJc w:val="left"/>
      <w:pPr>
        <w:ind w:left="2522" w:hanging="420"/>
      </w:pPr>
      <w:rPr>
        <w:rFonts w:hint="eastAsia"/>
      </w:rPr>
    </w:lvl>
    <w:lvl w:ilvl="5" w:tentative="0">
      <w:start w:val="1"/>
      <w:numFmt w:val="lowerRoman"/>
      <w:lvlText w:val="%6."/>
      <w:lvlJc w:val="right"/>
      <w:pPr>
        <w:ind w:left="2942" w:hanging="420"/>
      </w:pPr>
      <w:rPr>
        <w:rFonts w:hint="eastAsia"/>
      </w:rPr>
    </w:lvl>
    <w:lvl w:ilvl="6" w:tentative="0">
      <w:start w:val="1"/>
      <w:numFmt w:val="decimal"/>
      <w:lvlText w:val="%7."/>
      <w:lvlJc w:val="left"/>
      <w:pPr>
        <w:ind w:left="3362" w:hanging="420"/>
      </w:pPr>
      <w:rPr>
        <w:rFonts w:hint="eastAsia"/>
      </w:rPr>
    </w:lvl>
    <w:lvl w:ilvl="7" w:tentative="0">
      <w:start w:val="1"/>
      <w:numFmt w:val="lowerLetter"/>
      <w:lvlText w:val="%8)"/>
      <w:lvlJc w:val="left"/>
      <w:pPr>
        <w:ind w:left="3782" w:hanging="420"/>
      </w:pPr>
      <w:rPr>
        <w:rFonts w:hint="eastAsia"/>
      </w:rPr>
    </w:lvl>
    <w:lvl w:ilvl="8" w:tentative="0">
      <w:start w:val="1"/>
      <w:numFmt w:val="lowerRoman"/>
      <w:lvlText w:val="%9."/>
      <w:lvlJc w:val="right"/>
      <w:pPr>
        <w:ind w:left="4202" w:hanging="420"/>
      </w:pPr>
      <w:rPr>
        <w:rFonts w:hint="eastAsia"/>
      </w:rPr>
    </w:lvl>
  </w:abstractNum>
  <w:abstractNum w:abstractNumId="5">
    <w:nsid w:val="4E06DC95"/>
    <w:multiLevelType w:val="singleLevel"/>
    <w:tmpl w:val="4E06DC95"/>
    <w:lvl w:ilvl="0" w:tentative="0">
      <w:start w:val="1"/>
      <w:numFmt w:val="chineseCounting"/>
      <w:suff w:val="nothing"/>
      <w:lvlText w:val="%1、"/>
      <w:lvlJc w:val="left"/>
    </w:lvl>
  </w:abstractNum>
  <w:abstractNum w:abstractNumId="6">
    <w:nsid w:val="5B488134"/>
    <w:multiLevelType w:val="singleLevel"/>
    <w:tmpl w:val="5B488134"/>
    <w:lvl w:ilvl="0" w:tentative="0">
      <w:start w:val="1"/>
      <w:numFmt w:val="chineseCounting"/>
      <w:suff w:val="nothing"/>
      <w:lvlText w:val="（%1）"/>
      <w:lvlJc w:val="left"/>
      <w:pPr>
        <w:ind w:left="0" w:firstLine="420"/>
      </w:pPr>
      <w:rPr>
        <w:rFonts w:hint="eastAsia"/>
      </w:rPr>
    </w:lvl>
  </w:abstractNum>
  <w:abstractNum w:abstractNumId="7">
    <w:nsid w:val="5B488169"/>
    <w:multiLevelType w:val="singleLevel"/>
    <w:tmpl w:val="5B488169"/>
    <w:lvl w:ilvl="0" w:tentative="0">
      <w:start w:val="1"/>
      <w:numFmt w:val="chineseCounting"/>
      <w:suff w:val="nothing"/>
      <w:lvlText w:val="（%1）"/>
      <w:lvlJc w:val="left"/>
      <w:pPr>
        <w:ind w:left="0" w:firstLine="420"/>
      </w:pPr>
      <w:rPr>
        <w:rFonts w:hint="eastAsia"/>
      </w:rPr>
    </w:lvl>
  </w:abstractNum>
  <w:abstractNum w:abstractNumId="8">
    <w:nsid w:val="5B48845A"/>
    <w:multiLevelType w:val="singleLevel"/>
    <w:tmpl w:val="5B48845A"/>
    <w:lvl w:ilvl="0" w:tentative="0">
      <w:start w:val="1"/>
      <w:numFmt w:val="decimal"/>
      <w:suff w:val="nothing"/>
      <w:lvlText w:val="%1．"/>
      <w:lvlJc w:val="left"/>
      <w:pPr>
        <w:ind w:left="0" w:firstLine="400"/>
      </w:pPr>
      <w:rPr>
        <w:rFonts w:hint="default"/>
      </w:rPr>
    </w:lvl>
  </w:abstractNum>
  <w:abstractNum w:abstractNumId="9">
    <w:nsid w:val="5B488483"/>
    <w:multiLevelType w:val="singleLevel"/>
    <w:tmpl w:val="5B488483"/>
    <w:lvl w:ilvl="0" w:tentative="0">
      <w:start w:val="1"/>
      <w:numFmt w:val="decimal"/>
      <w:suff w:val="nothing"/>
      <w:lvlText w:val="%1．"/>
      <w:lvlJc w:val="left"/>
      <w:pPr>
        <w:ind w:left="0" w:firstLine="400"/>
      </w:pPr>
      <w:rPr>
        <w:rFonts w:hint="default"/>
      </w:rPr>
    </w:lvl>
  </w:abstractNum>
  <w:abstractNum w:abstractNumId="10">
    <w:nsid w:val="5B4884A4"/>
    <w:multiLevelType w:val="singleLevel"/>
    <w:tmpl w:val="5B4884A4"/>
    <w:lvl w:ilvl="0" w:tentative="0">
      <w:start w:val="1"/>
      <w:numFmt w:val="decimal"/>
      <w:suff w:val="nothing"/>
      <w:lvlText w:val="%1．"/>
      <w:lvlJc w:val="left"/>
      <w:pPr>
        <w:ind w:left="0" w:firstLine="400"/>
      </w:pPr>
      <w:rPr>
        <w:rFonts w:hint="default"/>
      </w:rPr>
    </w:lvl>
  </w:abstractNum>
  <w:abstractNum w:abstractNumId="11">
    <w:nsid w:val="5B4884BA"/>
    <w:multiLevelType w:val="singleLevel"/>
    <w:tmpl w:val="5B4884BA"/>
    <w:lvl w:ilvl="0" w:tentative="0">
      <w:start w:val="1"/>
      <w:numFmt w:val="decimal"/>
      <w:suff w:val="nothing"/>
      <w:lvlText w:val="%1．"/>
      <w:lvlJc w:val="left"/>
      <w:pPr>
        <w:ind w:left="0" w:firstLine="400"/>
      </w:pPr>
      <w:rPr>
        <w:rFonts w:hint="default"/>
      </w:rPr>
    </w:lvl>
  </w:abstractNum>
  <w:abstractNum w:abstractNumId="12">
    <w:nsid w:val="5B4884D5"/>
    <w:multiLevelType w:val="singleLevel"/>
    <w:tmpl w:val="5B4884D5"/>
    <w:lvl w:ilvl="0" w:tentative="0">
      <w:start w:val="1"/>
      <w:numFmt w:val="decimal"/>
      <w:suff w:val="nothing"/>
      <w:lvlText w:val="%1．"/>
      <w:lvlJc w:val="left"/>
      <w:pPr>
        <w:ind w:left="0" w:firstLine="400"/>
      </w:pPr>
      <w:rPr>
        <w:rFonts w:hint="default"/>
      </w:rPr>
    </w:lvl>
  </w:abstractNum>
  <w:abstractNum w:abstractNumId="13">
    <w:nsid w:val="5B488501"/>
    <w:multiLevelType w:val="singleLevel"/>
    <w:tmpl w:val="5B488501"/>
    <w:lvl w:ilvl="0" w:tentative="0">
      <w:start w:val="1"/>
      <w:numFmt w:val="decimal"/>
      <w:suff w:val="nothing"/>
      <w:lvlText w:val="%1．"/>
      <w:lvlJc w:val="left"/>
      <w:pPr>
        <w:ind w:left="0" w:firstLine="400"/>
      </w:pPr>
      <w:rPr>
        <w:rFonts w:hint="default"/>
      </w:rPr>
    </w:lvl>
  </w:abstractNum>
  <w:abstractNum w:abstractNumId="14">
    <w:nsid w:val="5B488516"/>
    <w:multiLevelType w:val="singleLevel"/>
    <w:tmpl w:val="5B488516"/>
    <w:lvl w:ilvl="0" w:tentative="0">
      <w:start w:val="1"/>
      <w:numFmt w:val="decimal"/>
      <w:suff w:val="nothing"/>
      <w:lvlText w:val="%1．"/>
      <w:lvlJc w:val="left"/>
      <w:pPr>
        <w:ind w:left="0" w:firstLine="400"/>
      </w:pPr>
      <w:rPr>
        <w:rFonts w:hint="default"/>
      </w:rPr>
    </w:lvl>
  </w:abstractNum>
  <w:abstractNum w:abstractNumId="15">
    <w:nsid w:val="5B488531"/>
    <w:multiLevelType w:val="singleLevel"/>
    <w:tmpl w:val="5B488531"/>
    <w:lvl w:ilvl="0" w:tentative="0">
      <w:start w:val="1"/>
      <w:numFmt w:val="decimal"/>
      <w:suff w:val="nothing"/>
      <w:lvlText w:val="%1．"/>
      <w:lvlJc w:val="left"/>
      <w:pPr>
        <w:ind w:left="0" w:firstLine="400"/>
      </w:pPr>
      <w:rPr>
        <w:rFonts w:hint="default"/>
      </w:rPr>
    </w:lvl>
  </w:abstractNum>
  <w:abstractNum w:abstractNumId="16">
    <w:nsid w:val="5B4885F5"/>
    <w:multiLevelType w:val="singleLevel"/>
    <w:tmpl w:val="5B4885F5"/>
    <w:lvl w:ilvl="0" w:tentative="0">
      <w:start w:val="1"/>
      <w:numFmt w:val="decimal"/>
      <w:suff w:val="nothing"/>
      <w:lvlText w:val="%1．"/>
      <w:lvlJc w:val="left"/>
      <w:pPr>
        <w:ind w:left="0" w:firstLine="400"/>
      </w:pPr>
      <w:rPr>
        <w:rFonts w:hint="default"/>
      </w:rPr>
    </w:lvl>
  </w:abstractNum>
  <w:abstractNum w:abstractNumId="17">
    <w:nsid w:val="5B4EFB34"/>
    <w:multiLevelType w:val="singleLevel"/>
    <w:tmpl w:val="5B4EFB34"/>
    <w:lvl w:ilvl="0" w:tentative="0">
      <w:start w:val="1"/>
      <w:numFmt w:val="chineseCounting"/>
      <w:suff w:val="nothing"/>
      <w:lvlText w:val="（%1）"/>
      <w:lvlJc w:val="left"/>
      <w:pPr>
        <w:ind w:left="0" w:firstLine="420"/>
      </w:pPr>
      <w:rPr>
        <w:rFonts w:hint="eastAsia"/>
      </w:rPr>
    </w:lvl>
  </w:abstractNum>
  <w:abstractNum w:abstractNumId="18">
    <w:nsid w:val="5B5E9FF3"/>
    <w:multiLevelType w:val="singleLevel"/>
    <w:tmpl w:val="5B5E9FF3"/>
    <w:lvl w:ilvl="0" w:tentative="0">
      <w:start w:val="1"/>
      <w:numFmt w:val="chineseCounting"/>
      <w:suff w:val="nothing"/>
      <w:lvlText w:val="（%1）"/>
      <w:lvlJc w:val="left"/>
      <w:pPr>
        <w:ind w:left="0" w:firstLine="420"/>
      </w:pPr>
      <w:rPr>
        <w:rFonts w:hint="eastAsia"/>
      </w:rPr>
    </w:lvl>
  </w:abstractNum>
  <w:abstractNum w:abstractNumId="19">
    <w:nsid w:val="5B6A62C7"/>
    <w:multiLevelType w:val="singleLevel"/>
    <w:tmpl w:val="5B6A62C7"/>
    <w:lvl w:ilvl="0" w:tentative="0">
      <w:start w:val="1"/>
      <w:numFmt w:val="chineseCounting"/>
      <w:suff w:val="nothing"/>
      <w:lvlText w:val="（%1）"/>
      <w:lvlJc w:val="left"/>
      <w:pPr>
        <w:ind w:left="0" w:firstLine="420"/>
      </w:pPr>
      <w:rPr>
        <w:rFonts w:hint="eastAsia" w:ascii="楷体" w:hAnsi="楷体" w:eastAsia="楷体"/>
      </w:rPr>
    </w:lvl>
  </w:abstractNum>
  <w:abstractNum w:abstractNumId="20">
    <w:nsid w:val="5B6A66E8"/>
    <w:multiLevelType w:val="singleLevel"/>
    <w:tmpl w:val="5B6A66E8"/>
    <w:lvl w:ilvl="0" w:tentative="0">
      <w:start w:val="1"/>
      <w:numFmt w:val="chineseCounting"/>
      <w:suff w:val="nothing"/>
      <w:lvlText w:val="（%1）"/>
      <w:lvlJc w:val="left"/>
      <w:pPr>
        <w:ind w:left="0" w:firstLine="420"/>
      </w:pPr>
      <w:rPr>
        <w:rFonts w:hint="eastAsia" w:ascii="楷体" w:hAnsi="楷体" w:eastAsia="楷体"/>
        <w:b w:val="0"/>
      </w:rPr>
    </w:lvl>
  </w:abstractNum>
  <w:abstractNum w:abstractNumId="21">
    <w:nsid w:val="5B6A6762"/>
    <w:multiLevelType w:val="singleLevel"/>
    <w:tmpl w:val="5B6A6762"/>
    <w:lvl w:ilvl="0" w:tentative="0">
      <w:start w:val="1"/>
      <w:numFmt w:val="chineseCounting"/>
      <w:suff w:val="nothing"/>
      <w:lvlText w:val="（%1）"/>
      <w:lvlJc w:val="left"/>
      <w:pPr>
        <w:ind w:left="0" w:firstLine="420"/>
      </w:pPr>
      <w:rPr>
        <w:rFonts w:hint="eastAsia"/>
      </w:rPr>
    </w:lvl>
  </w:abstractNum>
  <w:abstractNum w:abstractNumId="22">
    <w:nsid w:val="5B6A6A00"/>
    <w:multiLevelType w:val="singleLevel"/>
    <w:tmpl w:val="5B6A6A00"/>
    <w:lvl w:ilvl="0" w:tentative="0">
      <w:start w:val="1"/>
      <w:numFmt w:val="chineseCounting"/>
      <w:suff w:val="nothing"/>
      <w:lvlText w:val="（%1）"/>
      <w:lvlJc w:val="left"/>
      <w:pPr>
        <w:ind w:left="0" w:firstLine="420"/>
      </w:pPr>
      <w:rPr>
        <w:rFonts w:hint="eastAsia"/>
        <w:lang w:val="en-US"/>
      </w:rPr>
    </w:lvl>
  </w:abstractNum>
  <w:abstractNum w:abstractNumId="23">
    <w:nsid w:val="5B6D4C63"/>
    <w:multiLevelType w:val="singleLevel"/>
    <w:tmpl w:val="5B6D4C63"/>
    <w:lvl w:ilvl="0" w:tentative="0">
      <w:start w:val="1"/>
      <w:numFmt w:val="chineseCounting"/>
      <w:suff w:val="nothing"/>
      <w:lvlText w:val="%1、"/>
      <w:lvlJc w:val="left"/>
    </w:lvl>
  </w:abstractNum>
  <w:abstractNum w:abstractNumId="24">
    <w:nsid w:val="5B7A640A"/>
    <w:multiLevelType w:val="singleLevel"/>
    <w:tmpl w:val="5B7A640A"/>
    <w:lvl w:ilvl="0" w:tentative="0">
      <w:start w:val="1"/>
      <w:numFmt w:val="chineseCounting"/>
      <w:suff w:val="nothing"/>
      <w:lvlText w:val="（%1）"/>
      <w:lvlJc w:val="left"/>
      <w:pPr>
        <w:ind w:left="0" w:firstLine="420"/>
      </w:pPr>
      <w:rPr>
        <w:rFonts w:hint="eastAsia" w:ascii="楷体" w:hAnsi="楷体" w:eastAsia="楷体"/>
        <w:color w:val="000000" w:themeColor="text1"/>
        <w14:textFill>
          <w14:solidFill>
            <w14:schemeClr w14:val="tx1"/>
          </w14:solidFill>
        </w14:textFill>
      </w:rPr>
    </w:lvl>
  </w:abstractNum>
  <w:abstractNum w:abstractNumId="25">
    <w:nsid w:val="5BCFFD26"/>
    <w:multiLevelType w:val="singleLevel"/>
    <w:tmpl w:val="5BCFFD26"/>
    <w:lvl w:ilvl="0" w:tentative="0">
      <w:start w:val="1"/>
      <w:numFmt w:val="chineseCounting"/>
      <w:suff w:val="nothing"/>
      <w:lvlText w:val="（%1）"/>
      <w:lvlJc w:val="left"/>
      <w:pPr>
        <w:ind w:left="0" w:firstLine="420"/>
      </w:pPr>
      <w:rPr>
        <w:rFonts w:hint="eastAsia"/>
      </w:rPr>
    </w:lvl>
  </w:abstractNum>
  <w:abstractNum w:abstractNumId="26">
    <w:nsid w:val="5BCFFD77"/>
    <w:multiLevelType w:val="singleLevel"/>
    <w:tmpl w:val="5BCFFD77"/>
    <w:lvl w:ilvl="0" w:tentative="0">
      <w:start w:val="1"/>
      <w:numFmt w:val="decimal"/>
      <w:suff w:val="nothing"/>
      <w:lvlText w:val="%1．"/>
      <w:lvlJc w:val="left"/>
      <w:pPr>
        <w:ind w:left="0" w:firstLine="400"/>
      </w:pPr>
      <w:rPr>
        <w:rFonts w:hint="default"/>
      </w:rPr>
    </w:lvl>
  </w:abstractNum>
  <w:abstractNum w:abstractNumId="27">
    <w:nsid w:val="5CB72D29"/>
    <w:multiLevelType w:val="singleLevel"/>
    <w:tmpl w:val="5CB72D29"/>
    <w:lvl w:ilvl="0" w:tentative="0">
      <w:start w:val="1"/>
      <w:numFmt w:val="decimal"/>
      <w:suff w:val="nothing"/>
      <w:lvlText w:val="%1．"/>
      <w:lvlJc w:val="left"/>
      <w:pPr>
        <w:ind w:left="0" w:firstLine="400"/>
      </w:pPr>
      <w:rPr>
        <w:rFonts w:hint="default"/>
      </w:rPr>
    </w:lvl>
  </w:abstractNum>
  <w:abstractNum w:abstractNumId="28">
    <w:nsid w:val="60FD1140"/>
    <w:multiLevelType w:val="singleLevel"/>
    <w:tmpl w:val="60FD1140"/>
    <w:lvl w:ilvl="0" w:tentative="0">
      <w:start w:val="1"/>
      <w:numFmt w:val="decimalEnclosedCircleChinese"/>
      <w:suff w:val="nothing"/>
      <w:lvlText w:val="%1　"/>
      <w:lvlJc w:val="left"/>
      <w:pPr>
        <w:ind w:left="0" w:firstLine="400"/>
      </w:pPr>
      <w:rPr>
        <w:rFonts w:hint="eastAsia"/>
      </w:rPr>
    </w:lvl>
  </w:abstractNum>
  <w:abstractNum w:abstractNumId="29">
    <w:nsid w:val="616DFC59"/>
    <w:multiLevelType w:val="singleLevel"/>
    <w:tmpl w:val="616DFC59"/>
    <w:lvl w:ilvl="0" w:tentative="0">
      <w:start w:val="1"/>
      <w:numFmt w:val="decimal"/>
      <w:suff w:val="space"/>
      <w:lvlText w:val="%1."/>
      <w:lvlJc w:val="left"/>
    </w:lvl>
  </w:abstractNum>
  <w:abstractNum w:abstractNumId="30">
    <w:nsid w:val="66C86694"/>
    <w:multiLevelType w:val="singleLevel"/>
    <w:tmpl w:val="66C86694"/>
    <w:lvl w:ilvl="0" w:tentative="0">
      <w:start w:val="1"/>
      <w:numFmt w:val="decimal"/>
      <w:suff w:val="space"/>
      <w:lvlText w:val="%1."/>
      <w:lvlJc w:val="left"/>
    </w:lvl>
  </w:abstractNum>
  <w:abstractNum w:abstractNumId="31">
    <w:nsid w:val="66E6592F"/>
    <w:multiLevelType w:val="multilevel"/>
    <w:tmpl w:val="66E6592F"/>
    <w:lvl w:ilvl="0" w:tentative="0">
      <w:start w:val="8"/>
      <w:numFmt w:val="decimal"/>
      <w:suff w:val="nothing"/>
      <w:lvlText w:val="%1."/>
      <w:lvlJc w:val="left"/>
      <w:pPr>
        <w:ind w:left="0" w:firstLine="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76260ED"/>
    <w:multiLevelType w:val="singleLevel"/>
    <w:tmpl w:val="676260ED"/>
    <w:lvl w:ilvl="0" w:tentative="0">
      <w:start w:val="1"/>
      <w:numFmt w:val="chineseCounting"/>
      <w:suff w:val="nothing"/>
      <w:lvlText w:val="（%1）"/>
      <w:lvlJc w:val="left"/>
      <w:pPr>
        <w:ind w:left="0" w:firstLine="420"/>
      </w:pPr>
      <w:rPr>
        <w:rFonts w:hint="eastAsia"/>
      </w:rPr>
    </w:lvl>
  </w:abstractNum>
  <w:abstractNum w:abstractNumId="33">
    <w:nsid w:val="71D25053"/>
    <w:multiLevelType w:val="singleLevel"/>
    <w:tmpl w:val="71D25053"/>
    <w:lvl w:ilvl="0" w:tentative="0">
      <w:start w:val="1"/>
      <w:numFmt w:val="decimal"/>
      <w:suff w:val="nothing"/>
      <w:lvlText w:val="%1．"/>
      <w:lvlJc w:val="left"/>
      <w:pPr>
        <w:ind w:left="0" w:firstLine="400"/>
      </w:pPr>
      <w:rPr>
        <w:rFonts w:hint="default"/>
      </w:rPr>
    </w:lvl>
  </w:abstractNum>
  <w:abstractNum w:abstractNumId="34">
    <w:nsid w:val="7A751CA8"/>
    <w:multiLevelType w:val="singleLevel"/>
    <w:tmpl w:val="7A751CA8"/>
    <w:lvl w:ilvl="0" w:tentative="0">
      <w:start w:val="1"/>
      <w:numFmt w:val="decimal"/>
      <w:suff w:val="nothing"/>
      <w:lvlText w:val="%1．"/>
      <w:lvlJc w:val="left"/>
      <w:pPr>
        <w:ind w:left="0" w:firstLine="400"/>
      </w:pPr>
      <w:rPr>
        <w:rFonts w:hint="default"/>
      </w:rPr>
    </w:lvl>
  </w:abstractNum>
  <w:num w:numId="1">
    <w:abstractNumId w:val="23"/>
  </w:num>
  <w:num w:numId="2">
    <w:abstractNumId w:val="5"/>
  </w:num>
  <w:num w:numId="3">
    <w:abstractNumId w:val="18"/>
  </w:num>
  <w:num w:numId="4">
    <w:abstractNumId w:val="31"/>
  </w:num>
  <w:num w:numId="5">
    <w:abstractNumId w:val="8"/>
  </w:num>
  <w:num w:numId="6">
    <w:abstractNumId w:val="19"/>
  </w:num>
  <w:num w:numId="7">
    <w:abstractNumId w:val="0"/>
  </w:num>
  <w:num w:numId="8">
    <w:abstractNumId w:val="24"/>
  </w:num>
  <w:num w:numId="9">
    <w:abstractNumId w:val="25"/>
  </w:num>
  <w:num w:numId="10">
    <w:abstractNumId w:val="26"/>
  </w:num>
  <w:num w:numId="11">
    <w:abstractNumId w:val="17"/>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20"/>
  </w:num>
  <w:num w:numId="20">
    <w:abstractNumId w:val="33"/>
  </w:num>
  <w:num w:numId="21">
    <w:abstractNumId w:val="21"/>
  </w:num>
  <w:num w:numId="22">
    <w:abstractNumId w:val="4"/>
  </w:num>
  <w:num w:numId="23">
    <w:abstractNumId w:val="28"/>
  </w:num>
  <w:num w:numId="24">
    <w:abstractNumId w:val="1"/>
  </w:num>
  <w:num w:numId="25">
    <w:abstractNumId w:val="6"/>
  </w:num>
  <w:num w:numId="26">
    <w:abstractNumId w:val="29"/>
  </w:num>
  <w:num w:numId="27">
    <w:abstractNumId w:val="30"/>
  </w:num>
  <w:num w:numId="28">
    <w:abstractNumId w:val="7"/>
  </w:num>
  <w:num w:numId="29">
    <w:abstractNumId w:val="16"/>
  </w:num>
  <w:num w:numId="30">
    <w:abstractNumId w:val="34"/>
  </w:num>
  <w:num w:numId="31">
    <w:abstractNumId w:val="22"/>
  </w:num>
  <w:num w:numId="32">
    <w:abstractNumId w:val="27"/>
  </w:num>
  <w:num w:numId="33">
    <w:abstractNumId w:val="2"/>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91"/>
    <w:rsid w:val="000018A7"/>
    <w:rsid w:val="00003E52"/>
    <w:rsid w:val="000040E1"/>
    <w:rsid w:val="00004323"/>
    <w:rsid w:val="000047C9"/>
    <w:rsid w:val="00006496"/>
    <w:rsid w:val="000067AB"/>
    <w:rsid w:val="0000766C"/>
    <w:rsid w:val="00011551"/>
    <w:rsid w:val="00011812"/>
    <w:rsid w:val="00012EC5"/>
    <w:rsid w:val="00013A0A"/>
    <w:rsid w:val="00014C02"/>
    <w:rsid w:val="0001620A"/>
    <w:rsid w:val="00016403"/>
    <w:rsid w:val="0002064F"/>
    <w:rsid w:val="00021B98"/>
    <w:rsid w:val="00022C43"/>
    <w:rsid w:val="00023B26"/>
    <w:rsid w:val="00025725"/>
    <w:rsid w:val="00030FCC"/>
    <w:rsid w:val="000348DC"/>
    <w:rsid w:val="00036AFE"/>
    <w:rsid w:val="0004085B"/>
    <w:rsid w:val="00040E8C"/>
    <w:rsid w:val="00044DF7"/>
    <w:rsid w:val="00045202"/>
    <w:rsid w:val="00045B54"/>
    <w:rsid w:val="00045E2B"/>
    <w:rsid w:val="000469CA"/>
    <w:rsid w:val="00046C2D"/>
    <w:rsid w:val="000500E6"/>
    <w:rsid w:val="00050903"/>
    <w:rsid w:val="000515C8"/>
    <w:rsid w:val="000535E3"/>
    <w:rsid w:val="00053748"/>
    <w:rsid w:val="000538CA"/>
    <w:rsid w:val="00057294"/>
    <w:rsid w:val="000620FE"/>
    <w:rsid w:val="00064DF5"/>
    <w:rsid w:val="0007048B"/>
    <w:rsid w:val="00071900"/>
    <w:rsid w:val="00074724"/>
    <w:rsid w:val="00076E84"/>
    <w:rsid w:val="000779D8"/>
    <w:rsid w:val="00077B64"/>
    <w:rsid w:val="000809A0"/>
    <w:rsid w:val="00081415"/>
    <w:rsid w:val="000817D5"/>
    <w:rsid w:val="00081986"/>
    <w:rsid w:val="000829CC"/>
    <w:rsid w:val="0008508E"/>
    <w:rsid w:val="00085CF8"/>
    <w:rsid w:val="0008611E"/>
    <w:rsid w:val="00087090"/>
    <w:rsid w:val="00087774"/>
    <w:rsid w:val="00091286"/>
    <w:rsid w:val="000913C7"/>
    <w:rsid w:val="00091934"/>
    <w:rsid w:val="00094960"/>
    <w:rsid w:val="000959F3"/>
    <w:rsid w:val="00095D68"/>
    <w:rsid w:val="0009688A"/>
    <w:rsid w:val="000A0A38"/>
    <w:rsid w:val="000A0F78"/>
    <w:rsid w:val="000A17D8"/>
    <w:rsid w:val="000A1F5E"/>
    <w:rsid w:val="000A6815"/>
    <w:rsid w:val="000B0E94"/>
    <w:rsid w:val="000B1242"/>
    <w:rsid w:val="000B2255"/>
    <w:rsid w:val="000B25D1"/>
    <w:rsid w:val="000B433D"/>
    <w:rsid w:val="000B45EE"/>
    <w:rsid w:val="000B5A2C"/>
    <w:rsid w:val="000B7CF1"/>
    <w:rsid w:val="000C0F9F"/>
    <w:rsid w:val="000C1CAF"/>
    <w:rsid w:val="000C42D8"/>
    <w:rsid w:val="000C5F80"/>
    <w:rsid w:val="000C6B27"/>
    <w:rsid w:val="000D155B"/>
    <w:rsid w:val="000D1D1C"/>
    <w:rsid w:val="000D21C2"/>
    <w:rsid w:val="000D22BD"/>
    <w:rsid w:val="000D2D08"/>
    <w:rsid w:val="000D35CB"/>
    <w:rsid w:val="000D3E1F"/>
    <w:rsid w:val="000D4456"/>
    <w:rsid w:val="000D4F7D"/>
    <w:rsid w:val="000D5A67"/>
    <w:rsid w:val="000D6A2C"/>
    <w:rsid w:val="000E0704"/>
    <w:rsid w:val="000E0A10"/>
    <w:rsid w:val="000E2AE1"/>
    <w:rsid w:val="000E2DA1"/>
    <w:rsid w:val="000E36F8"/>
    <w:rsid w:val="000E5783"/>
    <w:rsid w:val="000E587D"/>
    <w:rsid w:val="000E5B43"/>
    <w:rsid w:val="000F1892"/>
    <w:rsid w:val="000F3537"/>
    <w:rsid w:val="000F3D72"/>
    <w:rsid w:val="000F3FEE"/>
    <w:rsid w:val="000F4858"/>
    <w:rsid w:val="000F7BEC"/>
    <w:rsid w:val="00100370"/>
    <w:rsid w:val="00100F4C"/>
    <w:rsid w:val="0010287A"/>
    <w:rsid w:val="00102F9F"/>
    <w:rsid w:val="00103F1C"/>
    <w:rsid w:val="00104093"/>
    <w:rsid w:val="00104D44"/>
    <w:rsid w:val="00105439"/>
    <w:rsid w:val="00107953"/>
    <w:rsid w:val="00110C01"/>
    <w:rsid w:val="00110EEF"/>
    <w:rsid w:val="00111F71"/>
    <w:rsid w:val="00116ABF"/>
    <w:rsid w:val="00117B4A"/>
    <w:rsid w:val="0012023F"/>
    <w:rsid w:val="001240AA"/>
    <w:rsid w:val="0012456C"/>
    <w:rsid w:val="001246E6"/>
    <w:rsid w:val="001255C0"/>
    <w:rsid w:val="0012577F"/>
    <w:rsid w:val="00125863"/>
    <w:rsid w:val="001258B3"/>
    <w:rsid w:val="00126647"/>
    <w:rsid w:val="0012667C"/>
    <w:rsid w:val="00126BAF"/>
    <w:rsid w:val="001279AC"/>
    <w:rsid w:val="00127AD4"/>
    <w:rsid w:val="00127DD2"/>
    <w:rsid w:val="001334F3"/>
    <w:rsid w:val="001337D5"/>
    <w:rsid w:val="001349B7"/>
    <w:rsid w:val="00136790"/>
    <w:rsid w:val="00140507"/>
    <w:rsid w:val="0014136E"/>
    <w:rsid w:val="0014465F"/>
    <w:rsid w:val="00144995"/>
    <w:rsid w:val="001460EB"/>
    <w:rsid w:val="0014630A"/>
    <w:rsid w:val="00150BF5"/>
    <w:rsid w:val="00151644"/>
    <w:rsid w:val="001539E0"/>
    <w:rsid w:val="00153D49"/>
    <w:rsid w:val="00153E42"/>
    <w:rsid w:val="00154CB1"/>
    <w:rsid w:val="001561D0"/>
    <w:rsid w:val="00162B93"/>
    <w:rsid w:val="0016349C"/>
    <w:rsid w:val="001642CE"/>
    <w:rsid w:val="001642EC"/>
    <w:rsid w:val="00165791"/>
    <w:rsid w:val="00166601"/>
    <w:rsid w:val="0016680C"/>
    <w:rsid w:val="001669F3"/>
    <w:rsid w:val="00170E08"/>
    <w:rsid w:val="00170E7F"/>
    <w:rsid w:val="00175428"/>
    <w:rsid w:val="00175C51"/>
    <w:rsid w:val="00177632"/>
    <w:rsid w:val="0017786F"/>
    <w:rsid w:val="00177C68"/>
    <w:rsid w:val="00180365"/>
    <w:rsid w:val="00180C55"/>
    <w:rsid w:val="00180C75"/>
    <w:rsid w:val="00182610"/>
    <w:rsid w:val="00182AA3"/>
    <w:rsid w:val="00182CCA"/>
    <w:rsid w:val="00182D50"/>
    <w:rsid w:val="00183ED7"/>
    <w:rsid w:val="00184053"/>
    <w:rsid w:val="00186A24"/>
    <w:rsid w:val="001953F2"/>
    <w:rsid w:val="00195590"/>
    <w:rsid w:val="001A071C"/>
    <w:rsid w:val="001A2561"/>
    <w:rsid w:val="001A34DF"/>
    <w:rsid w:val="001A4793"/>
    <w:rsid w:val="001A7B1D"/>
    <w:rsid w:val="001B1624"/>
    <w:rsid w:val="001B17C2"/>
    <w:rsid w:val="001B326E"/>
    <w:rsid w:val="001B7709"/>
    <w:rsid w:val="001C0ABB"/>
    <w:rsid w:val="001C2D67"/>
    <w:rsid w:val="001C341F"/>
    <w:rsid w:val="001C3652"/>
    <w:rsid w:val="001C3FA8"/>
    <w:rsid w:val="001C76E0"/>
    <w:rsid w:val="001D1971"/>
    <w:rsid w:val="001D1F70"/>
    <w:rsid w:val="001D34C2"/>
    <w:rsid w:val="001D3ABB"/>
    <w:rsid w:val="001D58AD"/>
    <w:rsid w:val="001D60D2"/>
    <w:rsid w:val="001D6474"/>
    <w:rsid w:val="001D67F5"/>
    <w:rsid w:val="001E1304"/>
    <w:rsid w:val="001E1742"/>
    <w:rsid w:val="001E1E20"/>
    <w:rsid w:val="001E2F2C"/>
    <w:rsid w:val="001E3535"/>
    <w:rsid w:val="001E381F"/>
    <w:rsid w:val="001E429A"/>
    <w:rsid w:val="001E44C9"/>
    <w:rsid w:val="001E5AA2"/>
    <w:rsid w:val="001F0D7A"/>
    <w:rsid w:val="001F119B"/>
    <w:rsid w:val="001F33D6"/>
    <w:rsid w:val="001F4BBB"/>
    <w:rsid w:val="001F5C79"/>
    <w:rsid w:val="001F63C2"/>
    <w:rsid w:val="001F66E1"/>
    <w:rsid w:val="00202BA7"/>
    <w:rsid w:val="0020497B"/>
    <w:rsid w:val="00204EE9"/>
    <w:rsid w:val="00205957"/>
    <w:rsid w:val="00206D11"/>
    <w:rsid w:val="00207080"/>
    <w:rsid w:val="0021081E"/>
    <w:rsid w:val="00210DDD"/>
    <w:rsid w:val="00212477"/>
    <w:rsid w:val="00212EA8"/>
    <w:rsid w:val="00212EDA"/>
    <w:rsid w:val="00215165"/>
    <w:rsid w:val="00216801"/>
    <w:rsid w:val="00220D44"/>
    <w:rsid w:val="00223217"/>
    <w:rsid w:val="00223B41"/>
    <w:rsid w:val="0022607B"/>
    <w:rsid w:val="0022634C"/>
    <w:rsid w:val="002266D6"/>
    <w:rsid w:val="0022715E"/>
    <w:rsid w:val="002277D6"/>
    <w:rsid w:val="00230FF2"/>
    <w:rsid w:val="0023492B"/>
    <w:rsid w:val="00235E11"/>
    <w:rsid w:val="00236274"/>
    <w:rsid w:val="002369FE"/>
    <w:rsid w:val="00237E5C"/>
    <w:rsid w:val="00237FE4"/>
    <w:rsid w:val="002414FF"/>
    <w:rsid w:val="00241CEB"/>
    <w:rsid w:val="0024257F"/>
    <w:rsid w:val="00243F41"/>
    <w:rsid w:val="00244388"/>
    <w:rsid w:val="00246467"/>
    <w:rsid w:val="002507E8"/>
    <w:rsid w:val="00253B90"/>
    <w:rsid w:val="00253C7B"/>
    <w:rsid w:val="00260717"/>
    <w:rsid w:val="00262B79"/>
    <w:rsid w:val="00263F21"/>
    <w:rsid w:val="00264B52"/>
    <w:rsid w:val="00264D0E"/>
    <w:rsid w:val="00265D04"/>
    <w:rsid w:val="00267E18"/>
    <w:rsid w:val="00270246"/>
    <w:rsid w:val="00271CBB"/>
    <w:rsid w:val="0027283F"/>
    <w:rsid w:val="00274260"/>
    <w:rsid w:val="00275C08"/>
    <w:rsid w:val="00276513"/>
    <w:rsid w:val="00276ACB"/>
    <w:rsid w:val="00277891"/>
    <w:rsid w:val="00282536"/>
    <w:rsid w:val="00284B85"/>
    <w:rsid w:val="00285E35"/>
    <w:rsid w:val="0028618C"/>
    <w:rsid w:val="002904CB"/>
    <w:rsid w:val="002918F0"/>
    <w:rsid w:val="002A04C0"/>
    <w:rsid w:val="002A0B17"/>
    <w:rsid w:val="002A0FCE"/>
    <w:rsid w:val="002A3D9D"/>
    <w:rsid w:val="002A4D22"/>
    <w:rsid w:val="002A75DA"/>
    <w:rsid w:val="002B19FF"/>
    <w:rsid w:val="002B4B83"/>
    <w:rsid w:val="002B57AE"/>
    <w:rsid w:val="002B73F6"/>
    <w:rsid w:val="002B7D74"/>
    <w:rsid w:val="002C16E1"/>
    <w:rsid w:val="002C4503"/>
    <w:rsid w:val="002C531F"/>
    <w:rsid w:val="002C53F0"/>
    <w:rsid w:val="002C67B8"/>
    <w:rsid w:val="002C76E4"/>
    <w:rsid w:val="002C79DC"/>
    <w:rsid w:val="002C7B10"/>
    <w:rsid w:val="002C7C18"/>
    <w:rsid w:val="002C7FD8"/>
    <w:rsid w:val="002D02C8"/>
    <w:rsid w:val="002D0FBC"/>
    <w:rsid w:val="002D1E8A"/>
    <w:rsid w:val="002D6D94"/>
    <w:rsid w:val="002D7B9F"/>
    <w:rsid w:val="002D7FDA"/>
    <w:rsid w:val="002E0914"/>
    <w:rsid w:val="002E0A9A"/>
    <w:rsid w:val="002E17ED"/>
    <w:rsid w:val="002E1CD2"/>
    <w:rsid w:val="002E51AA"/>
    <w:rsid w:val="002E5AF1"/>
    <w:rsid w:val="002E615A"/>
    <w:rsid w:val="002E64A8"/>
    <w:rsid w:val="002E6555"/>
    <w:rsid w:val="002E7597"/>
    <w:rsid w:val="002F2300"/>
    <w:rsid w:val="002F2372"/>
    <w:rsid w:val="002F332B"/>
    <w:rsid w:val="002F3689"/>
    <w:rsid w:val="002F3F4B"/>
    <w:rsid w:val="002F63D5"/>
    <w:rsid w:val="002F6FB9"/>
    <w:rsid w:val="0030065B"/>
    <w:rsid w:val="003016F7"/>
    <w:rsid w:val="003017A1"/>
    <w:rsid w:val="00302AD0"/>
    <w:rsid w:val="0030423A"/>
    <w:rsid w:val="00305841"/>
    <w:rsid w:val="00305AEF"/>
    <w:rsid w:val="0030618A"/>
    <w:rsid w:val="00306AD2"/>
    <w:rsid w:val="00307620"/>
    <w:rsid w:val="00310398"/>
    <w:rsid w:val="00310727"/>
    <w:rsid w:val="00310F3B"/>
    <w:rsid w:val="00310F41"/>
    <w:rsid w:val="003114B9"/>
    <w:rsid w:val="00312860"/>
    <w:rsid w:val="00313CB9"/>
    <w:rsid w:val="003169B9"/>
    <w:rsid w:val="00316D30"/>
    <w:rsid w:val="00317905"/>
    <w:rsid w:val="00317933"/>
    <w:rsid w:val="00317F3B"/>
    <w:rsid w:val="003207E9"/>
    <w:rsid w:val="003219EF"/>
    <w:rsid w:val="00322494"/>
    <w:rsid w:val="00323710"/>
    <w:rsid w:val="00324B02"/>
    <w:rsid w:val="00332A9D"/>
    <w:rsid w:val="003343D2"/>
    <w:rsid w:val="00336D39"/>
    <w:rsid w:val="00337379"/>
    <w:rsid w:val="003407A2"/>
    <w:rsid w:val="00340C7A"/>
    <w:rsid w:val="003417FD"/>
    <w:rsid w:val="00341D34"/>
    <w:rsid w:val="0034286F"/>
    <w:rsid w:val="00342F1F"/>
    <w:rsid w:val="003434FB"/>
    <w:rsid w:val="00343837"/>
    <w:rsid w:val="00343F95"/>
    <w:rsid w:val="003469E4"/>
    <w:rsid w:val="003507D9"/>
    <w:rsid w:val="00351037"/>
    <w:rsid w:val="00352855"/>
    <w:rsid w:val="00352980"/>
    <w:rsid w:val="003536C2"/>
    <w:rsid w:val="0035413B"/>
    <w:rsid w:val="00355C5C"/>
    <w:rsid w:val="00356424"/>
    <w:rsid w:val="00356F96"/>
    <w:rsid w:val="00357269"/>
    <w:rsid w:val="00360EAF"/>
    <w:rsid w:val="00362A71"/>
    <w:rsid w:val="003635E6"/>
    <w:rsid w:val="00363BA6"/>
    <w:rsid w:val="0037040A"/>
    <w:rsid w:val="0037089F"/>
    <w:rsid w:val="00371B40"/>
    <w:rsid w:val="00371FD6"/>
    <w:rsid w:val="003724DB"/>
    <w:rsid w:val="0037303D"/>
    <w:rsid w:val="00373C8C"/>
    <w:rsid w:val="00374E3D"/>
    <w:rsid w:val="0037555D"/>
    <w:rsid w:val="003770B7"/>
    <w:rsid w:val="00377823"/>
    <w:rsid w:val="003848F8"/>
    <w:rsid w:val="00384E00"/>
    <w:rsid w:val="0038557A"/>
    <w:rsid w:val="003861E4"/>
    <w:rsid w:val="00387A2A"/>
    <w:rsid w:val="00391085"/>
    <w:rsid w:val="0039116C"/>
    <w:rsid w:val="00393BA1"/>
    <w:rsid w:val="00394463"/>
    <w:rsid w:val="00396AB6"/>
    <w:rsid w:val="00396DE0"/>
    <w:rsid w:val="00396F47"/>
    <w:rsid w:val="0039727B"/>
    <w:rsid w:val="003A1107"/>
    <w:rsid w:val="003A3E34"/>
    <w:rsid w:val="003A4497"/>
    <w:rsid w:val="003A5AAE"/>
    <w:rsid w:val="003A61D5"/>
    <w:rsid w:val="003A63BA"/>
    <w:rsid w:val="003A6BA6"/>
    <w:rsid w:val="003A6BD4"/>
    <w:rsid w:val="003A7ECB"/>
    <w:rsid w:val="003B00E3"/>
    <w:rsid w:val="003B16FD"/>
    <w:rsid w:val="003B303D"/>
    <w:rsid w:val="003B3299"/>
    <w:rsid w:val="003B4F8D"/>
    <w:rsid w:val="003B6363"/>
    <w:rsid w:val="003B6BB9"/>
    <w:rsid w:val="003B732A"/>
    <w:rsid w:val="003C07A2"/>
    <w:rsid w:val="003C1EF9"/>
    <w:rsid w:val="003C2B49"/>
    <w:rsid w:val="003C2E75"/>
    <w:rsid w:val="003C5C77"/>
    <w:rsid w:val="003D0D9A"/>
    <w:rsid w:val="003D0ED6"/>
    <w:rsid w:val="003D317E"/>
    <w:rsid w:val="003D6707"/>
    <w:rsid w:val="003D6B76"/>
    <w:rsid w:val="003D7978"/>
    <w:rsid w:val="003D7B96"/>
    <w:rsid w:val="003E068A"/>
    <w:rsid w:val="003E10ED"/>
    <w:rsid w:val="003E1D48"/>
    <w:rsid w:val="003E2358"/>
    <w:rsid w:val="003E29F3"/>
    <w:rsid w:val="003E2F52"/>
    <w:rsid w:val="003E3E51"/>
    <w:rsid w:val="003E545C"/>
    <w:rsid w:val="003F04AA"/>
    <w:rsid w:val="003F134D"/>
    <w:rsid w:val="003F2565"/>
    <w:rsid w:val="003F2631"/>
    <w:rsid w:val="003F3555"/>
    <w:rsid w:val="003F541F"/>
    <w:rsid w:val="003F6E02"/>
    <w:rsid w:val="003F6ECF"/>
    <w:rsid w:val="00402383"/>
    <w:rsid w:val="00402DC1"/>
    <w:rsid w:val="004064ED"/>
    <w:rsid w:val="00406921"/>
    <w:rsid w:val="00410243"/>
    <w:rsid w:val="00411AF4"/>
    <w:rsid w:val="00412A66"/>
    <w:rsid w:val="00413111"/>
    <w:rsid w:val="00415623"/>
    <w:rsid w:val="00416ACC"/>
    <w:rsid w:val="00417E9D"/>
    <w:rsid w:val="004208AE"/>
    <w:rsid w:val="0042127C"/>
    <w:rsid w:val="00424C39"/>
    <w:rsid w:val="004262ED"/>
    <w:rsid w:val="0042720D"/>
    <w:rsid w:val="0043131F"/>
    <w:rsid w:val="00431DF7"/>
    <w:rsid w:val="004320F0"/>
    <w:rsid w:val="00432573"/>
    <w:rsid w:val="00432722"/>
    <w:rsid w:val="004338FA"/>
    <w:rsid w:val="00434B52"/>
    <w:rsid w:val="004352DB"/>
    <w:rsid w:val="0043619A"/>
    <w:rsid w:val="00436B55"/>
    <w:rsid w:val="00441440"/>
    <w:rsid w:val="00441C99"/>
    <w:rsid w:val="00442608"/>
    <w:rsid w:val="00442D44"/>
    <w:rsid w:val="0044487F"/>
    <w:rsid w:val="00445648"/>
    <w:rsid w:val="00445B98"/>
    <w:rsid w:val="00445F27"/>
    <w:rsid w:val="00446FA8"/>
    <w:rsid w:val="0045099B"/>
    <w:rsid w:val="004539D9"/>
    <w:rsid w:val="004543C3"/>
    <w:rsid w:val="0045587A"/>
    <w:rsid w:val="00455DCD"/>
    <w:rsid w:val="00456592"/>
    <w:rsid w:val="00460D10"/>
    <w:rsid w:val="00462692"/>
    <w:rsid w:val="00464B69"/>
    <w:rsid w:val="0046581C"/>
    <w:rsid w:val="00465967"/>
    <w:rsid w:val="004661EA"/>
    <w:rsid w:val="0046650D"/>
    <w:rsid w:val="0046740F"/>
    <w:rsid w:val="00471F6A"/>
    <w:rsid w:val="00472312"/>
    <w:rsid w:val="00472DE7"/>
    <w:rsid w:val="00473941"/>
    <w:rsid w:val="004744A8"/>
    <w:rsid w:val="00475AA3"/>
    <w:rsid w:val="00481095"/>
    <w:rsid w:val="00481EB5"/>
    <w:rsid w:val="00482143"/>
    <w:rsid w:val="0048283D"/>
    <w:rsid w:val="00483212"/>
    <w:rsid w:val="00483972"/>
    <w:rsid w:val="00484F76"/>
    <w:rsid w:val="00485412"/>
    <w:rsid w:val="004857C3"/>
    <w:rsid w:val="004867FD"/>
    <w:rsid w:val="00486DDF"/>
    <w:rsid w:val="00487DF5"/>
    <w:rsid w:val="00487F26"/>
    <w:rsid w:val="00487F8B"/>
    <w:rsid w:val="00490670"/>
    <w:rsid w:val="00491D5D"/>
    <w:rsid w:val="0049316D"/>
    <w:rsid w:val="00494DA1"/>
    <w:rsid w:val="004951EF"/>
    <w:rsid w:val="004A0069"/>
    <w:rsid w:val="004A1D1B"/>
    <w:rsid w:val="004A30F8"/>
    <w:rsid w:val="004A321C"/>
    <w:rsid w:val="004A4356"/>
    <w:rsid w:val="004A4A13"/>
    <w:rsid w:val="004A4B46"/>
    <w:rsid w:val="004A5836"/>
    <w:rsid w:val="004A5FC7"/>
    <w:rsid w:val="004A662F"/>
    <w:rsid w:val="004B1196"/>
    <w:rsid w:val="004B252B"/>
    <w:rsid w:val="004B2DA0"/>
    <w:rsid w:val="004B2EFA"/>
    <w:rsid w:val="004B436B"/>
    <w:rsid w:val="004B5AD8"/>
    <w:rsid w:val="004B739F"/>
    <w:rsid w:val="004C0088"/>
    <w:rsid w:val="004C1033"/>
    <w:rsid w:val="004C22C3"/>
    <w:rsid w:val="004C7B8D"/>
    <w:rsid w:val="004D283D"/>
    <w:rsid w:val="004D2D55"/>
    <w:rsid w:val="004D3169"/>
    <w:rsid w:val="004D360A"/>
    <w:rsid w:val="004D5247"/>
    <w:rsid w:val="004E0455"/>
    <w:rsid w:val="004E4E92"/>
    <w:rsid w:val="004E5891"/>
    <w:rsid w:val="004E672A"/>
    <w:rsid w:val="004E6993"/>
    <w:rsid w:val="004E7042"/>
    <w:rsid w:val="004F0241"/>
    <w:rsid w:val="004F04E1"/>
    <w:rsid w:val="004F16AD"/>
    <w:rsid w:val="004F3784"/>
    <w:rsid w:val="004F4041"/>
    <w:rsid w:val="004F4316"/>
    <w:rsid w:val="004F7BB2"/>
    <w:rsid w:val="005005FB"/>
    <w:rsid w:val="0050072B"/>
    <w:rsid w:val="0050150E"/>
    <w:rsid w:val="00501B4A"/>
    <w:rsid w:val="00502ACF"/>
    <w:rsid w:val="00502EB8"/>
    <w:rsid w:val="005049DD"/>
    <w:rsid w:val="00511803"/>
    <w:rsid w:val="00512F15"/>
    <w:rsid w:val="00512F31"/>
    <w:rsid w:val="0051481A"/>
    <w:rsid w:val="00516917"/>
    <w:rsid w:val="00517B51"/>
    <w:rsid w:val="00522060"/>
    <w:rsid w:val="0052694E"/>
    <w:rsid w:val="00527AF8"/>
    <w:rsid w:val="00531C32"/>
    <w:rsid w:val="00531C80"/>
    <w:rsid w:val="00532683"/>
    <w:rsid w:val="00533BE8"/>
    <w:rsid w:val="005401BD"/>
    <w:rsid w:val="0054248A"/>
    <w:rsid w:val="00542B02"/>
    <w:rsid w:val="00544908"/>
    <w:rsid w:val="005467C9"/>
    <w:rsid w:val="00551CD5"/>
    <w:rsid w:val="0055259A"/>
    <w:rsid w:val="005525C2"/>
    <w:rsid w:val="00552699"/>
    <w:rsid w:val="00553D7B"/>
    <w:rsid w:val="0055486F"/>
    <w:rsid w:val="00555A68"/>
    <w:rsid w:val="00564193"/>
    <w:rsid w:val="005672BC"/>
    <w:rsid w:val="00571819"/>
    <w:rsid w:val="00575708"/>
    <w:rsid w:val="0057585F"/>
    <w:rsid w:val="00577D84"/>
    <w:rsid w:val="0058034B"/>
    <w:rsid w:val="00581C11"/>
    <w:rsid w:val="00586AA9"/>
    <w:rsid w:val="00590285"/>
    <w:rsid w:val="00590DFE"/>
    <w:rsid w:val="00590F59"/>
    <w:rsid w:val="0059446D"/>
    <w:rsid w:val="0059686D"/>
    <w:rsid w:val="00597853"/>
    <w:rsid w:val="00597A23"/>
    <w:rsid w:val="005A051A"/>
    <w:rsid w:val="005A0D4C"/>
    <w:rsid w:val="005A2117"/>
    <w:rsid w:val="005A507F"/>
    <w:rsid w:val="005A592A"/>
    <w:rsid w:val="005A6610"/>
    <w:rsid w:val="005A6825"/>
    <w:rsid w:val="005A6B68"/>
    <w:rsid w:val="005A739C"/>
    <w:rsid w:val="005B09E0"/>
    <w:rsid w:val="005B2DD7"/>
    <w:rsid w:val="005B390E"/>
    <w:rsid w:val="005B3B5A"/>
    <w:rsid w:val="005B6E43"/>
    <w:rsid w:val="005B77BB"/>
    <w:rsid w:val="005C1CA1"/>
    <w:rsid w:val="005C2D8C"/>
    <w:rsid w:val="005C39A3"/>
    <w:rsid w:val="005C6B9A"/>
    <w:rsid w:val="005D0777"/>
    <w:rsid w:val="005D0D9E"/>
    <w:rsid w:val="005D1650"/>
    <w:rsid w:val="005D2A98"/>
    <w:rsid w:val="005D3AF0"/>
    <w:rsid w:val="005D3B65"/>
    <w:rsid w:val="005D6107"/>
    <w:rsid w:val="005D7191"/>
    <w:rsid w:val="005D71B7"/>
    <w:rsid w:val="005D7C69"/>
    <w:rsid w:val="005D7DBA"/>
    <w:rsid w:val="005D7DF4"/>
    <w:rsid w:val="005E0226"/>
    <w:rsid w:val="005E1A78"/>
    <w:rsid w:val="005E2533"/>
    <w:rsid w:val="005E339B"/>
    <w:rsid w:val="005E4D9B"/>
    <w:rsid w:val="005E5062"/>
    <w:rsid w:val="005E6581"/>
    <w:rsid w:val="005E70E0"/>
    <w:rsid w:val="005E77E1"/>
    <w:rsid w:val="005E7A6A"/>
    <w:rsid w:val="005E7A9E"/>
    <w:rsid w:val="005E7BCF"/>
    <w:rsid w:val="005E7DEB"/>
    <w:rsid w:val="005F52C8"/>
    <w:rsid w:val="005F543F"/>
    <w:rsid w:val="005F60BA"/>
    <w:rsid w:val="005F67DB"/>
    <w:rsid w:val="005F6BD9"/>
    <w:rsid w:val="00600548"/>
    <w:rsid w:val="00600D18"/>
    <w:rsid w:val="00601E10"/>
    <w:rsid w:val="00603227"/>
    <w:rsid w:val="00607201"/>
    <w:rsid w:val="00607A38"/>
    <w:rsid w:val="0061189B"/>
    <w:rsid w:val="0061379F"/>
    <w:rsid w:val="006154FA"/>
    <w:rsid w:val="0062053A"/>
    <w:rsid w:val="00620D5C"/>
    <w:rsid w:val="0062227E"/>
    <w:rsid w:val="0062358F"/>
    <w:rsid w:val="0062560F"/>
    <w:rsid w:val="00627321"/>
    <w:rsid w:val="0063272E"/>
    <w:rsid w:val="00632FC1"/>
    <w:rsid w:val="006333E3"/>
    <w:rsid w:val="00635E57"/>
    <w:rsid w:val="006368DB"/>
    <w:rsid w:val="00636976"/>
    <w:rsid w:val="006376A4"/>
    <w:rsid w:val="00642230"/>
    <w:rsid w:val="00642344"/>
    <w:rsid w:val="00646A07"/>
    <w:rsid w:val="00653B96"/>
    <w:rsid w:val="0065419E"/>
    <w:rsid w:val="00656022"/>
    <w:rsid w:val="00656174"/>
    <w:rsid w:val="0065656F"/>
    <w:rsid w:val="0065780D"/>
    <w:rsid w:val="006578FF"/>
    <w:rsid w:val="006604EA"/>
    <w:rsid w:val="00660AAB"/>
    <w:rsid w:val="00661169"/>
    <w:rsid w:val="006665F6"/>
    <w:rsid w:val="00670117"/>
    <w:rsid w:val="00670E6F"/>
    <w:rsid w:val="00670F43"/>
    <w:rsid w:val="00671120"/>
    <w:rsid w:val="00671DE7"/>
    <w:rsid w:val="00672125"/>
    <w:rsid w:val="00672421"/>
    <w:rsid w:val="00673E58"/>
    <w:rsid w:val="00675320"/>
    <w:rsid w:val="006762D0"/>
    <w:rsid w:val="006767BA"/>
    <w:rsid w:val="006817C2"/>
    <w:rsid w:val="0068212B"/>
    <w:rsid w:val="00685205"/>
    <w:rsid w:val="0068535B"/>
    <w:rsid w:val="00687117"/>
    <w:rsid w:val="00687274"/>
    <w:rsid w:val="00690424"/>
    <w:rsid w:val="00690AF2"/>
    <w:rsid w:val="00691E5B"/>
    <w:rsid w:val="0069448C"/>
    <w:rsid w:val="006958AE"/>
    <w:rsid w:val="00695CE3"/>
    <w:rsid w:val="0069715E"/>
    <w:rsid w:val="006976A5"/>
    <w:rsid w:val="00697DD6"/>
    <w:rsid w:val="006A0937"/>
    <w:rsid w:val="006A1191"/>
    <w:rsid w:val="006A4C34"/>
    <w:rsid w:val="006A4FAE"/>
    <w:rsid w:val="006A5435"/>
    <w:rsid w:val="006A6C15"/>
    <w:rsid w:val="006B1982"/>
    <w:rsid w:val="006B257B"/>
    <w:rsid w:val="006B2DF9"/>
    <w:rsid w:val="006B5987"/>
    <w:rsid w:val="006B6B7C"/>
    <w:rsid w:val="006C13A0"/>
    <w:rsid w:val="006C6A12"/>
    <w:rsid w:val="006D131D"/>
    <w:rsid w:val="006D1953"/>
    <w:rsid w:val="006D29D7"/>
    <w:rsid w:val="006D3175"/>
    <w:rsid w:val="006D394F"/>
    <w:rsid w:val="006D7A4A"/>
    <w:rsid w:val="006E105A"/>
    <w:rsid w:val="006E2537"/>
    <w:rsid w:val="006E3A79"/>
    <w:rsid w:val="006E4C33"/>
    <w:rsid w:val="006E6004"/>
    <w:rsid w:val="006E6CA3"/>
    <w:rsid w:val="006E73F3"/>
    <w:rsid w:val="006F0020"/>
    <w:rsid w:val="006F12D5"/>
    <w:rsid w:val="006F243B"/>
    <w:rsid w:val="006F2E10"/>
    <w:rsid w:val="006F4389"/>
    <w:rsid w:val="006F4E06"/>
    <w:rsid w:val="006F504D"/>
    <w:rsid w:val="006F758D"/>
    <w:rsid w:val="0070130F"/>
    <w:rsid w:val="00702125"/>
    <w:rsid w:val="00702FE8"/>
    <w:rsid w:val="00703327"/>
    <w:rsid w:val="0070487D"/>
    <w:rsid w:val="007050E1"/>
    <w:rsid w:val="0070576E"/>
    <w:rsid w:val="007069A2"/>
    <w:rsid w:val="00707DC9"/>
    <w:rsid w:val="0071033F"/>
    <w:rsid w:val="0071102E"/>
    <w:rsid w:val="00711223"/>
    <w:rsid w:val="0071201A"/>
    <w:rsid w:val="00712386"/>
    <w:rsid w:val="007125DA"/>
    <w:rsid w:val="00714A04"/>
    <w:rsid w:val="00714A12"/>
    <w:rsid w:val="00715CC7"/>
    <w:rsid w:val="00715E5A"/>
    <w:rsid w:val="007164D4"/>
    <w:rsid w:val="00716E9E"/>
    <w:rsid w:val="00716FDA"/>
    <w:rsid w:val="00720528"/>
    <w:rsid w:val="007206E7"/>
    <w:rsid w:val="00721300"/>
    <w:rsid w:val="0072149B"/>
    <w:rsid w:val="00722603"/>
    <w:rsid w:val="007236E0"/>
    <w:rsid w:val="00725F19"/>
    <w:rsid w:val="007341FC"/>
    <w:rsid w:val="007357D7"/>
    <w:rsid w:val="00740B72"/>
    <w:rsid w:val="00742B56"/>
    <w:rsid w:val="0074313B"/>
    <w:rsid w:val="00747291"/>
    <w:rsid w:val="00750F37"/>
    <w:rsid w:val="007518D6"/>
    <w:rsid w:val="00752621"/>
    <w:rsid w:val="007574C1"/>
    <w:rsid w:val="00757EAD"/>
    <w:rsid w:val="00760091"/>
    <w:rsid w:val="00761188"/>
    <w:rsid w:val="00761A41"/>
    <w:rsid w:val="00762758"/>
    <w:rsid w:val="007639DF"/>
    <w:rsid w:val="007641B3"/>
    <w:rsid w:val="00766E8F"/>
    <w:rsid w:val="0076785B"/>
    <w:rsid w:val="007701C8"/>
    <w:rsid w:val="00770EF8"/>
    <w:rsid w:val="00771706"/>
    <w:rsid w:val="007726B2"/>
    <w:rsid w:val="0077538F"/>
    <w:rsid w:val="00775DA2"/>
    <w:rsid w:val="007765C4"/>
    <w:rsid w:val="00776C92"/>
    <w:rsid w:val="00777597"/>
    <w:rsid w:val="0077788D"/>
    <w:rsid w:val="007832A8"/>
    <w:rsid w:val="00783685"/>
    <w:rsid w:val="00783B22"/>
    <w:rsid w:val="007867EB"/>
    <w:rsid w:val="00786DE0"/>
    <w:rsid w:val="007878EF"/>
    <w:rsid w:val="00791890"/>
    <w:rsid w:val="00791CEE"/>
    <w:rsid w:val="00791D13"/>
    <w:rsid w:val="007920C2"/>
    <w:rsid w:val="00793DA4"/>
    <w:rsid w:val="00794B17"/>
    <w:rsid w:val="00795133"/>
    <w:rsid w:val="00795E87"/>
    <w:rsid w:val="007966E3"/>
    <w:rsid w:val="007974E0"/>
    <w:rsid w:val="007A0A48"/>
    <w:rsid w:val="007A143D"/>
    <w:rsid w:val="007A231E"/>
    <w:rsid w:val="007A29E9"/>
    <w:rsid w:val="007A50AD"/>
    <w:rsid w:val="007A51A4"/>
    <w:rsid w:val="007A539F"/>
    <w:rsid w:val="007A53FE"/>
    <w:rsid w:val="007A6750"/>
    <w:rsid w:val="007A714B"/>
    <w:rsid w:val="007A7289"/>
    <w:rsid w:val="007B028C"/>
    <w:rsid w:val="007B210B"/>
    <w:rsid w:val="007B2AD0"/>
    <w:rsid w:val="007B3273"/>
    <w:rsid w:val="007B4D38"/>
    <w:rsid w:val="007B569A"/>
    <w:rsid w:val="007B5BD8"/>
    <w:rsid w:val="007B5EC2"/>
    <w:rsid w:val="007B6A01"/>
    <w:rsid w:val="007B6A25"/>
    <w:rsid w:val="007C1D5A"/>
    <w:rsid w:val="007C22E5"/>
    <w:rsid w:val="007C24EA"/>
    <w:rsid w:val="007C2776"/>
    <w:rsid w:val="007C30EC"/>
    <w:rsid w:val="007C5109"/>
    <w:rsid w:val="007C5680"/>
    <w:rsid w:val="007C692E"/>
    <w:rsid w:val="007D2348"/>
    <w:rsid w:val="007D267A"/>
    <w:rsid w:val="007D2F92"/>
    <w:rsid w:val="007D382A"/>
    <w:rsid w:val="007D3A1C"/>
    <w:rsid w:val="007D44AC"/>
    <w:rsid w:val="007D4B64"/>
    <w:rsid w:val="007D4BB2"/>
    <w:rsid w:val="007D4C06"/>
    <w:rsid w:val="007D4FC4"/>
    <w:rsid w:val="007D5E8C"/>
    <w:rsid w:val="007D632C"/>
    <w:rsid w:val="007D6731"/>
    <w:rsid w:val="007E1A7D"/>
    <w:rsid w:val="007E2C11"/>
    <w:rsid w:val="007E2F8B"/>
    <w:rsid w:val="007E5B84"/>
    <w:rsid w:val="007E6F77"/>
    <w:rsid w:val="007E7804"/>
    <w:rsid w:val="007F03E2"/>
    <w:rsid w:val="007F2E37"/>
    <w:rsid w:val="007F2E38"/>
    <w:rsid w:val="007F2FDA"/>
    <w:rsid w:val="007F355A"/>
    <w:rsid w:val="007F3CBF"/>
    <w:rsid w:val="007F4166"/>
    <w:rsid w:val="007F5DC6"/>
    <w:rsid w:val="007F64CC"/>
    <w:rsid w:val="007F7B66"/>
    <w:rsid w:val="007F7D33"/>
    <w:rsid w:val="00800D81"/>
    <w:rsid w:val="00800E7B"/>
    <w:rsid w:val="00802A31"/>
    <w:rsid w:val="00802CCA"/>
    <w:rsid w:val="00803F89"/>
    <w:rsid w:val="0080473C"/>
    <w:rsid w:val="008061A5"/>
    <w:rsid w:val="0080676F"/>
    <w:rsid w:val="0080742B"/>
    <w:rsid w:val="00812920"/>
    <w:rsid w:val="00812E78"/>
    <w:rsid w:val="00814791"/>
    <w:rsid w:val="00820580"/>
    <w:rsid w:val="00823A42"/>
    <w:rsid w:val="00824D30"/>
    <w:rsid w:val="00833817"/>
    <w:rsid w:val="00833AFD"/>
    <w:rsid w:val="0083415D"/>
    <w:rsid w:val="00834C9F"/>
    <w:rsid w:val="00834FDB"/>
    <w:rsid w:val="00835E2C"/>
    <w:rsid w:val="00835E91"/>
    <w:rsid w:val="00836B7A"/>
    <w:rsid w:val="00840BB2"/>
    <w:rsid w:val="00841310"/>
    <w:rsid w:val="00841561"/>
    <w:rsid w:val="00842696"/>
    <w:rsid w:val="0084386F"/>
    <w:rsid w:val="0084395C"/>
    <w:rsid w:val="008445BA"/>
    <w:rsid w:val="00847A93"/>
    <w:rsid w:val="008511AC"/>
    <w:rsid w:val="0085290F"/>
    <w:rsid w:val="00852BEF"/>
    <w:rsid w:val="00854DAD"/>
    <w:rsid w:val="00855C2D"/>
    <w:rsid w:val="0085776B"/>
    <w:rsid w:val="00857C73"/>
    <w:rsid w:val="0086196B"/>
    <w:rsid w:val="00861C08"/>
    <w:rsid w:val="0086411D"/>
    <w:rsid w:val="0086418A"/>
    <w:rsid w:val="008650CD"/>
    <w:rsid w:val="00867836"/>
    <w:rsid w:val="00867901"/>
    <w:rsid w:val="00867FC5"/>
    <w:rsid w:val="008712AE"/>
    <w:rsid w:val="008719CE"/>
    <w:rsid w:val="00871C3B"/>
    <w:rsid w:val="0087258F"/>
    <w:rsid w:val="008743A6"/>
    <w:rsid w:val="00874615"/>
    <w:rsid w:val="00875411"/>
    <w:rsid w:val="00880E71"/>
    <w:rsid w:val="008815D0"/>
    <w:rsid w:val="00881C73"/>
    <w:rsid w:val="008831B5"/>
    <w:rsid w:val="00885D02"/>
    <w:rsid w:val="00886472"/>
    <w:rsid w:val="0088720C"/>
    <w:rsid w:val="00890C0F"/>
    <w:rsid w:val="008921A9"/>
    <w:rsid w:val="00893ABF"/>
    <w:rsid w:val="008949CC"/>
    <w:rsid w:val="00894CE3"/>
    <w:rsid w:val="00895A8D"/>
    <w:rsid w:val="008A0FCC"/>
    <w:rsid w:val="008A138E"/>
    <w:rsid w:val="008A2C7A"/>
    <w:rsid w:val="008A38AA"/>
    <w:rsid w:val="008A43CA"/>
    <w:rsid w:val="008B1B3D"/>
    <w:rsid w:val="008B2535"/>
    <w:rsid w:val="008B3419"/>
    <w:rsid w:val="008B539C"/>
    <w:rsid w:val="008B5575"/>
    <w:rsid w:val="008B578E"/>
    <w:rsid w:val="008B57CA"/>
    <w:rsid w:val="008B5DCD"/>
    <w:rsid w:val="008B6D9B"/>
    <w:rsid w:val="008B77CC"/>
    <w:rsid w:val="008C013D"/>
    <w:rsid w:val="008C17CA"/>
    <w:rsid w:val="008C2565"/>
    <w:rsid w:val="008C27BB"/>
    <w:rsid w:val="008C2C0B"/>
    <w:rsid w:val="008C2C25"/>
    <w:rsid w:val="008C4BD5"/>
    <w:rsid w:val="008C64F2"/>
    <w:rsid w:val="008D2302"/>
    <w:rsid w:val="008D2A9D"/>
    <w:rsid w:val="008D4477"/>
    <w:rsid w:val="008D461C"/>
    <w:rsid w:val="008D4CFA"/>
    <w:rsid w:val="008D6250"/>
    <w:rsid w:val="008D6F12"/>
    <w:rsid w:val="008D71D0"/>
    <w:rsid w:val="008E0071"/>
    <w:rsid w:val="008E0397"/>
    <w:rsid w:val="008E33AA"/>
    <w:rsid w:val="008E368B"/>
    <w:rsid w:val="008E3F9E"/>
    <w:rsid w:val="008E42EE"/>
    <w:rsid w:val="008E64AB"/>
    <w:rsid w:val="008E6605"/>
    <w:rsid w:val="008E7DD8"/>
    <w:rsid w:val="008E7F6F"/>
    <w:rsid w:val="008F1B65"/>
    <w:rsid w:val="008F7C7C"/>
    <w:rsid w:val="0090550A"/>
    <w:rsid w:val="00906E83"/>
    <w:rsid w:val="00907CA1"/>
    <w:rsid w:val="00912476"/>
    <w:rsid w:val="00912E8B"/>
    <w:rsid w:val="00912EEF"/>
    <w:rsid w:val="00913B60"/>
    <w:rsid w:val="009140D8"/>
    <w:rsid w:val="009143FB"/>
    <w:rsid w:val="00914639"/>
    <w:rsid w:val="00914C7C"/>
    <w:rsid w:val="00915BB1"/>
    <w:rsid w:val="00916120"/>
    <w:rsid w:val="00920572"/>
    <w:rsid w:val="009214BA"/>
    <w:rsid w:val="009214C3"/>
    <w:rsid w:val="00922BAC"/>
    <w:rsid w:val="00923314"/>
    <w:rsid w:val="00923EC2"/>
    <w:rsid w:val="009249DF"/>
    <w:rsid w:val="00924A3C"/>
    <w:rsid w:val="00925060"/>
    <w:rsid w:val="0092651B"/>
    <w:rsid w:val="009268F9"/>
    <w:rsid w:val="00926F22"/>
    <w:rsid w:val="00927C3A"/>
    <w:rsid w:val="00927D8F"/>
    <w:rsid w:val="00932D96"/>
    <w:rsid w:val="00933622"/>
    <w:rsid w:val="00934EC0"/>
    <w:rsid w:val="00935E93"/>
    <w:rsid w:val="009367C1"/>
    <w:rsid w:val="009375CC"/>
    <w:rsid w:val="00940423"/>
    <w:rsid w:val="00941819"/>
    <w:rsid w:val="00943DCF"/>
    <w:rsid w:val="00944170"/>
    <w:rsid w:val="009449DC"/>
    <w:rsid w:val="0094507A"/>
    <w:rsid w:val="00946667"/>
    <w:rsid w:val="009466D4"/>
    <w:rsid w:val="00946F89"/>
    <w:rsid w:val="00947119"/>
    <w:rsid w:val="0095040A"/>
    <w:rsid w:val="00950864"/>
    <w:rsid w:val="00950F09"/>
    <w:rsid w:val="0095173F"/>
    <w:rsid w:val="009533D9"/>
    <w:rsid w:val="00953768"/>
    <w:rsid w:val="009542D6"/>
    <w:rsid w:val="00954343"/>
    <w:rsid w:val="009545D4"/>
    <w:rsid w:val="009550FB"/>
    <w:rsid w:val="0095747C"/>
    <w:rsid w:val="0096273A"/>
    <w:rsid w:val="00962D60"/>
    <w:rsid w:val="00963B3B"/>
    <w:rsid w:val="00964189"/>
    <w:rsid w:val="00964CA4"/>
    <w:rsid w:val="00965AD8"/>
    <w:rsid w:val="00966BEA"/>
    <w:rsid w:val="00967270"/>
    <w:rsid w:val="00967BBD"/>
    <w:rsid w:val="00970314"/>
    <w:rsid w:val="009747F6"/>
    <w:rsid w:val="00980715"/>
    <w:rsid w:val="009807BF"/>
    <w:rsid w:val="009832AF"/>
    <w:rsid w:val="00985B37"/>
    <w:rsid w:val="009866CB"/>
    <w:rsid w:val="00986CC2"/>
    <w:rsid w:val="009874E8"/>
    <w:rsid w:val="00987519"/>
    <w:rsid w:val="0098773C"/>
    <w:rsid w:val="00990252"/>
    <w:rsid w:val="00991EF0"/>
    <w:rsid w:val="00995BB7"/>
    <w:rsid w:val="00996E15"/>
    <w:rsid w:val="00997EDA"/>
    <w:rsid w:val="009A118F"/>
    <w:rsid w:val="009A1D86"/>
    <w:rsid w:val="009A24C0"/>
    <w:rsid w:val="009A3446"/>
    <w:rsid w:val="009A531F"/>
    <w:rsid w:val="009A5A36"/>
    <w:rsid w:val="009A6516"/>
    <w:rsid w:val="009B07DD"/>
    <w:rsid w:val="009B131A"/>
    <w:rsid w:val="009B20A3"/>
    <w:rsid w:val="009B3A80"/>
    <w:rsid w:val="009B4717"/>
    <w:rsid w:val="009B4A6A"/>
    <w:rsid w:val="009B5177"/>
    <w:rsid w:val="009B5482"/>
    <w:rsid w:val="009B56DE"/>
    <w:rsid w:val="009B5F08"/>
    <w:rsid w:val="009B6141"/>
    <w:rsid w:val="009B74C8"/>
    <w:rsid w:val="009B7B12"/>
    <w:rsid w:val="009B7D2C"/>
    <w:rsid w:val="009C0FF0"/>
    <w:rsid w:val="009C29C8"/>
    <w:rsid w:val="009C2F13"/>
    <w:rsid w:val="009C682E"/>
    <w:rsid w:val="009C7A6C"/>
    <w:rsid w:val="009D11C1"/>
    <w:rsid w:val="009D1368"/>
    <w:rsid w:val="009D2268"/>
    <w:rsid w:val="009D571E"/>
    <w:rsid w:val="009E00A3"/>
    <w:rsid w:val="009E01B7"/>
    <w:rsid w:val="009E031A"/>
    <w:rsid w:val="009E0D97"/>
    <w:rsid w:val="009E1473"/>
    <w:rsid w:val="009E2C2B"/>
    <w:rsid w:val="009E4BC7"/>
    <w:rsid w:val="009E4E92"/>
    <w:rsid w:val="009E549D"/>
    <w:rsid w:val="009E5DD7"/>
    <w:rsid w:val="009F06A2"/>
    <w:rsid w:val="009F0ACA"/>
    <w:rsid w:val="009F292A"/>
    <w:rsid w:val="009F4FB5"/>
    <w:rsid w:val="009F5C4D"/>
    <w:rsid w:val="009F71B2"/>
    <w:rsid w:val="00A024B5"/>
    <w:rsid w:val="00A039A2"/>
    <w:rsid w:val="00A04B17"/>
    <w:rsid w:val="00A05317"/>
    <w:rsid w:val="00A06F7B"/>
    <w:rsid w:val="00A1010F"/>
    <w:rsid w:val="00A1080F"/>
    <w:rsid w:val="00A10DEF"/>
    <w:rsid w:val="00A1152A"/>
    <w:rsid w:val="00A1221C"/>
    <w:rsid w:val="00A12D01"/>
    <w:rsid w:val="00A1722D"/>
    <w:rsid w:val="00A17B5F"/>
    <w:rsid w:val="00A17BF9"/>
    <w:rsid w:val="00A20030"/>
    <w:rsid w:val="00A20EF6"/>
    <w:rsid w:val="00A222E5"/>
    <w:rsid w:val="00A27704"/>
    <w:rsid w:val="00A31320"/>
    <w:rsid w:val="00A34A6F"/>
    <w:rsid w:val="00A35452"/>
    <w:rsid w:val="00A37FD2"/>
    <w:rsid w:val="00A41B95"/>
    <w:rsid w:val="00A4336D"/>
    <w:rsid w:val="00A44976"/>
    <w:rsid w:val="00A456A3"/>
    <w:rsid w:val="00A46203"/>
    <w:rsid w:val="00A4713E"/>
    <w:rsid w:val="00A500FB"/>
    <w:rsid w:val="00A51599"/>
    <w:rsid w:val="00A53044"/>
    <w:rsid w:val="00A53067"/>
    <w:rsid w:val="00A5395F"/>
    <w:rsid w:val="00A53FFC"/>
    <w:rsid w:val="00A541D2"/>
    <w:rsid w:val="00A54285"/>
    <w:rsid w:val="00A54362"/>
    <w:rsid w:val="00A5486E"/>
    <w:rsid w:val="00A55DA8"/>
    <w:rsid w:val="00A569BA"/>
    <w:rsid w:val="00A57A23"/>
    <w:rsid w:val="00A6175A"/>
    <w:rsid w:val="00A62314"/>
    <w:rsid w:val="00A62B64"/>
    <w:rsid w:val="00A63629"/>
    <w:rsid w:val="00A6483B"/>
    <w:rsid w:val="00A70763"/>
    <w:rsid w:val="00A71163"/>
    <w:rsid w:val="00A73DE0"/>
    <w:rsid w:val="00A74159"/>
    <w:rsid w:val="00A74F47"/>
    <w:rsid w:val="00A77630"/>
    <w:rsid w:val="00A81C21"/>
    <w:rsid w:val="00A838BF"/>
    <w:rsid w:val="00A84030"/>
    <w:rsid w:val="00A92438"/>
    <w:rsid w:val="00A92942"/>
    <w:rsid w:val="00A94889"/>
    <w:rsid w:val="00A971A9"/>
    <w:rsid w:val="00A9753E"/>
    <w:rsid w:val="00AA0317"/>
    <w:rsid w:val="00AA0683"/>
    <w:rsid w:val="00AA5089"/>
    <w:rsid w:val="00AA552A"/>
    <w:rsid w:val="00AA57DF"/>
    <w:rsid w:val="00AA5E0A"/>
    <w:rsid w:val="00AA6D7B"/>
    <w:rsid w:val="00AA7600"/>
    <w:rsid w:val="00AA7EA1"/>
    <w:rsid w:val="00AB121E"/>
    <w:rsid w:val="00AB2455"/>
    <w:rsid w:val="00AB2F32"/>
    <w:rsid w:val="00AB3AC7"/>
    <w:rsid w:val="00AB5491"/>
    <w:rsid w:val="00AB57D7"/>
    <w:rsid w:val="00AB77C4"/>
    <w:rsid w:val="00AB7C23"/>
    <w:rsid w:val="00AC02B2"/>
    <w:rsid w:val="00AC18C6"/>
    <w:rsid w:val="00AC2478"/>
    <w:rsid w:val="00AC3ABC"/>
    <w:rsid w:val="00AC3DD4"/>
    <w:rsid w:val="00AC6265"/>
    <w:rsid w:val="00AD0932"/>
    <w:rsid w:val="00AD2348"/>
    <w:rsid w:val="00AD403C"/>
    <w:rsid w:val="00AD4640"/>
    <w:rsid w:val="00AD6020"/>
    <w:rsid w:val="00AD60AF"/>
    <w:rsid w:val="00AE3BCF"/>
    <w:rsid w:val="00AE47B6"/>
    <w:rsid w:val="00AE4C4E"/>
    <w:rsid w:val="00AE5F5E"/>
    <w:rsid w:val="00AF0344"/>
    <w:rsid w:val="00AF31E8"/>
    <w:rsid w:val="00AF5B5C"/>
    <w:rsid w:val="00AF69B3"/>
    <w:rsid w:val="00AF6D5E"/>
    <w:rsid w:val="00AF7C87"/>
    <w:rsid w:val="00B006F4"/>
    <w:rsid w:val="00B00D68"/>
    <w:rsid w:val="00B00EF2"/>
    <w:rsid w:val="00B05F5A"/>
    <w:rsid w:val="00B07094"/>
    <w:rsid w:val="00B07211"/>
    <w:rsid w:val="00B10A35"/>
    <w:rsid w:val="00B14496"/>
    <w:rsid w:val="00B14818"/>
    <w:rsid w:val="00B16876"/>
    <w:rsid w:val="00B16997"/>
    <w:rsid w:val="00B20FCF"/>
    <w:rsid w:val="00B21BDB"/>
    <w:rsid w:val="00B2233B"/>
    <w:rsid w:val="00B2453A"/>
    <w:rsid w:val="00B24DEB"/>
    <w:rsid w:val="00B25516"/>
    <w:rsid w:val="00B25AFF"/>
    <w:rsid w:val="00B2638B"/>
    <w:rsid w:val="00B324D1"/>
    <w:rsid w:val="00B33FCE"/>
    <w:rsid w:val="00B34669"/>
    <w:rsid w:val="00B34826"/>
    <w:rsid w:val="00B35363"/>
    <w:rsid w:val="00B3770B"/>
    <w:rsid w:val="00B37EA9"/>
    <w:rsid w:val="00B40663"/>
    <w:rsid w:val="00B40BBA"/>
    <w:rsid w:val="00B4205E"/>
    <w:rsid w:val="00B4389B"/>
    <w:rsid w:val="00B4390C"/>
    <w:rsid w:val="00B44DAB"/>
    <w:rsid w:val="00B4543C"/>
    <w:rsid w:val="00B45E1C"/>
    <w:rsid w:val="00B46668"/>
    <w:rsid w:val="00B46E8F"/>
    <w:rsid w:val="00B46EE9"/>
    <w:rsid w:val="00B47170"/>
    <w:rsid w:val="00B50705"/>
    <w:rsid w:val="00B51D55"/>
    <w:rsid w:val="00B51EBA"/>
    <w:rsid w:val="00B52655"/>
    <w:rsid w:val="00B53570"/>
    <w:rsid w:val="00B54901"/>
    <w:rsid w:val="00B54B7C"/>
    <w:rsid w:val="00B565C0"/>
    <w:rsid w:val="00B56808"/>
    <w:rsid w:val="00B5752F"/>
    <w:rsid w:val="00B5797D"/>
    <w:rsid w:val="00B605A8"/>
    <w:rsid w:val="00B60780"/>
    <w:rsid w:val="00B60885"/>
    <w:rsid w:val="00B61E64"/>
    <w:rsid w:val="00B62FE9"/>
    <w:rsid w:val="00B63D67"/>
    <w:rsid w:val="00B64208"/>
    <w:rsid w:val="00B67918"/>
    <w:rsid w:val="00B708CF"/>
    <w:rsid w:val="00B70F23"/>
    <w:rsid w:val="00B73FF6"/>
    <w:rsid w:val="00B74079"/>
    <w:rsid w:val="00B74D96"/>
    <w:rsid w:val="00B76230"/>
    <w:rsid w:val="00B76369"/>
    <w:rsid w:val="00B77443"/>
    <w:rsid w:val="00B77893"/>
    <w:rsid w:val="00B77A50"/>
    <w:rsid w:val="00B77C2B"/>
    <w:rsid w:val="00B77EB8"/>
    <w:rsid w:val="00B807C5"/>
    <w:rsid w:val="00B80852"/>
    <w:rsid w:val="00B80FBA"/>
    <w:rsid w:val="00B8151B"/>
    <w:rsid w:val="00B816EE"/>
    <w:rsid w:val="00B8206C"/>
    <w:rsid w:val="00B87785"/>
    <w:rsid w:val="00B877A2"/>
    <w:rsid w:val="00B878B3"/>
    <w:rsid w:val="00B87AD9"/>
    <w:rsid w:val="00B92050"/>
    <w:rsid w:val="00B93F80"/>
    <w:rsid w:val="00B955BB"/>
    <w:rsid w:val="00B97106"/>
    <w:rsid w:val="00B972E1"/>
    <w:rsid w:val="00BA1038"/>
    <w:rsid w:val="00BA2385"/>
    <w:rsid w:val="00BA6170"/>
    <w:rsid w:val="00BA7983"/>
    <w:rsid w:val="00BB01E7"/>
    <w:rsid w:val="00BB10BD"/>
    <w:rsid w:val="00BB1766"/>
    <w:rsid w:val="00BB2A77"/>
    <w:rsid w:val="00BB6B00"/>
    <w:rsid w:val="00BB6D63"/>
    <w:rsid w:val="00BC0965"/>
    <w:rsid w:val="00BC2219"/>
    <w:rsid w:val="00BC3E4C"/>
    <w:rsid w:val="00BC5EF4"/>
    <w:rsid w:val="00BD1362"/>
    <w:rsid w:val="00BD19DB"/>
    <w:rsid w:val="00BD5EFA"/>
    <w:rsid w:val="00BD6979"/>
    <w:rsid w:val="00BE079E"/>
    <w:rsid w:val="00BE1721"/>
    <w:rsid w:val="00BE369C"/>
    <w:rsid w:val="00BE39E3"/>
    <w:rsid w:val="00BE7C09"/>
    <w:rsid w:val="00BF0A18"/>
    <w:rsid w:val="00BF0A5F"/>
    <w:rsid w:val="00BF0B83"/>
    <w:rsid w:val="00BF410C"/>
    <w:rsid w:val="00BF5319"/>
    <w:rsid w:val="00BF6A4E"/>
    <w:rsid w:val="00BF732A"/>
    <w:rsid w:val="00C00192"/>
    <w:rsid w:val="00C02155"/>
    <w:rsid w:val="00C02515"/>
    <w:rsid w:val="00C02A77"/>
    <w:rsid w:val="00C031D2"/>
    <w:rsid w:val="00C03D2F"/>
    <w:rsid w:val="00C04017"/>
    <w:rsid w:val="00C05C56"/>
    <w:rsid w:val="00C06E22"/>
    <w:rsid w:val="00C07524"/>
    <w:rsid w:val="00C0757C"/>
    <w:rsid w:val="00C137EE"/>
    <w:rsid w:val="00C140A2"/>
    <w:rsid w:val="00C23693"/>
    <w:rsid w:val="00C23C98"/>
    <w:rsid w:val="00C24406"/>
    <w:rsid w:val="00C2443F"/>
    <w:rsid w:val="00C24CB9"/>
    <w:rsid w:val="00C2551C"/>
    <w:rsid w:val="00C26C85"/>
    <w:rsid w:val="00C2784A"/>
    <w:rsid w:val="00C305B0"/>
    <w:rsid w:val="00C305E6"/>
    <w:rsid w:val="00C31D42"/>
    <w:rsid w:val="00C33BBF"/>
    <w:rsid w:val="00C36B90"/>
    <w:rsid w:val="00C36DBB"/>
    <w:rsid w:val="00C41175"/>
    <w:rsid w:val="00C4169D"/>
    <w:rsid w:val="00C4228D"/>
    <w:rsid w:val="00C42847"/>
    <w:rsid w:val="00C438BF"/>
    <w:rsid w:val="00C446A6"/>
    <w:rsid w:val="00C4507C"/>
    <w:rsid w:val="00C45236"/>
    <w:rsid w:val="00C45D40"/>
    <w:rsid w:val="00C46C63"/>
    <w:rsid w:val="00C47F6E"/>
    <w:rsid w:val="00C5240B"/>
    <w:rsid w:val="00C526A9"/>
    <w:rsid w:val="00C53AB0"/>
    <w:rsid w:val="00C53F43"/>
    <w:rsid w:val="00C54512"/>
    <w:rsid w:val="00C5557E"/>
    <w:rsid w:val="00C55D44"/>
    <w:rsid w:val="00C628DF"/>
    <w:rsid w:val="00C63CF4"/>
    <w:rsid w:val="00C64BD6"/>
    <w:rsid w:val="00C65955"/>
    <w:rsid w:val="00C67BDB"/>
    <w:rsid w:val="00C709BA"/>
    <w:rsid w:val="00C72FAD"/>
    <w:rsid w:val="00C734BB"/>
    <w:rsid w:val="00C74F8C"/>
    <w:rsid w:val="00C75203"/>
    <w:rsid w:val="00C762CC"/>
    <w:rsid w:val="00C809C7"/>
    <w:rsid w:val="00C80CCC"/>
    <w:rsid w:val="00C81809"/>
    <w:rsid w:val="00C8429A"/>
    <w:rsid w:val="00C86296"/>
    <w:rsid w:val="00C91176"/>
    <w:rsid w:val="00C91EAB"/>
    <w:rsid w:val="00C91FAE"/>
    <w:rsid w:val="00C95A0B"/>
    <w:rsid w:val="00C95BCE"/>
    <w:rsid w:val="00C97B77"/>
    <w:rsid w:val="00CA01F7"/>
    <w:rsid w:val="00CA2528"/>
    <w:rsid w:val="00CA2C31"/>
    <w:rsid w:val="00CA4296"/>
    <w:rsid w:val="00CA4A70"/>
    <w:rsid w:val="00CA61BA"/>
    <w:rsid w:val="00CA66D6"/>
    <w:rsid w:val="00CA6F0A"/>
    <w:rsid w:val="00CA7D9A"/>
    <w:rsid w:val="00CB1523"/>
    <w:rsid w:val="00CB35EE"/>
    <w:rsid w:val="00CB38BD"/>
    <w:rsid w:val="00CB61D8"/>
    <w:rsid w:val="00CB6707"/>
    <w:rsid w:val="00CB6DDF"/>
    <w:rsid w:val="00CC1352"/>
    <w:rsid w:val="00CC2AEB"/>
    <w:rsid w:val="00CC4895"/>
    <w:rsid w:val="00CC4F2F"/>
    <w:rsid w:val="00CD00DE"/>
    <w:rsid w:val="00CD05C6"/>
    <w:rsid w:val="00CD0E9B"/>
    <w:rsid w:val="00CD1928"/>
    <w:rsid w:val="00CD28F2"/>
    <w:rsid w:val="00CD5923"/>
    <w:rsid w:val="00CD592C"/>
    <w:rsid w:val="00CD6806"/>
    <w:rsid w:val="00CD6C79"/>
    <w:rsid w:val="00CD73C5"/>
    <w:rsid w:val="00CE0458"/>
    <w:rsid w:val="00CE0AE8"/>
    <w:rsid w:val="00CE0B9A"/>
    <w:rsid w:val="00CE0DFF"/>
    <w:rsid w:val="00CE21A7"/>
    <w:rsid w:val="00CE2ED8"/>
    <w:rsid w:val="00CE2F97"/>
    <w:rsid w:val="00CE4097"/>
    <w:rsid w:val="00CE53BB"/>
    <w:rsid w:val="00CE7CF9"/>
    <w:rsid w:val="00CF0AC6"/>
    <w:rsid w:val="00CF2776"/>
    <w:rsid w:val="00CF3BE9"/>
    <w:rsid w:val="00CF3BF8"/>
    <w:rsid w:val="00CF4C6E"/>
    <w:rsid w:val="00CF523E"/>
    <w:rsid w:val="00CF7C74"/>
    <w:rsid w:val="00D029C7"/>
    <w:rsid w:val="00D02C34"/>
    <w:rsid w:val="00D03A7E"/>
    <w:rsid w:val="00D044F9"/>
    <w:rsid w:val="00D04C78"/>
    <w:rsid w:val="00D04F73"/>
    <w:rsid w:val="00D11727"/>
    <w:rsid w:val="00D151A8"/>
    <w:rsid w:val="00D1701C"/>
    <w:rsid w:val="00D17406"/>
    <w:rsid w:val="00D178B0"/>
    <w:rsid w:val="00D21D97"/>
    <w:rsid w:val="00D239F1"/>
    <w:rsid w:val="00D23F29"/>
    <w:rsid w:val="00D24019"/>
    <w:rsid w:val="00D242AC"/>
    <w:rsid w:val="00D26704"/>
    <w:rsid w:val="00D30603"/>
    <w:rsid w:val="00D31C01"/>
    <w:rsid w:val="00D33F72"/>
    <w:rsid w:val="00D34496"/>
    <w:rsid w:val="00D34789"/>
    <w:rsid w:val="00D34CEF"/>
    <w:rsid w:val="00D34E32"/>
    <w:rsid w:val="00D3688B"/>
    <w:rsid w:val="00D40794"/>
    <w:rsid w:val="00D41479"/>
    <w:rsid w:val="00D42804"/>
    <w:rsid w:val="00D438ED"/>
    <w:rsid w:val="00D44F94"/>
    <w:rsid w:val="00D46CD0"/>
    <w:rsid w:val="00D4746A"/>
    <w:rsid w:val="00D50C70"/>
    <w:rsid w:val="00D51C0D"/>
    <w:rsid w:val="00D51F66"/>
    <w:rsid w:val="00D523A3"/>
    <w:rsid w:val="00D528F9"/>
    <w:rsid w:val="00D52F2F"/>
    <w:rsid w:val="00D53254"/>
    <w:rsid w:val="00D53ABE"/>
    <w:rsid w:val="00D5472A"/>
    <w:rsid w:val="00D54E12"/>
    <w:rsid w:val="00D55DBB"/>
    <w:rsid w:val="00D600D9"/>
    <w:rsid w:val="00D603A5"/>
    <w:rsid w:val="00D60E4B"/>
    <w:rsid w:val="00D61169"/>
    <w:rsid w:val="00D61619"/>
    <w:rsid w:val="00D64F4D"/>
    <w:rsid w:val="00D652EE"/>
    <w:rsid w:val="00D659BC"/>
    <w:rsid w:val="00D65C13"/>
    <w:rsid w:val="00D67A83"/>
    <w:rsid w:val="00D67F42"/>
    <w:rsid w:val="00D70A86"/>
    <w:rsid w:val="00D70F0E"/>
    <w:rsid w:val="00D70F48"/>
    <w:rsid w:val="00D71CCD"/>
    <w:rsid w:val="00D73090"/>
    <w:rsid w:val="00D766E1"/>
    <w:rsid w:val="00D77A6B"/>
    <w:rsid w:val="00D8029F"/>
    <w:rsid w:val="00D807A2"/>
    <w:rsid w:val="00D8214E"/>
    <w:rsid w:val="00D82318"/>
    <w:rsid w:val="00D838E5"/>
    <w:rsid w:val="00D8393D"/>
    <w:rsid w:val="00D847C1"/>
    <w:rsid w:val="00D8528E"/>
    <w:rsid w:val="00D858A3"/>
    <w:rsid w:val="00D8640A"/>
    <w:rsid w:val="00D86BEB"/>
    <w:rsid w:val="00D87A24"/>
    <w:rsid w:val="00D913F9"/>
    <w:rsid w:val="00D923A1"/>
    <w:rsid w:val="00D92B88"/>
    <w:rsid w:val="00D92F04"/>
    <w:rsid w:val="00D9368E"/>
    <w:rsid w:val="00D9405D"/>
    <w:rsid w:val="00D960BA"/>
    <w:rsid w:val="00D976C8"/>
    <w:rsid w:val="00D97EC8"/>
    <w:rsid w:val="00DA009C"/>
    <w:rsid w:val="00DA060B"/>
    <w:rsid w:val="00DA4EAB"/>
    <w:rsid w:val="00DA6309"/>
    <w:rsid w:val="00DA7FF0"/>
    <w:rsid w:val="00DB05B3"/>
    <w:rsid w:val="00DB0FAF"/>
    <w:rsid w:val="00DB1293"/>
    <w:rsid w:val="00DB136E"/>
    <w:rsid w:val="00DB1377"/>
    <w:rsid w:val="00DB37A2"/>
    <w:rsid w:val="00DB3817"/>
    <w:rsid w:val="00DB38AD"/>
    <w:rsid w:val="00DB3E9F"/>
    <w:rsid w:val="00DB409F"/>
    <w:rsid w:val="00DB4E24"/>
    <w:rsid w:val="00DB5CEC"/>
    <w:rsid w:val="00DB60BC"/>
    <w:rsid w:val="00DB642D"/>
    <w:rsid w:val="00DB6C9D"/>
    <w:rsid w:val="00DC26DA"/>
    <w:rsid w:val="00DC3F51"/>
    <w:rsid w:val="00DC4892"/>
    <w:rsid w:val="00DD19EF"/>
    <w:rsid w:val="00DD39BD"/>
    <w:rsid w:val="00DE24EA"/>
    <w:rsid w:val="00DE2FFC"/>
    <w:rsid w:val="00DE3CCF"/>
    <w:rsid w:val="00DE56DF"/>
    <w:rsid w:val="00DE6893"/>
    <w:rsid w:val="00DF0D47"/>
    <w:rsid w:val="00DF20AE"/>
    <w:rsid w:val="00DF555E"/>
    <w:rsid w:val="00DF7A9C"/>
    <w:rsid w:val="00E01308"/>
    <w:rsid w:val="00E02F99"/>
    <w:rsid w:val="00E0499D"/>
    <w:rsid w:val="00E0725E"/>
    <w:rsid w:val="00E104AB"/>
    <w:rsid w:val="00E10778"/>
    <w:rsid w:val="00E11DB3"/>
    <w:rsid w:val="00E12C40"/>
    <w:rsid w:val="00E12DD0"/>
    <w:rsid w:val="00E206E8"/>
    <w:rsid w:val="00E217D3"/>
    <w:rsid w:val="00E218E5"/>
    <w:rsid w:val="00E229CE"/>
    <w:rsid w:val="00E22D3F"/>
    <w:rsid w:val="00E23C5B"/>
    <w:rsid w:val="00E23D28"/>
    <w:rsid w:val="00E24E77"/>
    <w:rsid w:val="00E27563"/>
    <w:rsid w:val="00E27B49"/>
    <w:rsid w:val="00E3427C"/>
    <w:rsid w:val="00E353D0"/>
    <w:rsid w:val="00E35854"/>
    <w:rsid w:val="00E36275"/>
    <w:rsid w:val="00E404EC"/>
    <w:rsid w:val="00E46B25"/>
    <w:rsid w:val="00E46BC2"/>
    <w:rsid w:val="00E51C3C"/>
    <w:rsid w:val="00E528DE"/>
    <w:rsid w:val="00E52B3F"/>
    <w:rsid w:val="00E536D0"/>
    <w:rsid w:val="00E53C9D"/>
    <w:rsid w:val="00E54CA3"/>
    <w:rsid w:val="00E5758F"/>
    <w:rsid w:val="00E57D12"/>
    <w:rsid w:val="00E60A66"/>
    <w:rsid w:val="00E6126E"/>
    <w:rsid w:val="00E62800"/>
    <w:rsid w:val="00E63E52"/>
    <w:rsid w:val="00E65001"/>
    <w:rsid w:val="00E655BA"/>
    <w:rsid w:val="00E655F6"/>
    <w:rsid w:val="00E658ED"/>
    <w:rsid w:val="00E65DC0"/>
    <w:rsid w:val="00E65DCA"/>
    <w:rsid w:val="00E70BD0"/>
    <w:rsid w:val="00E74C71"/>
    <w:rsid w:val="00E758FE"/>
    <w:rsid w:val="00E76D28"/>
    <w:rsid w:val="00E80542"/>
    <w:rsid w:val="00E82063"/>
    <w:rsid w:val="00E85BAB"/>
    <w:rsid w:val="00E86134"/>
    <w:rsid w:val="00E86822"/>
    <w:rsid w:val="00E872B3"/>
    <w:rsid w:val="00E879E1"/>
    <w:rsid w:val="00E90CE9"/>
    <w:rsid w:val="00E923F7"/>
    <w:rsid w:val="00E92C5E"/>
    <w:rsid w:val="00E93225"/>
    <w:rsid w:val="00E941FB"/>
    <w:rsid w:val="00E94E3C"/>
    <w:rsid w:val="00E95A92"/>
    <w:rsid w:val="00E96DF8"/>
    <w:rsid w:val="00E971E3"/>
    <w:rsid w:val="00EA0C2F"/>
    <w:rsid w:val="00EA0D71"/>
    <w:rsid w:val="00EA2E31"/>
    <w:rsid w:val="00EA33F4"/>
    <w:rsid w:val="00EA475C"/>
    <w:rsid w:val="00EA6FBC"/>
    <w:rsid w:val="00EA717C"/>
    <w:rsid w:val="00EA793C"/>
    <w:rsid w:val="00EA7ADA"/>
    <w:rsid w:val="00EB076B"/>
    <w:rsid w:val="00EB0945"/>
    <w:rsid w:val="00EB1640"/>
    <w:rsid w:val="00EB26F8"/>
    <w:rsid w:val="00EB2A67"/>
    <w:rsid w:val="00EB2C26"/>
    <w:rsid w:val="00EB3CD4"/>
    <w:rsid w:val="00EB6DE8"/>
    <w:rsid w:val="00EC0C2D"/>
    <w:rsid w:val="00EC1880"/>
    <w:rsid w:val="00EC3344"/>
    <w:rsid w:val="00EC3741"/>
    <w:rsid w:val="00EC7A07"/>
    <w:rsid w:val="00ED06F6"/>
    <w:rsid w:val="00ED25DB"/>
    <w:rsid w:val="00ED2858"/>
    <w:rsid w:val="00ED391A"/>
    <w:rsid w:val="00ED6CDD"/>
    <w:rsid w:val="00ED7C9A"/>
    <w:rsid w:val="00EE142B"/>
    <w:rsid w:val="00EE4B14"/>
    <w:rsid w:val="00EE5CE9"/>
    <w:rsid w:val="00EE5D01"/>
    <w:rsid w:val="00EF0124"/>
    <w:rsid w:val="00EF2C91"/>
    <w:rsid w:val="00EF31C0"/>
    <w:rsid w:val="00EF5832"/>
    <w:rsid w:val="00EF5D67"/>
    <w:rsid w:val="00EF7272"/>
    <w:rsid w:val="00EF776A"/>
    <w:rsid w:val="00EF7E4F"/>
    <w:rsid w:val="00F00747"/>
    <w:rsid w:val="00F0200D"/>
    <w:rsid w:val="00F0509D"/>
    <w:rsid w:val="00F068E7"/>
    <w:rsid w:val="00F06FF6"/>
    <w:rsid w:val="00F07CDD"/>
    <w:rsid w:val="00F10F46"/>
    <w:rsid w:val="00F12715"/>
    <w:rsid w:val="00F12D93"/>
    <w:rsid w:val="00F130BE"/>
    <w:rsid w:val="00F155AD"/>
    <w:rsid w:val="00F16C77"/>
    <w:rsid w:val="00F17AC8"/>
    <w:rsid w:val="00F20660"/>
    <w:rsid w:val="00F20D86"/>
    <w:rsid w:val="00F2215B"/>
    <w:rsid w:val="00F23B59"/>
    <w:rsid w:val="00F23D3C"/>
    <w:rsid w:val="00F2488F"/>
    <w:rsid w:val="00F25D3D"/>
    <w:rsid w:val="00F26587"/>
    <w:rsid w:val="00F2689F"/>
    <w:rsid w:val="00F268F4"/>
    <w:rsid w:val="00F27090"/>
    <w:rsid w:val="00F27129"/>
    <w:rsid w:val="00F2793E"/>
    <w:rsid w:val="00F325BB"/>
    <w:rsid w:val="00F3608A"/>
    <w:rsid w:val="00F3778D"/>
    <w:rsid w:val="00F43AFF"/>
    <w:rsid w:val="00F45E3E"/>
    <w:rsid w:val="00F47457"/>
    <w:rsid w:val="00F507DC"/>
    <w:rsid w:val="00F52239"/>
    <w:rsid w:val="00F54197"/>
    <w:rsid w:val="00F549CD"/>
    <w:rsid w:val="00F55D4D"/>
    <w:rsid w:val="00F571B0"/>
    <w:rsid w:val="00F57F7F"/>
    <w:rsid w:val="00F6055D"/>
    <w:rsid w:val="00F619D3"/>
    <w:rsid w:val="00F61AB3"/>
    <w:rsid w:val="00F62A9E"/>
    <w:rsid w:val="00F6433D"/>
    <w:rsid w:val="00F64522"/>
    <w:rsid w:val="00F65CE3"/>
    <w:rsid w:val="00F66EB0"/>
    <w:rsid w:val="00F71270"/>
    <w:rsid w:val="00F720CD"/>
    <w:rsid w:val="00F76C6A"/>
    <w:rsid w:val="00F77158"/>
    <w:rsid w:val="00F77707"/>
    <w:rsid w:val="00F80BD1"/>
    <w:rsid w:val="00F81563"/>
    <w:rsid w:val="00F8191C"/>
    <w:rsid w:val="00F82791"/>
    <w:rsid w:val="00F8365E"/>
    <w:rsid w:val="00F843AC"/>
    <w:rsid w:val="00F845BB"/>
    <w:rsid w:val="00F8499B"/>
    <w:rsid w:val="00F8535C"/>
    <w:rsid w:val="00F85E6F"/>
    <w:rsid w:val="00F874F5"/>
    <w:rsid w:val="00F91EE6"/>
    <w:rsid w:val="00F93155"/>
    <w:rsid w:val="00F934F3"/>
    <w:rsid w:val="00F93C36"/>
    <w:rsid w:val="00F94534"/>
    <w:rsid w:val="00F95C69"/>
    <w:rsid w:val="00FA0AF2"/>
    <w:rsid w:val="00FA18D1"/>
    <w:rsid w:val="00FA2261"/>
    <w:rsid w:val="00FA240B"/>
    <w:rsid w:val="00FA4302"/>
    <w:rsid w:val="00FA47FB"/>
    <w:rsid w:val="00FA572A"/>
    <w:rsid w:val="00FA586F"/>
    <w:rsid w:val="00FA5DC4"/>
    <w:rsid w:val="00FB0DB8"/>
    <w:rsid w:val="00FB2BA6"/>
    <w:rsid w:val="00FB3033"/>
    <w:rsid w:val="00FB353E"/>
    <w:rsid w:val="00FB36C1"/>
    <w:rsid w:val="00FB4019"/>
    <w:rsid w:val="00FB469D"/>
    <w:rsid w:val="00FC1816"/>
    <w:rsid w:val="00FC3059"/>
    <w:rsid w:val="00FC310F"/>
    <w:rsid w:val="00FC41AF"/>
    <w:rsid w:val="00FC4217"/>
    <w:rsid w:val="00FC4C23"/>
    <w:rsid w:val="00FC5A22"/>
    <w:rsid w:val="00FC6310"/>
    <w:rsid w:val="00FC64BE"/>
    <w:rsid w:val="00FD1409"/>
    <w:rsid w:val="00FD2965"/>
    <w:rsid w:val="00FD2B82"/>
    <w:rsid w:val="00FD2FB8"/>
    <w:rsid w:val="00FD3F82"/>
    <w:rsid w:val="00FD50D4"/>
    <w:rsid w:val="00FD670F"/>
    <w:rsid w:val="00FE0891"/>
    <w:rsid w:val="00FE10D3"/>
    <w:rsid w:val="00FE740E"/>
    <w:rsid w:val="00FF2F8D"/>
    <w:rsid w:val="00FF3443"/>
    <w:rsid w:val="00FF6FC2"/>
    <w:rsid w:val="00FF7079"/>
    <w:rsid w:val="00FF7576"/>
    <w:rsid w:val="00FF7DBD"/>
    <w:rsid w:val="00FF7FBC"/>
    <w:rsid w:val="01052FDF"/>
    <w:rsid w:val="018126EE"/>
    <w:rsid w:val="01BA4909"/>
    <w:rsid w:val="02064B6F"/>
    <w:rsid w:val="02194251"/>
    <w:rsid w:val="030829EF"/>
    <w:rsid w:val="03801D64"/>
    <w:rsid w:val="05734AB8"/>
    <w:rsid w:val="05A706B1"/>
    <w:rsid w:val="05D844CC"/>
    <w:rsid w:val="05E16106"/>
    <w:rsid w:val="06AE24AB"/>
    <w:rsid w:val="07F945EB"/>
    <w:rsid w:val="0826342B"/>
    <w:rsid w:val="0A4F3AA2"/>
    <w:rsid w:val="0AD066E3"/>
    <w:rsid w:val="0BE71F37"/>
    <w:rsid w:val="0EF00B2E"/>
    <w:rsid w:val="0FD74DED"/>
    <w:rsid w:val="10B81C6D"/>
    <w:rsid w:val="11472E91"/>
    <w:rsid w:val="1205005C"/>
    <w:rsid w:val="12141198"/>
    <w:rsid w:val="126D2C29"/>
    <w:rsid w:val="12A21ED5"/>
    <w:rsid w:val="12BC4946"/>
    <w:rsid w:val="14DC6D10"/>
    <w:rsid w:val="154056C2"/>
    <w:rsid w:val="158F74A4"/>
    <w:rsid w:val="167810C3"/>
    <w:rsid w:val="16885261"/>
    <w:rsid w:val="16DE6045"/>
    <w:rsid w:val="171A49EB"/>
    <w:rsid w:val="18C23D3A"/>
    <w:rsid w:val="18EE5BE4"/>
    <w:rsid w:val="1A250652"/>
    <w:rsid w:val="1AC815D1"/>
    <w:rsid w:val="1B224BDF"/>
    <w:rsid w:val="1C5344DC"/>
    <w:rsid w:val="1E6B2527"/>
    <w:rsid w:val="1EA700D7"/>
    <w:rsid w:val="1F713604"/>
    <w:rsid w:val="219A6E1E"/>
    <w:rsid w:val="222D0D66"/>
    <w:rsid w:val="24646839"/>
    <w:rsid w:val="25174B59"/>
    <w:rsid w:val="256B7C7B"/>
    <w:rsid w:val="25826CF0"/>
    <w:rsid w:val="25B032A3"/>
    <w:rsid w:val="264D067E"/>
    <w:rsid w:val="27F56715"/>
    <w:rsid w:val="27F9430F"/>
    <w:rsid w:val="29565BD3"/>
    <w:rsid w:val="2AA36739"/>
    <w:rsid w:val="2D0A083A"/>
    <w:rsid w:val="2D28478B"/>
    <w:rsid w:val="2EB35574"/>
    <w:rsid w:val="305502D9"/>
    <w:rsid w:val="313F077A"/>
    <w:rsid w:val="319E1F99"/>
    <w:rsid w:val="322D0DDC"/>
    <w:rsid w:val="347B4A7C"/>
    <w:rsid w:val="35100D69"/>
    <w:rsid w:val="356C772C"/>
    <w:rsid w:val="36407E1F"/>
    <w:rsid w:val="36C3270A"/>
    <w:rsid w:val="36F12EE3"/>
    <w:rsid w:val="38D112B9"/>
    <w:rsid w:val="3A5E5E40"/>
    <w:rsid w:val="3B10559B"/>
    <w:rsid w:val="3B64508E"/>
    <w:rsid w:val="3CB10AE3"/>
    <w:rsid w:val="3DC01751"/>
    <w:rsid w:val="3DF73E98"/>
    <w:rsid w:val="3EA92A22"/>
    <w:rsid w:val="401144E6"/>
    <w:rsid w:val="410B7187"/>
    <w:rsid w:val="41CE12F2"/>
    <w:rsid w:val="42DA2312"/>
    <w:rsid w:val="43FB0DA1"/>
    <w:rsid w:val="462C1A14"/>
    <w:rsid w:val="462D7F15"/>
    <w:rsid w:val="468432B8"/>
    <w:rsid w:val="471A50C1"/>
    <w:rsid w:val="475278BE"/>
    <w:rsid w:val="49292C2A"/>
    <w:rsid w:val="49646C85"/>
    <w:rsid w:val="4C4E7595"/>
    <w:rsid w:val="4D194FFA"/>
    <w:rsid w:val="4ED25BBE"/>
    <w:rsid w:val="4F7555F8"/>
    <w:rsid w:val="50A56809"/>
    <w:rsid w:val="5276409A"/>
    <w:rsid w:val="55660438"/>
    <w:rsid w:val="558D714D"/>
    <w:rsid w:val="55EB6469"/>
    <w:rsid w:val="57796DC8"/>
    <w:rsid w:val="57AB2CF1"/>
    <w:rsid w:val="58795B4B"/>
    <w:rsid w:val="58DF79E4"/>
    <w:rsid w:val="597857E3"/>
    <w:rsid w:val="5A694853"/>
    <w:rsid w:val="5C2051BF"/>
    <w:rsid w:val="5D3E57E7"/>
    <w:rsid w:val="5DA327CA"/>
    <w:rsid w:val="5E3F59FA"/>
    <w:rsid w:val="5FB67882"/>
    <w:rsid w:val="6231175F"/>
    <w:rsid w:val="631567AD"/>
    <w:rsid w:val="632058D7"/>
    <w:rsid w:val="63865713"/>
    <w:rsid w:val="64446389"/>
    <w:rsid w:val="64EE7D57"/>
    <w:rsid w:val="662207AB"/>
    <w:rsid w:val="663C4E7B"/>
    <w:rsid w:val="66485A55"/>
    <w:rsid w:val="6817003C"/>
    <w:rsid w:val="68D503DF"/>
    <w:rsid w:val="690D52EE"/>
    <w:rsid w:val="696353F4"/>
    <w:rsid w:val="6A021CE1"/>
    <w:rsid w:val="6A3A6264"/>
    <w:rsid w:val="6AF24D91"/>
    <w:rsid w:val="6BD439E3"/>
    <w:rsid w:val="6DE567DC"/>
    <w:rsid w:val="6E104A8E"/>
    <w:rsid w:val="6F681C60"/>
    <w:rsid w:val="6F72683F"/>
    <w:rsid w:val="6F9D714A"/>
    <w:rsid w:val="6FA128E1"/>
    <w:rsid w:val="6FF6EFB4"/>
    <w:rsid w:val="709D79B5"/>
    <w:rsid w:val="713638A1"/>
    <w:rsid w:val="71804EA4"/>
    <w:rsid w:val="73946D78"/>
    <w:rsid w:val="74677D1F"/>
    <w:rsid w:val="74703D48"/>
    <w:rsid w:val="74AB7E4E"/>
    <w:rsid w:val="74B531D5"/>
    <w:rsid w:val="750B57DA"/>
    <w:rsid w:val="76097619"/>
    <w:rsid w:val="76CC1646"/>
    <w:rsid w:val="77025FF5"/>
    <w:rsid w:val="771E3304"/>
    <w:rsid w:val="774D7857"/>
    <w:rsid w:val="776B6385"/>
    <w:rsid w:val="77C84250"/>
    <w:rsid w:val="77D2617E"/>
    <w:rsid w:val="78881F77"/>
    <w:rsid w:val="79886C8A"/>
    <w:rsid w:val="79A254E7"/>
    <w:rsid w:val="7A63403A"/>
    <w:rsid w:val="7AA52AAD"/>
    <w:rsid w:val="7B153A9C"/>
    <w:rsid w:val="7B3B25D2"/>
    <w:rsid w:val="7C777C35"/>
    <w:rsid w:val="7CB33409"/>
    <w:rsid w:val="7D24722A"/>
    <w:rsid w:val="7EAB5EE6"/>
    <w:rsid w:val="7F144E7E"/>
    <w:rsid w:val="F4BF3193"/>
    <w:rsid w:val="FA776F18"/>
    <w:rsid w:val="FCE5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ind w:firstLine="151" w:firstLineChars="151"/>
      <w:outlineLvl w:val="0"/>
    </w:pPr>
    <w:rPr>
      <w:b/>
      <w:bCs/>
      <w:kern w:val="44"/>
      <w:sz w:val="28"/>
      <w:szCs w:val="44"/>
    </w:rPr>
  </w:style>
  <w:style w:type="paragraph" w:styleId="3">
    <w:name w:val="heading 2"/>
    <w:basedOn w:val="1"/>
    <w:next w:val="1"/>
    <w:link w:val="24"/>
    <w:unhideWhenUsed/>
    <w:qFormat/>
    <w:uiPriority w:val="9"/>
    <w:pPr>
      <w:keepNext/>
      <w:keepLines/>
      <w:ind w:firstLine="282" w:firstLineChars="134"/>
      <w:outlineLvl w:val="1"/>
    </w:pPr>
    <w:rPr>
      <w:rFonts w:cstheme="majorBidi"/>
      <w:b/>
      <w:bCs/>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99"/>
    <w:pPr>
      <w:jc w:val="left"/>
    </w:pPr>
    <w:rPr>
      <w:rFonts w:ascii="Times New Roman" w:hAnsi="Times New Roman" w:eastAsia="宋体" w:cs="Times New Roman"/>
      <w:szCs w:val="24"/>
    </w:rPr>
  </w:style>
  <w:style w:type="paragraph" w:styleId="5">
    <w:name w:val="Balloon Text"/>
    <w:basedOn w:val="1"/>
    <w:link w:val="3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39"/>
    <w:semiHidden/>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4"/>
    <w:next w:val="4"/>
    <w:link w:val="32"/>
    <w:unhideWhenUsed/>
    <w:qFormat/>
    <w:uiPriority w:val="99"/>
    <w:rPr>
      <w:rFonts w:asciiTheme="minorHAnsi" w:hAnsiTheme="minorHAnsi" w:eastAsiaTheme="minorEastAsia" w:cstheme="minorBidi"/>
      <w:b/>
      <w:bCs/>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7"/>
    <w:qFormat/>
    <w:uiPriority w:val="99"/>
    <w:rPr>
      <w:sz w:val="18"/>
      <w:szCs w:val="18"/>
    </w:rPr>
  </w:style>
  <w:style w:type="character" w:customStyle="1" w:styleId="20">
    <w:name w:val="页脚 字符"/>
    <w:basedOn w:val="15"/>
    <w:link w:val="6"/>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3">
    <w:name w:val="标题 1 字符"/>
    <w:basedOn w:val="15"/>
    <w:link w:val="2"/>
    <w:qFormat/>
    <w:uiPriority w:val="9"/>
    <w:rPr>
      <w:b/>
      <w:bCs/>
      <w:kern w:val="44"/>
      <w:sz w:val="28"/>
      <w:szCs w:val="44"/>
    </w:rPr>
  </w:style>
  <w:style w:type="character" w:customStyle="1" w:styleId="24">
    <w:name w:val="标题 2 字符"/>
    <w:basedOn w:val="15"/>
    <w:link w:val="3"/>
    <w:qFormat/>
    <w:uiPriority w:val="9"/>
    <w:rPr>
      <w:rFonts w:cstheme="majorBidi"/>
      <w:b/>
      <w:bCs/>
      <w:kern w:val="2"/>
      <w:sz w:val="21"/>
      <w:szCs w:val="21"/>
    </w:rPr>
  </w:style>
  <w:style w:type="character" w:customStyle="1" w:styleId="25">
    <w:name w:val="批注文字 字符"/>
    <w:basedOn w:val="15"/>
    <w:link w:val="4"/>
    <w:qFormat/>
    <w:uiPriority w:val="99"/>
    <w:rPr>
      <w:rFonts w:ascii="Times New Roman" w:hAnsi="Times New Roman" w:eastAsia="宋体" w:cs="Times New Roman"/>
      <w:szCs w:val="24"/>
    </w:rPr>
  </w:style>
  <w:style w:type="character" w:customStyle="1" w:styleId="26">
    <w:name w:val="副标题 字符"/>
    <w:basedOn w:val="15"/>
    <w:link w:val="8"/>
    <w:qFormat/>
    <w:uiPriority w:val="11"/>
    <w:rPr>
      <w:rFonts w:eastAsia="宋体" w:asciiTheme="majorHAnsi" w:hAnsiTheme="majorHAnsi" w:cstheme="majorBidi"/>
      <w:b/>
      <w:bCs/>
      <w:kern w:val="28"/>
      <w:sz w:val="32"/>
      <w:szCs w:val="32"/>
    </w:rPr>
  </w:style>
  <w:style w:type="character" w:customStyle="1" w:styleId="27">
    <w:name w:val="标题 字符"/>
    <w:basedOn w:val="15"/>
    <w:link w:val="11"/>
    <w:qFormat/>
    <w:uiPriority w:val="10"/>
    <w:rPr>
      <w:rFonts w:eastAsia="宋体" w:asciiTheme="majorHAnsi" w:hAnsiTheme="majorHAnsi" w:cstheme="majorBidi"/>
      <w:b/>
      <w:bCs/>
      <w:kern w:val="2"/>
      <w:sz w:val="32"/>
      <w:szCs w:val="32"/>
    </w:rPr>
  </w:style>
  <w:style w:type="paragraph" w:customStyle="1" w:styleId="28">
    <w:name w:val="列出段落111"/>
    <w:basedOn w:val="1"/>
    <w:link w:val="29"/>
    <w:qFormat/>
    <w:uiPriority w:val="34"/>
    <w:pPr>
      <w:widowControl/>
      <w:jc w:val="left"/>
    </w:pPr>
    <w:rPr>
      <w:rFonts w:ascii="Times New Roman" w:hAnsi="Times New Roman"/>
    </w:rPr>
  </w:style>
  <w:style w:type="character" w:customStyle="1" w:styleId="29">
    <w:name w:val="列出段落 Char"/>
    <w:basedOn w:val="15"/>
    <w:link w:val="28"/>
    <w:qFormat/>
    <w:uiPriority w:val="34"/>
    <w:rPr>
      <w:rFonts w:ascii="Times New Roman" w:hAnsi="Times New Roman"/>
      <w:kern w:val="2"/>
      <w:sz w:val="21"/>
      <w:szCs w:val="22"/>
    </w:rPr>
  </w:style>
  <w:style w:type="paragraph" w:customStyle="1" w:styleId="30">
    <w:name w:val="列出段落2"/>
    <w:basedOn w:val="1"/>
    <w:qFormat/>
    <w:uiPriority w:val="99"/>
    <w:pPr>
      <w:ind w:firstLine="420" w:firstLineChars="200"/>
    </w:pPr>
  </w:style>
  <w:style w:type="character" w:customStyle="1" w:styleId="31">
    <w:name w:val="批注框文本 字符"/>
    <w:basedOn w:val="15"/>
    <w:link w:val="5"/>
    <w:semiHidden/>
    <w:qFormat/>
    <w:uiPriority w:val="99"/>
    <w:rPr>
      <w:sz w:val="18"/>
      <w:szCs w:val="18"/>
    </w:rPr>
  </w:style>
  <w:style w:type="character" w:customStyle="1" w:styleId="32">
    <w:name w:val="批注主题 字符"/>
    <w:basedOn w:val="25"/>
    <w:link w:val="12"/>
    <w:qFormat/>
    <w:uiPriority w:val="99"/>
    <w:rPr>
      <w:rFonts w:ascii="Times New Roman" w:hAnsi="Times New Roman" w:eastAsia="宋体" w:cs="Times New Roman"/>
      <w:b/>
      <w:bCs/>
      <w:kern w:val="2"/>
      <w:sz w:val="21"/>
      <w:szCs w:val="22"/>
    </w:rPr>
  </w:style>
  <w:style w:type="character" w:customStyle="1" w:styleId="33">
    <w:name w:val="fontstyle01"/>
    <w:basedOn w:val="15"/>
    <w:qFormat/>
    <w:uiPriority w:val="0"/>
    <w:rPr>
      <w:rFonts w:hint="eastAsia" w:ascii="楷体" w:hAnsi="楷体" w:eastAsia="楷体"/>
      <w:color w:val="000000"/>
      <w:sz w:val="22"/>
      <w:szCs w:val="22"/>
    </w:rPr>
  </w:style>
  <w:style w:type="paragraph" w:customStyle="1" w:styleId="34">
    <w:name w:val="列出段落11"/>
    <w:basedOn w:val="1"/>
    <w:qFormat/>
    <w:uiPriority w:val="34"/>
    <w:pPr>
      <w:widowControl/>
      <w:jc w:val="left"/>
    </w:pPr>
    <w:rPr>
      <w:rFonts w:ascii="Times New Roman" w:hAnsi="Times New Roman" w:eastAsia="宋体" w:cs="Times New Roman"/>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脚注文本 字符"/>
    <w:basedOn w:val="15"/>
    <w:link w:val="9"/>
    <w:semiHidden/>
    <w:qFormat/>
    <w:uiPriority w:val="99"/>
    <w:rPr>
      <w:kern w:val="2"/>
      <w:sz w:val="18"/>
      <w:szCs w:val="18"/>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45</Pages>
  <Words>6330</Words>
  <Characters>36081</Characters>
  <Lines>300</Lines>
  <Paragraphs>84</Paragraphs>
  <TotalTime>3</TotalTime>
  <ScaleCrop>false</ScaleCrop>
  <LinksUpToDate>false</LinksUpToDate>
  <CharactersWithSpaces>42327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2025-08-23T03:08:00Z</dcterms:created>
  <dc:creator>周威</dc:creator>
  <cp:lastModifiedBy>6377579</cp:lastModifiedBy>
  <cp:lastPrinted>2021-09-02T01:53:00Z</cp:lastPrinted>
  <dcterms:modified xsi:type="dcterms:W3CDTF">2026-04-30T15:23:28Z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830CB310F658452BA0B60B2CE8FCAF99</vt:lpwstr>
  </property>
  <property fmtid="{D5CDD505-2E9C-101B-9397-08002B2CF9AE}" pid="3" name="KSOProductBuildVer">
    <vt:lpwstr>2052-11.8.2.12313</vt:lpwstr>
  </property>
</Properties>
</file>