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EA5C0">
      <w:pPr>
        <w:adjustRightInd w:val="0"/>
        <w:spacing w:line="276" w:lineRule="auto"/>
        <w:ind w:firstLine="422"/>
        <w:jc w:val="center"/>
        <w:rPr>
          <w:rFonts w:ascii="黑体" w:hAnsi="黑体" w:eastAsia="黑体"/>
          <w:b/>
          <w:bCs/>
          <w:sz w:val="28"/>
          <w:szCs w:val="28"/>
        </w:rPr>
      </w:pPr>
      <w:bookmarkStart w:id="0" w:name="_GoBack"/>
      <w:bookmarkEnd w:id="0"/>
      <w:r>
        <w:rPr>
          <w:rFonts w:hint="eastAsia" w:ascii="黑体" w:hAnsi="黑体" w:eastAsia="黑体"/>
          <w:b/>
          <w:bCs/>
          <w:sz w:val="28"/>
          <w:szCs w:val="28"/>
        </w:rPr>
        <w:t>兴银理财</w:t>
      </w:r>
      <w:permStart w:id="0" w:edGrp="everyone"/>
      <w:r>
        <w:rPr>
          <w:rFonts w:hint="eastAsia" w:ascii="黑体" w:hAnsi="黑体" w:eastAsia="黑体"/>
          <w:b/>
          <w:bCs/>
          <w:sz w:val="28"/>
          <w:szCs w:val="28"/>
        </w:rPr>
        <w:t>【稳添利最短持有期日开固收类】</w:t>
      </w:r>
      <w:permEnd w:id="0"/>
      <w:r>
        <w:rPr>
          <w:rFonts w:hint="eastAsia" w:ascii="黑体" w:hAnsi="黑体" w:eastAsia="黑体"/>
          <w:b/>
          <w:bCs/>
          <w:sz w:val="28"/>
          <w:szCs w:val="28"/>
        </w:rPr>
        <w:t>理财产品</w:t>
      </w:r>
    </w:p>
    <w:p w14:paraId="0338776A">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14:paraId="61A821DC">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14:paraId="6C618AC8">
      <w:pPr>
        <w:rPr>
          <w:rFonts w:ascii="宋体" w:hAnsi="宋体" w:cs="仿宋_GB2312"/>
          <w:b/>
          <w:kern w:val="0"/>
          <w:sz w:val="18"/>
          <w:szCs w:val="18"/>
        </w:rPr>
      </w:pPr>
      <w:r>
        <w:rPr>
          <w:rFonts w:hint="eastAsia" w:ascii="宋体" w:hAnsi="宋体" w:cs="仿宋_GB2312"/>
          <w:b/>
          <w:kern w:val="0"/>
          <w:sz w:val="18"/>
          <w:szCs w:val="18"/>
        </w:rPr>
        <w:t>尊敬的投资者：</w:t>
      </w:r>
    </w:p>
    <w:p w14:paraId="122C48A5">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016FB4E8">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788FF7B9">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14:paraId="304C27B5">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14:paraId="1952A201">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【兴银理财稳添利月盈69号(1个月最短持有期)日开固收类理财产品】</w:t>
      </w:r>
      <w:permEnd w:id="1"/>
    </w:p>
    <w:p w14:paraId="595156BD">
      <w:pPr>
        <w:spacing w:line="36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宋体" w:hAnsi="宋体"/>
          <w:sz w:val="18"/>
          <w:szCs w:val="18"/>
        </w:rPr>
        <w:t>【稳添利月盈69号E(兴普惠)】</w:t>
      </w:r>
      <w:r>
        <w:rPr>
          <w:rFonts w:hint="eastAsia" w:ascii="宋体" w:hAnsi="宋体"/>
          <w:color w:val="000000" w:themeColor="text1"/>
          <w:sz w:val="18"/>
          <w:szCs w:val="18"/>
          <w14:textFill>
            <w14:solidFill>
              <w14:schemeClr w14:val="tx1"/>
            </w14:solidFill>
          </w14:textFill>
        </w:rPr>
        <w:t>（适用【</w:t>
      </w:r>
      <w:r>
        <w:rPr>
          <w:rFonts w:hint="eastAsia" w:ascii="宋体" w:hAnsi="宋体"/>
          <w:color w:val="000000" w:themeColor="text1"/>
          <w:sz w:val="18"/>
          <w:szCs w:val="18"/>
          <w:lang w:val="en-US" w:eastAsia="zh-CN"/>
          <w14:textFill>
            <w14:solidFill>
              <w14:schemeClr w14:val="tx1"/>
            </w14:solidFill>
          </w14:textFill>
        </w:rPr>
        <w:t>E</w:t>
      </w:r>
      <w:r>
        <w:rPr>
          <w:rFonts w:hint="eastAsia" w:ascii="宋体" w:hAnsi="宋体"/>
          <w:color w:val="000000" w:themeColor="text1"/>
          <w:sz w:val="18"/>
          <w:szCs w:val="18"/>
          <w14:textFill>
            <w14:solidFill>
              <w14:schemeClr w14:val="tx1"/>
            </w14:solidFill>
          </w14:textFill>
        </w:rPr>
        <w:t>】类份额）</w:t>
      </w:r>
    </w:p>
    <w:permEnd w:id="2"/>
    <w:p w14:paraId="5FDFAAFD">
      <w:pPr>
        <w:ind w:firstLine="448" w:firstLineChars="249"/>
        <w:rPr>
          <w:rFonts w:ascii="宋体" w:hAnsi="宋体" w:cs="仿宋_GB2312"/>
          <w:kern w:val="0"/>
          <w:sz w:val="18"/>
          <w:szCs w:val="18"/>
        </w:rPr>
      </w:pPr>
    </w:p>
    <w:p w14:paraId="05CD98EC">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permStart w:id="3" w:edGrp="everyone"/>
      <w:r>
        <w:rPr>
          <w:rFonts w:hint="eastAsia" w:ascii="宋体" w:hAnsi="宋体" w:cs="仿宋_GB2312"/>
          <w:kern w:val="0"/>
          <w:sz w:val="18"/>
          <w:szCs w:val="18"/>
        </w:rPr>
        <w:t>【Z7002025000861】</w:t>
      </w:r>
      <w:permEnd w:id="3"/>
    </w:p>
    <w:p w14:paraId="06C1919B">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2D6850E7">
      <w:pPr>
        <w:ind w:firstLine="538" w:firstLineChars="299"/>
        <w:rPr>
          <w:rFonts w:ascii="宋体" w:hAnsi="宋体" w:cs="仿宋_GB2312"/>
          <w:kern w:val="0"/>
          <w:sz w:val="18"/>
          <w:szCs w:val="18"/>
        </w:rPr>
      </w:pPr>
      <w:permStart w:id="4" w:edGrp="everyone"/>
      <w:r>
        <w:rPr>
          <w:rFonts w:hint="eastAsia" w:ascii="宋体" w:hAnsi="宋体" w:cs="仿宋_GB2312"/>
          <w:kern w:val="0"/>
          <w:sz w:val="18"/>
          <w:szCs w:val="18"/>
        </w:rPr>
        <w:t>【公募、开放式、固定收益类、非保本浮动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14:paraId="1970A9F3">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7561FDC2">
      <w:pPr>
        <w:ind w:firstLine="448" w:firstLineChars="249"/>
        <w:rPr>
          <w:rFonts w:ascii="宋体" w:hAnsi="宋体" w:cs="仿宋_GB2312"/>
          <w:kern w:val="0"/>
          <w:sz w:val="18"/>
          <w:szCs w:val="18"/>
        </w:rPr>
      </w:pPr>
      <w:permStart w:id="5" w:edGrp="everyone"/>
      <w:r>
        <w:rPr>
          <w:rFonts w:hint="eastAsia" w:ascii="宋体" w:hAnsi="宋体" w:cs="仿宋_GB2312"/>
          <w:kern w:val="0"/>
          <w:sz w:val="18"/>
          <w:szCs w:val="18"/>
        </w:rPr>
        <w:t>【无固定期限】</w:t>
      </w:r>
      <w:permEnd w:id="5"/>
      <w:r>
        <w:rPr>
          <w:rFonts w:ascii="宋体" w:hAnsi="宋体" w:cs="仿宋_GB2312"/>
          <w:kern w:val="0"/>
          <w:sz w:val="18"/>
          <w:szCs w:val="18"/>
        </w:rPr>
        <w:t>。</w:t>
      </w:r>
    </w:p>
    <w:p w14:paraId="570C32F5">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14:paraId="77064DE2">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14:paraId="6F56635B">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0512CCFC">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16F6729B">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R2</w:t>
      </w:r>
      <w:r>
        <w:rPr>
          <w:rFonts w:ascii="宋体" w:hAnsi="宋体" w:cs="仿宋_GB2312"/>
          <w:kern w:val="0"/>
          <w:sz w:val="18"/>
          <w:szCs w:val="18"/>
        </w:rPr>
        <w:t>】</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R2</w:t>
      </w:r>
      <w:r>
        <w:rPr>
          <w:rFonts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R2</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45D2BBD9">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2DB020F5">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2C8AD94F">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color w:val="000000" w:themeColor="text1"/>
          <w:sz w:val="18"/>
          <w:szCs w:val="18"/>
          <w14:textFill>
            <w14:solidFill>
              <w14:schemeClr w14:val="tx1"/>
            </w14:solidFill>
          </w14:textFill>
        </w:rPr>
        <w:t>■个人投资者：【□ C1、■ C2、■ C3、■ C4、■ C5、■ C6</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p>
    <w:p w14:paraId="165D4364">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C2、■ C3、■ C4、■ C5</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p>
    <w:permEnd w:id="9"/>
    <w:p w14:paraId="3498A490">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0728649D">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75645415">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0965B033">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14:paraId="50F5300D">
      <w:pPr>
        <w:spacing w:line="360" w:lineRule="auto"/>
        <w:ind w:firstLine="360" w:firstLineChars="200"/>
        <w:rPr>
          <w:rFonts w:ascii="宋体" w:hAnsi="宋体"/>
          <w:sz w:val="18"/>
          <w:szCs w:val="18"/>
        </w:rPr>
      </w:pPr>
      <w:permStart w:id="10" w:edGrp="everyone"/>
      <w:r>
        <w:rPr>
          <w:rFonts w:hint="eastAsia" w:ascii="宋体" w:hAnsi="宋体"/>
          <w:sz w:val="18"/>
          <w:szCs w:val="18"/>
        </w:rPr>
        <w:t>【1.拟投资市场和资产的风险：</w:t>
      </w:r>
    </w:p>
    <w:p w14:paraId="68BFB0F2">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14:paraId="2AE4C8EE">
      <w:pPr>
        <w:spacing w:line="360" w:lineRule="auto"/>
        <w:ind w:firstLine="360" w:firstLineChars="200"/>
        <w:rPr>
          <w:rFonts w:ascii="宋体" w:hAnsi="宋体"/>
          <w:sz w:val="18"/>
          <w:szCs w:val="18"/>
        </w:rPr>
      </w:pPr>
      <w:r>
        <w:rPr>
          <w:rFonts w:hint="eastAsia" w:ascii="宋体" w:hAnsi="宋体"/>
          <w:sz w:val="18"/>
          <w:szCs w:val="18"/>
        </w:rPr>
        <w:t>投资标准化债权类资产的风险</w:t>
      </w:r>
    </w:p>
    <w:p w14:paraId="349093BE">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2BF54AF7">
      <w:pPr>
        <w:spacing w:line="360" w:lineRule="auto"/>
        <w:ind w:firstLine="360" w:firstLineChars="200"/>
        <w:rPr>
          <w:rFonts w:ascii="宋体" w:hAnsi="宋体"/>
          <w:sz w:val="18"/>
          <w:szCs w:val="18"/>
        </w:rPr>
      </w:pPr>
      <w:r>
        <w:rPr>
          <w:rFonts w:hint="eastAsia" w:ascii="宋体" w:hAnsi="宋体"/>
          <w:sz w:val="18"/>
          <w:szCs w:val="18"/>
        </w:rPr>
        <w:t xml:space="preserve">（2）投资商品和金融衍生品类资产的风险 </w:t>
      </w:r>
    </w:p>
    <w:p w14:paraId="178F51AE">
      <w:pPr>
        <w:spacing w:line="360" w:lineRule="auto"/>
        <w:ind w:firstLine="360" w:firstLineChars="200"/>
        <w:rPr>
          <w:rFonts w:ascii="宋体" w:hAnsi="宋体"/>
          <w:sz w:val="18"/>
          <w:szCs w:val="18"/>
        </w:rPr>
      </w:pPr>
      <w:r>
        <w:rPr>
          <w:rFonts w:hint="eastAsia" w:ascii="宋体" w:hAnsi="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5D0A408F">
      <w:pPr>
        <w:ind w:firstLine="360" w:firstLineChars="200"/>
        <w:rPr>
          <w:rFonts w:ascii="宋体" w:hAnsi="宋体"/>
          <w:sz w:val="18"/>
          <w:szCs w:val="18"/>
        </w:rPr>
      </w:pPr>
      <w:r>
        <w:rPr>
          <w:rFonts w:hint="eastAsia" w:ascii="宋体" w:hAnsi="宋体"/>
          <w:sz w:val="18"/>
          <w:szCs w:val="18"/>
        </w:rPr>
        <w:t>】</w:t>
      </w:r>
    </w:p>
    <w:permEnd w:id="10"/>
    <w:p w14:paraId="3F43641E">
      <w:pPr>
        <w:pStyle w:val="13"/>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14:paraId="61B5D536">
      <w:pPr>
        <w:pStyle w:val="13"/>
        <w:ind w:firstLine="426" w:firstLineChars="0"/>
        <w:rPr>
          <w:rFonts w:ascii="宋体" w:hAnsi="宋体"/>
          <w:b/>
          <w:sz w:val="18"/>
          <w:szCs w:val="18"/>
        </w:rPr>
      </w:pPr>
      <w:r>
        <w:rPr>
          <w:rFonts w:hint="eastAsia" w:ascii="宋体" w:hAnsi="宋体"/>
          <w:b/>
          <w:sz w:val="18"/>
          <w:szCs w:val="18"/>
        </w:rPr>
        <w:t xml:space="preserve">（二）投资者投资本产品可能面临的一般风险主要包括（但不限于）： </w:t>
      </w:r>
    </w:p>
    <w:p w14:paraId="361CBAA7">
      <w:pPr>
        <w:pStyle w:val="13"/>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14:paraId="053A246A">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5138A05C">
      <w:pPr>
        <w:pStyle w:val="13"/>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14:paraId="0D553942">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26A70A26">
      <w:pPr>
        <w:pStyle w:val="13"/>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14:paraId="1F5C0613">
      <w:pPr>
        <w:pStyle w:val="13"/>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270E2520">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14:paraId="1279B617">
      <w:pPr>
        <w:pStyle w:val="13"/>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780754F9">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14:paraId="6FE40026">
      <w:pPr>
        <w:pStyle w:val="13"/>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14:paraId="62B63AA6">
      <w:pPr>
        <w:pStyle w:val="13"/>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14:paraId="47E4ABB7">
      <w:pPr>
        <w:pStyle w:val="13"/>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14:paraId="0F1C9E89">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14:paraId="774BCC21">
      <w:pPr>
        <w:pStyle w:val="13"/>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5544FFED">
      <w:pPr>
        <w:pStyle w:val="13"/>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14:paraId="70486752">
      <w:pPr>
        <w:pStyle w:val="13"/>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5CD5772A">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14:paraId="6D6AA861">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14:paraId="66DE09F3">
      <w:pPr>
        <w:pStyle w:val="13"/>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14:paraId="4BA87883">
      <w:pPr>
        <w:pStyle w:val="13"/>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14:paraId="1EEE9C9A">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14:paraId="30150A85">
      <w:pPr>
        <w:pStyle w:val="13"/>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14:paraId="5BD09B60">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14:paraId="271B0C3D">
      <w:pPr>
        <w:pStyle w:val="13"/>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14:paraId="7B923D57">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14:paraId="30F8F0B1">
      <w:pPr>
        <w:pStyle w:val="13"/>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14:paraId="44E35AF3">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14:paraId="7D8AFD48">
      <w:pPr>
        <w:pStyle w:val="13"/>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14:paraId="6FF0F068">
      <w:pPr>
        <w:pStyle w:val="13"/>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14:paraId="18C51E19">
      <w:pPr>
        <w:pStyle w:val="13"/>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3942EF6F">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14:paraId="325F1AA2">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14:paraId="16F36B91">
      <w:pPr>
        <w:pStyle w:val="13"/>
        <w:ind w:firstLineChars="0"/>
        <w:rPr>
          <w:rFonts w:ascii="宋体" w:hAnsi="宋体"/>
          <w:b/>
          <w:bCs/>
          <w:sz w:val="18"/>
          <w:szCs w:val="18"/>
        </w:rPr>
      </w:pPr>
      <w:r>
        <w:rPr>
          <w:rFonts w:hint="eastAsia" w:ascii="宋体" w:hAnsi="宋体"/>
          <w:b/>
          <w:bCs/>
          <w:sz w:val="18"/>
          <w:szCs w:val="18"/>
        </w:rPr>
        <w:t>17.关联交易风险</w:t>
      </w:r>
    </w:p>
    <w:p w14:paraId="1EB7D9A3">
      <w:pPr>
        <w:pStyle w:val="13"/>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783F556B">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14:paraId="7F8A54B5">
      <w:pPr>
        <w:autoSpaceDE w:val="0"/>
        <w:autoSpaceDN w:val="0"/>
        <w:adjustRightInd w:val="0"/>
        <w:ind w:firstLine="420"/>
        <w:jc w:val="left"/>
        <w:rPr>
          <w:rFonts w:ascii="黑体" w:hAnsi="黑体" w:eastAsia="黑体" w:cs="黑体"/>
          <w:kern w:val="0"/>
          <w:sz w:val="18"/>
          <w:szCs w:val="18"/>
        </w:rPr>
      </w:pPr>
      <w:r>
        <w:rPr>
          <w:rFonts w:hint="eastAsia" w:ascii="黑体" w:hAnsi="黑体" w:eastAsia="黑体" w:cs="黑体"/>
          <w:color w:val="000000"/>
          <w:kern w:val="0"/>
          <w:sz w:val="18"/>
          <w:szCs w:val="18"/>
        </w:rPr>
        <w:t>五、【非机构投资者适用】</w:t>
      </w:r>
      <w:r>
        <w:rPr>
          <w:rFonts w:hint="eastAsia" w:ascii="黑体" w:hAnsi="黑体" w:eastAsia="黑体" w:cs="黑体"/>
          <w:kern w:val="0"/>
          <w:sz w:val="18"/>
          <w:szCs w:val="18"/>
        </w:rPr>
        <w:t>《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14:paraId="51A93DF3">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w:t>
      </w:r>
      <w:r>
        <w:rPr>
          <w:rFonts w:hint="eastAsia" w:ascii="黑体" w:hAnsi="黑体" w:eastAsia="黑体" w:cs="黑体"/>
          <w:color w:val="000000"/>
          <w:kern w:val="0"/>
          <w:sz w:val="18"/>
          <w:szCs w:val="18"/>
        </w:rPr>
        <w:t>【非机构投资者适用】</w:t>
      </w:r>
      <w:r>
        <w:rPr>
          <w:rFonts w:hint="eastAsia" w:ascii="黑体" w:hAnsi="黑体" w:eastAsia="黑体"/>
          <w:bCs/>
          <w:sz w:val="18"/>
          <w:szCs w:val="18"/>
        </w:rPr>
        <w:t>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45B1D3A6">
      <w:pPr>
        <w:ind w:left="540"/>
        <w:jc w:val="right"/>
        <w:rPr>
          <w:rFonts w:ascii="宋体" w:hAnsi="宋体"/>
          <w:sz w:val="18"/>
          <w:szCs w:val="18"/>
        </w:rPr>
      </w:pPr>
    </w:p>
    <w:p w14:paraId="68227F2D">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14:paraId="4FD42842">
      <w:pPr>
        <w:wordWrap w:val="0"/>
        <w:ind w:left="540"/>
        <w:jc w:val="right"/>
        <w:rPr>
          <w:rFonts w:ascii="宋体" w:hAnsi="宋体"/>
          <w:sz w:val="18"/>
          <w:szCs w:val="18"/>
        </w:rPr>
      </w:pPr>
      <w:permStart w:id="11" w:edGrp="everyone"/>
      <w:r>
        <w:rPr>
          <w:rFonts w:hint="eastAsia" w:ascii="宋体" w:hAnsi="宋体"/>
          <w:sz w:val="18"/>
          <w:szCs w:val="18"/>
        </w:rPr>
        <w:t>销售机构（【</w:t>
      </w:r>
      <w:r>
        <w:rPr>
          <w:rFonts w:hint="eastAsia" w:ascii="宋体" w:hAnsi="宋体"/>
          <w:sz w:val="18"/>
          <w:szCs w:val="18"/>
          <w:lang w:val="en-US" w:eastAsia="zh-CN"/>
        </w:rPr>
        <w:t xml:space="preserve">               </w:t>
      </w:r>
      <w:r>
        <w:rPr>
          <w:rFonts w:hint="eastAsia" w:ascii="宋体" w:hAnsi="宋体"/>
          <w:sz w:val="18"/>
          <w:szCs w:val="18"/>
        </w:rPr>
        <w:t>】）</w:t>
      </w:r>
    </w:p>
    <w:permEnd w:id="11"/>
    <w:p w14:paraId="1067A205">
      <w:pPr>
        <w:widowControl/>
        <w:jc w:val="left"/>
        <w:rPr>
          <w:rFonts w:ascii="宋体" w:hAnsi="宋体"/>
          <w:sz w:val="18"/>
          <w:szCs w:val="18"/>
        </w:rPr>
      </w:pPr>
      <w:r>
        <w:rPr>
          <w:rFonts w:ascii="宋体" w:hAnsi="宋体"/>
          <w:sz w:val="18"/>
          <w:szCs w:val="18"/>
        </w:rPr>
        <w:br w:type="page"/>
      </w:r>
    </w:p>
    <w:p w14:paraId="49D08C4C">
      <w:pPr>
        <w:ind w:left="540"/>
        <w:jc w:val="right"/>
        <w:rPr>
          <w:rFonts w:ascii="宋体" w:hAnsi="宋体"/>
          <w:sz w:val="18"/>
          <w:szCs w:val="18"/>
        </w:rPr>
      </w:pPr>
    </w:p>
    <w:p w14:paraId="35F5027C">
      <w:pPr>
        <w:ind w:left="540"/>
        <w:jc w:val="right"/>
        <w:rPr>
          <w:rFonts w:ascii="宋体" w:hAnsi="宋体"/>
          <w:sz w:val="18"/>
          <w:szCs w:val="18"/>
        </w:rPr>
      </w:pPr>
    </w:p>
    <w:tbl>
      <w:tblPr>
        <w:tblStyle w:val="8"/>
        <w:tblW w:w="83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71"/>
      </w:tblGrid>
      <w:tr w14:paraId="1E28A6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14:paraId="71FF02BC">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32FA21CF">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70A9EA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00C26B3A">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14:paraId="4E050887">
            <w:pPr>
              <w:spacing w:line="280" w:lineRule="atLeast"/>
              <w:jc w:val="left"/>
              <w:rPr>
                <w:rFonts w:ascii="宋体" w:hAnsi="宋体" w:cs="Arial"/>
                <w:sz w:val="18"/>
                <w:szCs w:val="18"/>
              </w:rPr>
            </w:pPr>
          </w:p>
          <w:p w14:paraId="5BE2F63D">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16C02142">
            <w:pPr>
              <w:spacing w:line="280" w:lineRule="atLeast"/>
              <w:jc w:val="left"/>
              <w:rPr>
                <w:rFonts w:ascii="宋体" w:hAnsi="宋体" w:cs="Arial"/>
                <w:kern w:val="0"/>
                <w:sz w:val="18"/>
                <w:szCs w:val="18"/>
              </w:rPr>
            </w:pPr>
          </w:p>
          <w:p w14:paraId="7C1623E5">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1B515B52">
            <w:pPr>
              <w:spacing w:line="280" w:lineRule="atLeast"/>
              <w:jc w:val="left"/>
              <w:rPr>
                <w:rFonts w:ascii="宋体" w:hAnsi="宋体" w:cs="Arial"/>
                <w:kern w:val="0"/>
                <w:sz w:val="18"/>
                <w:szCs w:val="18"/>
              </w:rPr>
            </w:pPr>
          </w:p>
          <w:p w14:paraId="1B39E41A">
            <w:pPr>
              <w:spacing w:line="280" w:lineRule="atLeast"/>
              <w:jc w:val="left"/>
              <w:rPr>
                <w:kern w:val="0"/>
                <w:sz w:val="18"/>
                <w:szCs w:val="18"/>
                <w:u w:val="single"/>
              </w:rPr>
            </w:pPr>
            <w:r>
              <w:rPr>
                <w:rFonts w:hint="eastAsia" w:ascii="宋体" w:hAnsi="宋体" w:cs="Arial"/>
                <w:kern w:val="0"/>
                <w:sz w:val="18"/>
                <w:szCs w:val="18"/>
              </w:rPr>
              <w:t>请投资者在此抄录：</w:t>
            </w:r>
          </w:p>
          <w:p w14:paraId="4BF709A7">
            <w:pPr>
              <w:spacing w:line="280" w:lineRule="atLeast"/>
              <w:jc w:val="left"/>
              <w:rPr>
                <w:kern w:val="0"/>
                <w:sz w:val="18"/>
                <w:szCs w:val="18"/>
                <w:u w:val="single"/>
              </w:rPr>
            </w:pPr>
          </w:p>
          <w:p w14:paraId="174E7C0B">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投资者签名/线上确认：</w:t>
            </w:r>
          </w:p>
          <w:p w14:paraId="243525D0">
            <w:pPr>
              <w:spacing w:line="280" w:lineRule="atLeast"/>
              <w:ind w:left="4200" w:firstLine="1080" w:firstLineChars="600"/>
              <w:jc w:val="left"/>
              <w:rPr>
                <w:rFonts w:ascii="宋体" w:hAnsi="宋体" w:cs="Arial"/>
                <w:kern w:val="0"/>
                <w:sz w:val="18"/>
                <w:szCs w:val="18"/>
              </w:rPr>
            </w:pPr>
          </w:p>
          <w:p w14:paraId="1CE19C3B">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6FCB877A">
            <w:pPr>
              <w:spacing w:line="280" w:lineRule="atLeast"/>
              <w:ind w:left="4200" w:firstLine="1080" w:firstLineChars="600"/>
              <w:jc w:val="left"/>
              <w:rPr>
                <w:rFonts w:ascii="宋体" w:hAnsi="宋体" w:cs="Arial"/>
                <w:kern w:val="0"/>
                <w:sz w:val="18"/>
                <w:szCs w:val="18"/>
              </w:rPr>
            </w:pPr>
          </w:p>
          <w:p w14:paraId="196F3474">
            <w:pPr>
              <w:spacing w:line="280" w:lineRule="atLeast"/>
              <w:jc w:val="left"/>
              <w:rPr>
                <w:rFonts w:ascii="宋体" w:hAnsi="宋体" w:cs="Arial"/>
                <w:b/>
                <w:bCs/>
                <w:kern w:val="0"/>
                <w:sz w:val="18"/>
                <w:szCs w:val="18"/>
              </w:rPr>
            </w:pPr>
            <w:r>
              <w:rPr>
                <w:rFonts w:hint="eastAsia"/>
                <w:b/>
                <w:bCs/>
                <w:kern w:val="0"/>
                <w:sz w:val="20"/>
                <w:szCs w:val="20"/>
              </w:rPr>
              <w:t>（本风险揭示书共有三份签署文本，第一联销售机构留存，第二联投资者留存，第三联产品管理人留存。）</w:t>
            </w:r>
          </w:p>
          <w:p w14:paraId="7F9FCA96">
            <w:pPr>
              <w:spacing w:line="280" w:lineRule="atLeast"/>
              <w:jc w:val="right"/>
              <w:rPr>
                <w:rFonts w:ascii="宋体" w:hAnsi="宋体"/>
                <w:kern w:val="0"/>
                <w:sz w:val="18"/>
                <w:szCs w:val="18"/>
              </w:rPr>
            </w:pPr>
          </w:p>
        </w:tc>
      </w:tr>
    </w:tbl>
    <w:p w14:paraId="47A03725">
      <w:pPr>
        <w:autoSpaceDE w:val="0"/>
        <w:autoSpaceDN w:val="0"/>
        <w:adjustRightInd w:val="0"/>
        <w:spacing w:line="360" w:lineRule="auto"/>
        <w:ind w:firstLine="420"/>
        <w:jc w:val="left"/>
        <w:rPr>
          <w:rFonts w:ascii="宋体" w:hAnsi="宋体"/>
          <w:sz w:val="24"/>
        </w:rPr>
      </w:pPr>
    </w:p>
    <w:p w14:paraId="6553A057">
      <w:pPr>
        <w:rPr>
          <w:rFonts w:ascii="宋体" w:hAnsi="宋体" w:cs="Arial"/>
          <w:sz w:val="24"/>
        </w:rPr>
      </w:pPr>
    </w:p>
    <w:p w14:paraId="19A9FE3C">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13"/>
      </w:tblGrid>
      <w:tr w14:paraId="11A340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526B40E3">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409F0CF6">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14:paraId="1AA6B5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7555CFBC">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14:paraId="09BEF7F7">
            <w:pPr>
              <w:spacing w:line="280" w:lineRule="atLeast"/>
              <w:ind w:firstLine="360" w:firstLineChars="200"/>
              <w:jc w:val="left"/>
              <w:rPr>
                <w:rFonts w:ascii="宋体" w:hAnsi="宋体" w:cs="Arial"/>
                <w:kern w:val="0"/>
                <w:sz w:val="18"/>
                <w:szCs w:val="18"/>
              </w:rPr>
            </w:pPr>
          </w:p>
          <w:p w14:paraId="3D6762E5">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3F2553D5">
            <w:pPr>
              <w:spacing w:line="280" w:lineRule="atLeast"/>
              <w:ind w:firstLine="360" w:firstLineChars="200"/>
              <w:jc w:val="left"/>
              <w:rPr>
                <w:rFonts w:ascii="宋体" w:hAnsi="宋体" w:cs="Arial"/>
                <w:kern w:val="0"/>
                <w:sz w:val="18"/>
                <w:szCs w:val="18"/>
              </w:rPr>
            </w:pPr>
          </w:p>
          <w:p w14:paraId="31AD8433">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6F0B7359">
            <w:pPr>
              <w:spacing w:line="280" w:lineRule="atLeast"/>
              <w:jc w:val="left"/>
              <w:rPr>
                <w:rFonts w:ascii="宋体" w:hAnsi="宋体" w:cs="Arial"/>
                <w:kern w:val="0"/>
                <w:sz w:val="18"/>
                <w:szCs w:val="18"/>
              </w:rPr>
            </w:pPr>
          </w:p>
          <w:p w14:paraId="7C19E711">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45A6FCE2">
            <w:pPr>
              <w:spacing w:line="280" w:lineRule="atLeast"/>
              <w:jc w:val="left"/>
              <w:rPr>
                <w:rFonts w:ascii="宋体" w:hAnsi="宋体" w:cs="Arial"/>
                <w:kern w:val="0"/>
                <w:sz w:val="18"/>
                <w:szCs w:val="18"/>
              </w:rPr>
            </w:pPr>
          </w:p>
          <w:p w14:paraId="149CAC8C">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14:paraId="1EF94A53">
            <w:pPr>
              <w:spacing w:line="280" w:lineRule="atLeast"/>
              <w:jc w:val="left"/>
              <w:rPr>
                <w:rFonts w:ascii="宋体" w:hAnsi="宋体" w:cs="Arial"/>
                <w:kern w:val="0"/>
                <w:sz w:val="18"/>
                <w:szCs w:val="18"/>
              </w:rPr>
            </w:pPr>
          </w:p>
          <w:p w14:paraId="1802D74C">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14:paraId="6615FEAA">
            <w:pPr>
              <w:spacing w:line="280" w:lineRule="atLeast"/>
              <w:ind w:left="4200" w:firstLine="1080" w:firstLineChars="600"/>
              <w:jc w:val="left"/>
              <w:rPr>
                <w:rFonts w:ascii="宋体" w:hAnsi="宋体" w:cs="Arial"/>
                <w:kern w:val="0"/>
                <w:sz w:val="18"/>
                <w:szCs w:val="18"/>
              </w:rPr>
            </w:pPr>
          </w:p>
          <w:p w14:paraId="6DC48BD8">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56166409">
            <w:pPr>
              <w:spacing w:line="280" w:lineRule="atLeast"/>
              <w:rPr>
                <w:kern w:val="0"/>
                <w:sz w:val="20"/>
                <w:szCs w:val="20"/>
              </w:rPr>
            </w:pPr>
          </w:p>
          <w:p w14:paraId="59112A82">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14:paraId="5D5F1B67">
      <w:pPr>
        <w:widowControl/>
        <w:jc w:val="left"/>
        <w:rPr>
          <w:rFonts w:hint="eastAsia"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8235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9A8B781">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14:paraId="19A8B78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B9E8">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26DF7CCF">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dit="readOnly" w:enforcement="1" w:cryptProviderType="rsaAES" w:cryptAlgorithmClass="hash" w:cryptAlgorithmType="typeAny" w:cryptAlgorithmSid="14" w:cryptSpinCount="100000" w:hash="VH91jKK8S+HILxZrTC8x/7f2g33+NBH5zbwtKH2yHWQpPAxYPayPNvhl7r5H4OxSPBiFVYJDUNeWThe1ovr9dg==" w:salt="TfuW6h7UC9IoXlbHLbc59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124A4"/>
    <w:rsid w:val="00096AC8"/>
    <w:rsid w:val="000A244A"/>
    <w:rsid w:val="000B16F1"/>
    <w:rsid w:val="000B357F"/>
    <w:rsid w:val="000F0566"/>
    <w:rsid w:val="001104E8"/>
    <w:rsid w:val="00152999"/>
    <w:rsid w:val="001C5047"/>
    <w:rsid w:val="002354DB"/>
    <w:rsid w:val="00262560"/>
    <w:rsid w:val="002B4654"/>
    <w:rsid w:val="002B4BDD"/>
    <w:rsid w:val="002B63FC"/>
    <w:rsid w:val="002C604E"/>
    <w:rsid w:val="002F0B15"/>
    <w:rsid w:val="00346ED2"/>
    <w:rsid w:val="003660B4"/>
    <w:rsid w:val="00374070"/>
    <w:rsid w:val="00390D83"/>
    <w:rsid w:val="003B6DAC"/>
    <w:rsid w:val="003E1A68"/>
    <w:rsid w:val="003F1C32"/>
    <w:rsid w:val="00412C30"/>
    <w:rsid w:val="00420D74"/>
    <w:rsid w:val="0045040F"/>
    <w:rsid w:val="00466605"/>
    <w:rsid w:val="004A236B"/>
    <w:rsid w:val="004B4026"/>
    <w:rsid w:val="004C7F5E"/>
    <w:rsid w:val="004E4E14"/>
    <w:rsid w:val="00510BA5"/>
    <w:rsid w:val="00527A03"/>
    <w:rsid w:val="00563E8F"/>
    <w:rsid w:val="005804B9"/>
    <w:rsid w:val="005C6FCB"/>
    <w:rsid w:val="005F48BE"/>
    <w:rsid w:val="00640FDE"/>
    <w:rsid w:val="00647B65"/>
    <w:rsid w:val="006538E1"/>
    <w:rsid w:val="00673739"/>
    <w:rsid w:val="006B4210"/>
    <w:rsid w:val="007143CD"/>
    <w:rsid w:val="0072580D"/>
    <w:rsid w:val="007303F6"/>
    <w:rsid w:val="00732C8C"/>
    <w:rsid w:val="007A4C26"/>
    <w:rsid w:val="007B017F"/>
    <w:rsid w:val="007C7189"/>
    <w:rsid w:val="0080662E"/>
    <w:rsid w:val="00836C1F"/>
    <w:rsid w:val="00894EE6"/>
    <w:rsid w:val="008A707D"/>
    <w:rsid w:val="008C1CE9"/>
    <w:rsid w:val="008D3E86"/>
    <w:rsid w:val="008E072A"/>
    <w:rsid w:val="008F2B54"/>
    <w:rsid w:val="00923A09"/>
    <w:rsid w:val="009525B5"/>
    <w:rsid w:val="00955293"/>
    <w:rsid w:val="009713C7"/>
    <w:rsid w:val="00980894"/>
    <w:rsid w:val="00981E5B"/>
    <w:rsid w:val="009B13AF"/>
    <w:rsid w:val="00A679D8"/>
    <w:rsid w:val="00A95D0C"/>
    <w:rsid w:val="00AD2AD0"/>
    <w:rsid w:val="00AE5AA3"/>
    <w:rsid w:val="00B06267"/>
    <w:rsid w:val="00B07DEF"/>
    <w:rsid w:val="00B35D81"/>
    <w:rsid w:val="00B3723D"/>
    <w:rsid w:val="00B71F84"/>
    <w:rsid w:val="00B73B8B"/>
    <w:rsid w:val="00B94B21"/>
    <w:rsid w:val="00BA3CE3"/>
    <w:rsid w:val="00BA71E5"/>
    <w:rsid w:val="00BB3A90"/>
    <w:rsid w:val="00BB513F"/>
    <w:rsid w:val="00BC1259"/>
    <w:rsid w:val="00BC2076"/>
    <w:rsid w:val="00BC398E"/>
    <w:rsid w:val="00BD36A3"/>
    <w:rsid w:val="00BE1A3A"/>
    <w:rsid w:val="00C0058E"/>
    <w:rsid w:val="00C01696"/>
    <w:rsid w:val="00C361E7"/>
    <w:rsid w:val="00C4233D"/>
    <w:rsid w:val="00CD0E2E"/>
    <w:rsid w:val="00D03CCD"/>
    <w:rsid w:val="00D268C3"/>
    <w:rsid w:val="00D33509"/>
    <w:rsid w:val="00D36659"/>
    <w:rsid w:val="00D46533"/>
    <w:rsid w:val="00D672A2"/>
    <w:rsid w:val="00D91389"/>
    <w:rsid w:val="00DA2C69"/>
    <w:rsid w:val="00DD246D"/>
    <w:rsid w:val="00DD5ABC"/>
    <w:rsid w:val="00DE3630"/>
    <w:rsid w:val="00E04894"/>
    <w:rsid w:val="00E27A39"/>
    <w:rsid w:val="00E504DE"/>
    <w:rsid w:val="00E66F5C"/>
    <w:rsid w:val="00E767F1"/>
    <w:rsid w:val="00E80603"/>
    <w:rsid w:val="00EB34F9"/>
    <w:rsid w:val="00F1541A"/>
    <w:rsid w:val="00F1747E"/>
    <w:rsid w:val="00F34E57"/>
    <w:rsid w:val="00F54E02"/>
    <w:rsid w:val="00F57B20"/>
    <w:rsid w:val="00F8077D"/>
    <w:rsid w:val="00FD7473"/>
    <w:rsid w:val="09B56D79"/>
    <w:rsid w:val="0AA55F8B"/>
    <w:rsid w:val="0E20418F"/>
    <w:rsid w:val="0F3144F8"/>
    <w:rsid w:val="158B6403"/>
    <w:rsid w:val="171B4C2E"/>
    <w:rsid w:val="18FF54C7"/>
    <w:rsid w:val="19AD5D42"/>
    <w:rsid w:val="1B033211"/>
    <w:rsid w:val="1D9858FD"/>
    <w:rsid w:val="23024B39"/>
    <w:rsid w:val="24181B34"/>
    <w:rsid w:val="38895284"/>
    <w:rsid w:val="3D0D1D7A"/>
    <w:rsid w:val="3E11430C"/>
    <w:rsid w:val="42454F86"/>
    <w:rsid w:val="4B09204D"/>
    <w:rsid w:val="4CFA15FA"/>
    <w:rsid w:val="565F2C06"/>
    <w:rsid w:val="588B3AE7"/>
    <w:rsid w:val="592D2BB7"/>
    <w:rsid w:val="5CF22E32"/>
    <w:rsid w:val="601969DF"/>
    <w:rsid w:val="6600662F"/>
    <w:rsid w:val="66965880"/>
    <w:rsid w:val="68414CC8"/>
    <w:rsid w:val="6A63308D"/>
    <w:rsid w:val="6E3A25F0"/>
    <w:rsid w:val="70330189"/>
    <w:rsid w:val="78A37128"/>
    <w:rsid w:val="7A7571B4"/>
    <w:rsid w:val="7A9C1246"/>
    <w:rsid w:val="7C166D86"/>
    <w:rsid w:val="7ED30D91"/>
    <w:rsid w:val="7F793613"/>
    <w:rsid w:val="7FD8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0"/>
    <w:pPr>
      <w:ind w:firstLine="420" w:firstLineChars="200"/>
    </w:pPr>
  </w:style>
  <w:style w:type="character" w:customStyle="1" w:styleId="14">
    <w:name w:val="批注文字 Char"/>
    <w:basedOn w:val="9"/>
    <w:link w:val="2"/>
    <w:qFormat/>
    <w:uiPriority w:val="99"/>
    <w:rPr>
      <w:rFonts w:ascii="Calibri" w:hAnsi="Calibri" w:eastAsia="宋体" w:cs="宋体"/>
    </w:rPr>
  </w:style>
  <w:style w:type="character" w:customStyle="1" w:styleId="15">
    <w:name w:val="批注主题 Char"/>
    <w:basedOn w:val="14"/>
    <w:link w:val="6"/>
    <w:semiHidden/>
    <w:qFormat/>
    <w:uiPriority w:val="99"/>
    <w:rPr>
      <w:rFonts w:ascii="Calibri" w:hAnsi="Calibri" w:eastAsia="宋体" w:cs="宋体"/>
      <w:b/>
      <w:bCs/>
    </w:rPr>
  </w:style>
  <w:style w:type="character" w:customStyle="1" w:styleId="16">
    <w:name w:val="批注框文本 Char"/>
    <w:basedOn w:val="9"/>
    <w:link w:val="3"/>
    <w:semiHidden/>
    <w:qFormat/>
    <w:uiPriority w:val="99"/>
    <w:rPr>
      <w:rFonts w:ascii="Calibri" w:hAnsi="Calibri" w:eastAsia="宋体" w:cs="宋体"/>
      <w:sz w:val="18"/>
      <w:szCs w:val="18"/>
    </w:rPr>
  </w:style>
  <w:style w:type="paragraph" w:customStyle="1" w:styleId="17">
    <w:name w:val="修订1"/>
    <w:hidden/>
    <w:semiHidden/>
    <w:qFormat/>
    <w:uiPriority w:val="99"/>
    <w:rPr>
      <w:rFonts w:ascii="Calibri" w:hAnsi="Calibri" w:eastAsia="宋体" w:cs="宋体"/>
      <w:kern w:val="2"/>
      <w:sz w:val="21"/>
      <w:szCs w:val="22"/>
      <w:lang w:val="en-US" w:eastAsia="zh-CN" w:bidi="ar-SA"/>
    </w:rPr>
  </w:style>
  <w:style w:type="paragraph" w:customStyle="1" w:styleId="18">
    <w:name w:val="修订2"/>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685</Words>
  <Characters>3906</Characters>
  <Lines>32</Lines>
  <Paragraphs>9</Paragraphs>
  <TotalTime>0</TotalTime>
  <ScaleCrop>false</ScaleCrop>
  <LinksUpToDate>false</LinksUpToDate>
  <CharactersWithSpaces>4582</CharactersWithSpaces>
  <Application>WPS Office_12.1.2.23582_F1E327BC-269C-435d-A152-05C5408002CA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2024-08-28T20:38:00Z</dcterms:created>
  <dc:creator>胡骁潇</dc:creator>
  <cp:lastModifiedBy>001145</cp:lastModifiedBy>
  <dcterms:modified xsi:type="dcterms:W3CDTF">2026-04-01T16:22:47Z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2052-12.1.2.23582</vt:lpwstr>
  </property>
  <property fmtid="{D5CDD505-2E9C-101B-9397-08002B2CF9AE}" pid="3" name="ICV">
    <vt:lpwstr>10303C0DCFA04B10D7D5CC691026D8D9_43</vt:lpwstr>
  </property>
</Properties>
</file>