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eastAsiaTheme="minorEastAsia"/>
          <w:b/>
          <w:bCs/>
          <w:szCs w:val="21"/>
          <w:highlight w:val="none"/>
          <w:lang w:eastAsia="zh-CN"/>
        </w:rPr>
      </w:pPr>
      <w:bookmarkStart w:id="2" w:name="_GoBack"/>
      <w:bookmarkEnd w:id="2"/>
      <w:r>
        <w:rPr>
          <w:rFonts w:hint="eastAsia" w:ascii="宋体" w:hAnsi="宋体" w:cs="宋体"/>
          <w:b/>
          <w:bCs/>
          <w:szCs w:val="21"/>
          <w:highlight w:val="none"/>
          <w:lang w:eastAsia="zh-CN"/>
        </w:rPr>
        <w:t>渤银理财财收有略系列固定收益类（创合款）三年封闭式理财产品2026年</w:t>
      </w:r>
      <w:r>
        <w:rPr>
          <w:rFonts w:hint="eastAsia" w:ascii="宋体" w:hAnsi="宋体" w:cs="宋体"/>
          <w:b/>
          <w:bCs/>
          <w:szCs w:val="21"/>
          <w:highlight w:val="none"/>
          <w:lang w:val="en-US" w:eastAsia="zh-CN"/>
        </w:rPr>
        <w:t>13</w:t>
      </w:r>
      <w:r>
        <w:rPr>
          <w:rFonts w:hint="eastAsia" w:ascii="宋体" w:hAnsi="宋体" w:cs="宋体"/>
          <w:b/>
          <w:bCs/>
          <w:szCs w:val="21"/>
          <w:highlight w:val="none"/>
          <w:lang w:eastAsia="zh-CN"/>
        </w:rPr>
        <w:t>号</w:t>
      </w:r>
    </w:p>
    <w:p>
      <w:pPr>
        <w:jc w:val="center"/>
        <w:outlineLvl w:val="0"/>
        <w:rPr>
          <w:rFonts w:hint="eastAsia" w:ascii="宋体" w:hAnsi="宋体" w:cs="宋体"/>
          <w:b/>
          <w:bCs/>
          <w:szCs w:val="21"/>
        </w:rPr>
      </w:pPr>
      <w:r>
        <w:rPr>
          <w:rFonts w:hint="eastAsia" w:ascii="宋体" w:hAnsi="宋体" w:cs="宋体"/>
          <w:b/>
          <w:bCs/>
          <w:szCs w:val="21"/>
        </w:rPr>
        <w:t>(产品登记编码：</w:t>
      </w:r>
      <w:r>
        <w:rPr>
          <w:rFonts w:hint="eastAsia" w:ascii="宋体" w:hAnsi="宋体" w:cs="宋体"/>
          <w:b/>
          <w:bCs/>
          <w:szCs w:val="21"/>
          <w:highlight w:val="none"/>
          <w:lang w:eastAsia="zh-CN"/>
        </w:rPr>
        <w:t>Z7008426000</w:t>
      </w:r>
      <w:r>
        <w:rPr>
          <w:rFonts w:hint="eastAsia" w:ascii="宋体" w:hAnsi="宋体" w:cs="宋体"/>
          <w:b/>
          <w:bCs/>
          <w:szCs w:val="21"/>
          <w:highlight w:val="none"/>
          <w:lang w:val="en-US" w:eastAsia="zh-CN"/>
        </w:rPr>
        <w:t>281</w:t>
      </w:r>
      <w:r>
        <w:rPr>
          <w:rFonts w:hint="eastAsia" w:ascii="宋体" w:hAnsi="宋体" w:cs="宋体"/>
          <w:b/>
          <w:bCs/>
          <w:szCs w:val="21"/>
        </w:rPr>
        <w:t>)风险揭示书</w:t>
      </w:r>
    </w:p>
    <w:p>
      <w:pPr>
        <w:spacing w:line="360" w:lineRule="auto"/>
        <w:rPr>
          <w:rFonts w:hint="eastAsia" w:ascii="宋体" w:hAnsi="宋体" w:cs="宋体"/>
          <w:b/>
          <w:bCs/>
          <w:szCs w:val="21"/>
        </w:rPr>
      </w:pPr>
      <w:r>
        <w:rPr>
          <w:rFonts w:hint="eastAsia" w:ascii="宋体" w:hAnsi="宋体" w:cs="宋体"/>
          <w:b/>
          <w:bCs/>
          <w:szCs w:val="21"/>
        </w:rPr>
        <w:t>尊敬的投资者：</w:t>
      </w:r>
    </w:p>
    <w:p>
      <w:pPr>
        <w:spacing w:line="360" w:lineRule="auto"/>
        <w:ind w:firstLine="420" w:firstLineChars="200"/>
        <w:rPr>
          <w:rFonts w:hint="eastAsia" w:ascii="宋体" w:hAnsi="宋体" w:cs="宋体"/>
          <w:szCs w:val="21"/>
        </w:rPr>
      </w:pPr>
      <w:r>
        <w:rPr>
          <w:rFonts w:hint="eastAsia" w:ascii="宋体" w:hAnsi="宋体" w:cs="宋体"/>
          <w:szCs w:val="21"/>
        </w:rPr>
        <w:t>理财资金管理运用可能面临多种风险因素，根据</w:t>
      </w:r>
      <w:r>
        <w:rPr>
          <w:rFonts w:hint="eastAsia"/>
        </w:rPr>
        <w:t>国家金融监督管理总局和/或其他监管机构</w:t>
      </w:r>
      <w:r>
        <w:rPr>
          <w:rFonts w:hint="eastAsia" w:ascii="宋体" w:hAnsi="宋体" w:cs="宋体"/>
          <w:szCs w:val="21"/>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rPr>
      </w:pPr>
      <w:r>
        <w:rPr>
          <w:rFonts w:hint="eastAsia" w:ascii="宋体" w:hAnsi="宋体" w:cs="宋体"/>
          <w:szCs w:val="21"/>
        </w:rPr>
        <w:t>一、风险揭示</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rPr>
      </w:pPr>
      <w:r>
        <w:rPr>
          <w:rFonts w:hint="eastAsia" w:ascii="宋体" w:hAnsi="宋体" w:cs="宋体"/>
          <w:szCs w:val="21"/>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rPr>
      </w:pPr>
      <w:r>
        <w:rPr>
          <w:rFonts w:hint="eastAsia" w:ascii="宋体" w:hAnsi="宋体" w:cs="宋体"/>
          <w:szCs w:val="21"/>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rPr>
      </w:pPr>
      <w:r>
        <w:rPr>
          <w:rFonts w:hint="eastAsia" w:ascii="宋体" w:hAnsi="宋体" w:cs="宋体"/>
          <w:szCs w:val="21"/>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（三）信用风险：本理财产品所投资资产，</w:t>
      </w:r>
      <w:r>
        <w:rPr>
          <w:rFonts w:hint="eastAsia"/>
        </w:rPr>
        <w:t>可能因债务人、交易对手违约或者其他原因导致无法足额变现，由此可能导致本理财产品的本金及收益遭受损失。</w:t>
      </w:r>
    </w:p>
    <w:p>
      <w:pPr>
        <w:spacing w:line="360" w:lineRule="auto"/>
        <w:ind w:firstLine="420" w:firstLineChars="200"/>
        <w:rPr>
          <w:rStyle w:val="6"/>
        </w:rPr>
      </w:pPr>
      <w:r>
        <w:rPr>
          <w:rFonts w:hint="eastAsia" w:ascii="宋体" w:hAnsi="宋体" w:cs="宋体"/>
          <w:szCs w:val="21"/>
        </w:rPr>
        <w:t>（四）流动性风险：在产品存续期间本理财产品的投资者可能面临相应的流动性风险，包括但不限于以下情形：</w:t>
      </w:r>
    </w:p>
    <w:p>
      <w:pPr>
        <w:numPr>
          <w:ilvl w:val="0"/>
          <w:numId w:val="1"/>
        </w:numPr>
        <w:spacing w:line="360" w:lineRule="auto"/>
        <w:rPr>
          <w:rFonts w:hint="eastAsia"/>
        </w:rPr>
      </w:pPr>
      <w:r>
        <w:rPr>
          <w:rFonts w:hint="eastAsia" w:ascii="宋体" w:hAnsi="宋体" w:cs="宋体"/>
          <w:szCs w:val="21"/>
        </w:rPr>
        <w:t>封闭式产品认购、兑付安排</w:t>
      </w:r>
    </w:p>
    <w:p>
      <w:pPr>
        <w:spacing w:line="360" w:lineRule="auto"/>
        <w:ind w:firstLine="420" w:firstLineChars="200"/>
        <w:rPr>
          <w:rFonts w:hint="eastAsia"/>
        </w:rPr>
      </w:pPr>
      <w:r>
        <w:rPr>
          <w:rFonts w:hint="eastAsia" w:ascii="宋体" w:hAnsi="宋体" w:cs="宋体"/>
          <w:szCs w:val="21"/>
        </w:rPr>
        <w:t>投资者不能随时提前终止本理财产品，在本产品存续期内，除非理财产品销售文件另有约定，投资者不得赎回。</w:t>
      </w:r>
    </w:p>
    <w:p>
      <w:pPr>
        <w:spacing w:line="360" w:lineRule="auto"/>
        <w:ind w:firstLine="420" w:firstLineChars="200"/>
        <w:rPr>
          <w:rFonts w:hint="eastAsia"/>
        </w:rPr>
      </w:pPr>
      <w:r>
        <w:rPr>
          <w:rFonts w:hint="eastAsia"/>
        </w:rPr>
        <w:t>此外，</w:t>
      </w:r>
      <w:r>
        <w:rPr>
          <w:rFonts w:hint="eastAsia" w:ascii="宋体" w:hAnsi="宋体" w:cs="宋体"/>
          <w:szCs w:val="21"/>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rPr>
        <w:t>国家金融监督管理总局和/或其他监管机构</w:t>
      </w:r>
      <w:r>
        <w:rPr>
          <w:rFonts w:hint="eastAsia" w:ascii="宋体" w:hAnsi="宋体" w:cs="宋体"/>
          <w:szCs w:val="21"/>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rPr>
      </w:pPr>
      <w:r>
        <w:rPr>
          <w:rFonts w:hint="eastAsia"/>
        </w:rPr>
        <w:t>主要拟投资市场、资产的流动性风险</w:t>
      </w:r>
    </w:p>
    <w:p>
      <w:pPr>
        <w:spacing w:line="360" w:lineRule="auto"/>
        <w:ind w:firstLine="420" w:firstLineChars="200"/>
        <w:rPr>
          <w:rFonts w:hint="eastAsia"/>
        </w:rPr>
      </w:pPr>
      <w:r>
        <w:rPr>
          <w:rFonts w:hint="eastAsia"/>
        </w:rPr>
        <w:t>本理财产品投资于</w:t>
      </w:r>
      <w:r>
        <w:rPr>
          <w:rFonts w:hint="eastAsia" w:ascii="宋体" w:hAnsi="宋体" w:cs="宋体"/>
          <w:szCs w:val="21"/>
        </w:rPr>
        <w:t>货币市场工具、现金类资产、标准化固定收益类资产、非标准化债权资产</w:t>
      </w:r>
      <w:r>
        <w:rPr>
          <w:rFonts w:hint="eastAsia" w:ascii="宋体" w:hAnsi="宋体" w:cs="宋体"/>
          <w:szCs w:val="21"/>
          <w:lang w:eastAsia="zh-CN"/>
        </w:rPr>
        <w:t>、</w:t>
      </w:r>
      <w:r>
        <w:rPr>
          <w:rFonts w:hint="eastAsia" w:ascii="宋体" w:hAnsi="宋体" w:eastAsia="宋体" w:cs="宋体"/>
          <w:szCs w:val="21"/>
          <w:lang w:val="en-US" w:eastAsia="zh-CN"/>
        </w:rPr>
        <w:t>权益类资产</w:t>
      </w:r>
      <w:r>
        <w:rPr>
          <w:rFonts w:hint="eastAsia" w:ascii="宋体" w:hAnsi="宋体" w:cs="宋体"/>
          <w:szCs w:val="21"/>
        </w:rPr>
        <w:t>等</w:t>
      </w:r>
      <w:r>
        <w:rPr>
          <w:rFonts w:hint="eastAsia" w:ascii="宋体" w:hAnsi="宋体" w:cs="宋体"/>
          <w:szCs w:val="21"/>
          <w:lang w:val="en-US" w:eastAsia="zh-CN"/>
        </w:rPr>
        <w:t>其他符合监管要求的资产</w:t>
      </w:r>
      <w:r>
        <w:rPr>
          <w:rFonts w:hint="eastAsia"/>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rPr>
      </w:pPr>
      <w:r>
        <w:rPr>
          <w:rFonts w:hint="eastAsia" w:ascii="宋体" w:hAnsi="宋体" w:cs="宋体"/>
          <w:szCs w:val="21"/>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rPr>
      </w:pPr>
      <w:r>
        <w:rPr>
          <w:rFonts w:hint="eastAsia" w:ascii="宋体" w:hAnsi="宋体" w:cs="宋体"/>
          <w:szCs w:val="21"/>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rPr>
      </w:pPr>
      <w:r>
        <w:rPr>
          <w:rFonts w:hint="eastAsia" w:ascii="宋体" w:hAnsi="宋体" w:cs="宋体"/>
          <w:szCs w:val="21"/>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rPr>
      </w:pPr>
      <w:r>
        <w:rPr>
          <w:rFonts w:hint="eastAsia" w:ascii="宋体" w:hAnsi="宋体" w:cs="宋体"/>
          <w:szCs w:val="21"/>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rPr>
      </w:pPr>
      <w:r>
        <w:rPr>
          <w:rFonts w:hint="eastAsia" w:ascii="宋体" w:hAnsi="宋体" w:cs="宋体"/>
          <w:szCs w:val="21"/>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rPr>
      </w:pPr>
      <w:r>
        <w:rPr>
          <w:rFonts w:hint="eastAsia" w:ascii="宋体" w:hAnsi="宋体" w:cs="宋体"/>
          <w:szCs w:val="21"/>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rPr>
      </w:pPr>
      <w:r>
        <w:rPr>
          <w:rFonts w:hint="eastAsia" w:ascii="宋体" w:hAnsi="宋体" w:cs="宋体"/>
          <w:szCs w:val="21"/>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rPr>
      </w:pPr>
      <w:r>
        <w:rPr>
          <w:rFonts w:hint="eastAsia" w:ascii="宋体" w:hAnsi="宋体" w:cs="宋体"/>
          <w:szCs w:val="21"/>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rPr>
      </w:pPr>
      <w:r>
        <w:rPr>
          <w:rFonts w:hint="eastAsia" w:ascii="宋体" w:hAnsi="宋体" w:cs="宋体"/>
          <w:szCs w:val="21"/>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rPr>
        <w:t>等方面存在差异。</w:t>
      </w:r>
    </w:p>
    <w:p>
      <w:pPr>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十七）产品费用的风险：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确认的退出份额数×销售服务费率×产品剩余期限/365，计算结果精确到小数点后2位，小数点2位以后四舍五入，其中产品剩余期限为从退出份额确认日（含）至产品计划到期日（不含）的天数。在退出份额确认日当日，本理财产品将退出份额对应的已计提未摊销销售服务费一次性摊销完成。</w:t>
      </w:r>
    </w:p>
    <w:p>
      <w:pPr>
        <w:spacing w:line="360" w:lineRule="auto"/>
        <w:ind w:firstLine="420" w:firstLineChars="200"/>
        <w:rPr>
          <w:rFonts w:hint="eastAsia"/>
        </w:rPr>
      </w:pPr>
      <w:r>
        <w:rPr>
          <w:rFonts w:hint="eastAsia"/>
        </w:rPr>
        <w:t>（十</w:t>
      </w:r>
      <w:r>
        <w:rPr>
          <w:rFonts w:hint="eastAsia"/>
          <w:lang w:val="en-US" w:eastAsia="zh-CN"/>
        </w:rPr>
        <w:t>八</w:t>
      </w:r>
      <w:r>
        <w:rPr>
          <w:rFonts w:hint="eastAsia"/>
        </w:rPr>
        <w:t>）特定投资标的风险(如有）</w:t>
      </w:r>
    </w:p>
    <w:p>
      <w:pPr>
        <w:numPr>
          <w:ilvl w:val="0"/>
          <w:numId w:val="2"/>
        </w:numPr>
        <w:spacing w:line="360" w:lineRule="auto"/>
        <w:ind w:left="0" w:firstLine="420" w:firstLineChars="200"/>
        <w:rPr>
          <w:rFonts w:hint="eastAsia"/>
        </w:rPr>
      </w:pPr>
      <w:r>
        <w:rPr>
          <w:rFonts w:hint="eastAsia"/>
        </w:rPr>
        <w:t>投资于债券的特殊风险</w:t>
      </w:r>
    </w:p>
    <w:p>
      <w:pPr>
        <w:spacing w:line="360" w:lineRule="auto"/>
        <w:ind w:firstLine="420" w:firstLineChars="200"/>
        <w:rPr>
          <w:rFonts w:hint="eastAsia"/>
        </w:rPr>
      </w:pPr>
      <w:r>
        <w:rPr>
          <w:rFonts w:hint="eastAsia"/>
        </w:rPr>
        <w:t>A市场平均利率水平变化导致债券价格变化的风险；</w:t>
      </w:r>
    </w:p>
    <w:p>
      <w:pPr>
        <w:spacing w:line="360" w:lineRule="auto"/>
        <w:ind w:firstLine="420" w:firstLineChars="200"/>
        <w:rPr>
          <w:rFonts w:hint="eastAsia"/>
        </w:rPr>
      </w:pPr>
      <w:r>
        <w:rPr>
          <w:rFonts w:hint="eastAsia"/>
        </w:rPr>
        <w:t>B债券市场不同期限、不同类属债券之间的利差变动导致相应期限和类属债券价格变化的风险；</w:t>
      </w:r>
    </w:p>
    <w:p>
      <w:pPr>
        <w:spacing w:line="360" w:lineRule="auto"/>
        <w:ind w:firstLine="420" w:firstLineChars="200"/>
        <w:rPr>
          <w:rFonts w:hint="eastAsia"/>
        </w:rPr>
      </w:pPr>
      <w:r>
        <w:rPr>
          <w:rFonts w:hint="eastAsia"/>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rPr>
      </w:pPr>
      <w:r>
        <w:rPr>
          <w:rFonts w:hint="eastAsia"/>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rPr>
      </w:pPr>
      <w:r>
        <w:rPr>
          <w:rFonts w:hint="eastAsia"/>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rPr>
      </w:pPr>
      <w:r>
        <w:rPr>
          <w:rFonts w:hint="eastAsia"/>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rPr>
      </w:pPr>
      <w:r>
        <w:rPr>
          <w:rFonts w:hint="eastAsia"/>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rPr>
      </w:pPr>
      <w:r>
        <w:rPr>
          <w:rFonts w:hint="eastAsia"/>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rPr>
      </w:pPr>
      <w:r>
        <w:rPr>
          <w:rFonts w:hint="eastAsia"/>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rPr>
      </w:pPr>
      <w:r>
        <w:rPr>
          <w:rFonts w:hint="eastAsia"/>
        </w:rPr>
        <w:t>投资于资产支持证券的特殊风险</w:t>
      </w:r>
    </w:p>
    <w:p>
      <w:pPr>
        <w:spacing w:line="360" w:lineRule="auto"/>
        <w:ind w:firstLine="420" w:firstLineChars="200"/>
        <w:rPr>
          <w:rFonts w:hint="eastAsia"/>
        </w:rPr>
      </w:pPr>
      <w:r>
        <w:rPr>
          <w:rFonts w:hint="eastAsia"/>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投资于债券质押式回购与债券买断式回购的特殊风险</w:t>
      </w:r>
    </w:p>
    <w:p>
      <w:pPr>
        <w:spacing w:line="360" w:lineRule="auto"/>
        <w:ind w:firstLine="420" w:firstLineChars="200"/>
        <w:rPr>
          <w:rFonts w:hint="eastAsia" w:ascii="宋体" w:hAnsi="宋体" w:cs="宋体"/>
          <w:szCs w:val="21"/>
        </w:rPr>
      </w:pPr>
      <w:r>
        <w:rPr>
          <w:rFonts w:hint="eastAsia" w:ascii="宋体" w:hAnsi="宋体" w:cs="宋体"/>
          <w:szCs w:val="21"/>
        </w:rPr>
        <w:t>如本产品投资于债券质押式回购与债券买断式回购，会</w:t>
      </w:r>
      <w:r>
        <w:rPr>
          <w:rFonts w:hint="eastAsia" w:ascii="宋体" w:hAnsi="宋体" w:cs="宋体"/>
          <w:color w:val="000000"/>
          <w:szCs w:val="21"/>
        </w:rPr>
        <w:t>面临市场风险、担保物价值下跌风险、违约风险以及清算风险</w:t>
      </w:r>
      <w:r>
        <w:rPr>
          <w:rFonts w:hint="eastAsia" w:ascii="宋体" w:hAnsi="宋体" w:cs="宋体"/>
          <w:szCs w:val="21"/>
        </w:rPr>
        <w:t>，可能导致本理财产品项下的理财资金遭受损失。</w:t>
      </w:r>
    </w:p>
    <w:p>
      <w:pPr>
        <w:numPr>
          <w:ilvl w:val="0"/>
          <w:numId w:val="2"/>
        </w:numPr>
        <w:spacing w:line="360" w:lineRule="auto"/>
        <w:ind w:left="0" w:firstLine="420" w:firstLineChars="200"/>
        <w:rPr>
          <w:rFonts w:hint="eastAsia"/>
        </w:rPr>
      </w:pPr>
      <w:r>
        <w:rPr>
          <w:rFonts w:hint="eastAsia"/>
        </w:rPr>
        <w:t>投资于非标准化债权类资产的特殊风险</w:t>
      </w:r>
    </w:p>
    <w:p>
      <w:pPr>
        <w:spacing w:line="360" w:lineRule="auto"/>
        <w:ind w:firstLine="420" w:firstLineChars="200"/>
        <w:rPr>
          <w:rFonts w:hint="eastAsia"/>
        </w:rPr>
      </w:pPr>
      <w:r>
        <w:rPr>
          <w:rFonts w:hint="eastAsia"/>
        </w:rPr>
        <w:t>如本理财产品进行非标准化债权投资（含投资于进行债权投资的信托计划、资产管理计划等资产管理产品，下同）的，则本理财产品可能面临如下风险:</w:t>
      </w:r>
    </w:p>
    <w:p>
      <w:pPr>
        <w:spacing w:line="360" w:lineRule="auto"/>
        <w:ind w:firstLine="420" w:firstLineChars="200"/>
        <w:rPr>
          <w:rFonts w:hint="eastAsia"/>
        </w:rPr>
      </w:pPr>
      <w:r>
        <w:rPr>
          <w:rFonts w:hint="eastAsia"/>
        </w:rPr>
        <w:t>A融资方的信用风险：由于还款履约能力发生变化，融资方在相关债权付息日、到期日、回售日时，未能支付或未能足额支付应付款项所导致本产品财产损失的风险；</w:t>
      </w:r>
    </w:p>
    <w:p>
      <w:pPr>
        <w:spacing w:line="360" w:lineRule="auto"/>
        <w:ind w:firstLine="420" w:firstLineChars="200"/>
        <w:rPr>
          <w:rFonts w:hint="eastAsia"/>
        </w:rPr>
      </w:pPr>
      <w:r>
        <w:rPr>
          <w:rFonts w:hint="eastAsia"/>
        </w:rPr>
        <w:t>B债务人提前还款或逾期还款的风险：本产品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spacing w:line="360" w:lineRule="auto"/>
        <w:ind w:firstLine="420" w:firstLineChars="200"/>
        <w:rPr>
          <w:rFonts w:hint="eastAsia"/>
        </w:rPr>
      </w:pPr>
      <w:r>
        <w:rPr>
          <w:rFonts w:hint="eastAsia"/>
        </w:rPr>
        <w:t>C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spacing w:line="360" w:lineRule="auto"/>
        <w:ind w:firstLine="420" w:firstLineChars="200"/>
        <w:rPr>
          <w:rFonts w:hint="eastAsia"/>
        </w:rPr>
      </w:pPr>
      <w:r>
        <w:rPr>
          <w:rFonts w:hint="eastAsia"/>
        </w:rPr>
        <w:t>D如本理财产品财产管理运用中所投资的相关资产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spacing w:line="360" w:lineRule="auto"/>
        <w:ind w:firstLine="420" w:firstLineChars="200"/>
        <w:rPr>
          <w:rFonts w:hint="eastAsia"/>
        </w:rPr>
      </w:pPr>
      <w:r>
        <w:rPr>
          <w:rFonts w:hint="eastAsia"/>
        </w:rPr>
        <w:t>E如本理财产品财产管理运用中存在保证担保安排的，若由于保证人因任何原因未履行保证义务的，则可能给本理财产品带来风险；</w:t>
      </w:r>
    </w:p>
    <w:p>
      <w:pPr>
        <w:spacing w:line="360" w:lineRule="auto"/>
        <w:ind w:firstLine="420" w:firstLineChars="200"/>
        <w:rPr>
          <w:rFonts w:hint="eastAsia"/>
        </w:rPr>
      </w:pPr>
      <w:r>
        <w:rPr>
          <w:rFonts w:hint="eastAsia"/>
        </w:rPr>
        <w:t>F利率风险。本产品进行的债权投资可能约定为固定利率，如市场利率上升，持有期间卖出资产将可能会面临资产价格下跌的风险。本产品进行的债权投资亦可能约定为浮动利率，如市场利率下行，可能导致融资合同约定的基准利率下行，从而将导致标的资产投资收益率下降。因此，如发生市场利率波动，本理财产品的投资者可能面临投资收益下降或遭受亏损的风险；</w:t>
      </w:r>
    </w:p>
    <w:p>
      <w:pPr>
        <w:spacing w:line="360" w:lineRule="auto"/>
        <w:ind w:firstLine="420" w:firstLineChars="200"/>
        <w:rPr>
          <w:rFonts w:hint="eastAsia"/>
        </w:rPr>
      </w:pPr>
      <w:r>
        <w:rPr>
          <w:rFonts w:hint="eastAsia"/>
        </w:rPr>
        <w:t>G其他风险。本产品进行债权投资时，可能因为交易结构复杂、法律法规发生变化以及其他各种可能的情况导致投资者面临无法实现投资收益或遭受损失的风险。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投资于公募基金、信托计划、资产管理计划等资产管理产品的特殊风险</w:t>
      </w:r>
    </w:p>
    <w:p>
      <w:pPr>
        <w:spacing w:line="360" w:lineRule="auto"/>
        <w:ind w:firstLine="420" w:firstLineChars="200"/>
        <w:rPr>
          <w:rFonts w:ascii="宋体" w:hAnsi="宋体" w:cs="宋体"/>
          <w:szCs w:val="21"/>
        </w:rPr>
      </w:pPr>
      <w:r>
        <w:rPr>
          <w:rFonts w:ascii="宋体" w:hAnsi="宋体" w:cs="宋体"/>
          <w:szCs w:val="21"/>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rPr>
        <w:t>产品</w:t>
      </w:r>
      <w:r>
        <w:rPr>
          <w:rFonts w:ascii="宋体" w:hAnsi="宋体" w:cs="宋体"/>
          <w:szCs w:val="21"/>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投资于股票的特殊风险</w:t>
      </w:r>
    </w:p>
    <w:p>
      <w:pPr>
        <w:spacing w:line="360" w:lineRule="auto"/>
        <w:ind w:firstLine="420" w:firstLineChars="200"/>
        <w:rPr>
          <w:rFonts w:hint="eastAsia" w:ascii="宋体" w:hAnsi="宋体" w:cs="宋体"/>
          <w:szCs w:val="21"/>
        </w:rPr>
      </w:pPr>
      <w:r>
        <w:rPr>
          <w:rFonts w:hint="eastAsia" w:ascii="宋体" w:hAnsi="宋体" w:cs="宋体"/>
          <w:szCs w:val="21"/>
        </w:rPr>
        <w:t>A国家货币政策、财政政策、产业政策等的变化对证券市场产生一定的影响，导致市场 价格水平波动的风险；</w:t>
      </w:r>
    </w:p>
    <w:p>
      <w:pPr>
        <w:spacing w:line="360" w:lineRule="auto"/>
        <w:ind w:firstLine="420" w:firstLineChars="200"/>
        <w:rPr>
          <w:rFonts w:hint="eastAsia" w:ascii="宋体" w:hAnsi="宋体" w:cs="宋体"/>
          <w:szCs w:val="21"/>
        </w:rPr>
      </w:pPr>
      <w:r>
        <w:rPr>
          <w:rFonts w:hint="eastAsia" w:ascii="宋体" w:hAnsi="宋体" w:cs="宋体"/>
          <w:szCs w:val="21"/>
        </w:rPr>
        <w:t>B宏观经济运行周期性波动，对股票市场的收益水平产生影响的风险；</w:t>
      </w:r>
    </w:p>
    <w:p>
      <w:pPr>
        <w:spacing w:line="360" w:lineRule="auto"/>
        <w:ind w:firstLine="420" w:firstLineChars="200"/>
        <w:rPr>
          <w:rFonts w:hint="eastAsia" w:ascii="宋体" w:hAnsi="宋体" w:cs="宋体"/>
          <w:szCs w:val="21"/>
        </w:rPr>
      </w:pPr>
      <w:r>
        <w:rPr>
          <w:rFonts w:hint="eastAsia" w:ascii="宋体" w:hAnsi="宋体" w:cs="宋体"/>
          <w:szCs w:val="21"/>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ascii="宋体" w:hAnsi="宋体" w:cs="宋体"/>
          <w:szCs w:val="21"/>
        </w:rPr>
      </w:pPr>
      <w:r>
        <w:rPr>
          <w:rFonts w:hint="eastAsia" w:ascii="宋体" w:hAnsi="宋体" w:cs="宋体"/>
          <w:szCs w:val="21"/>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ascii="宋体" w:hAnsi="宋体" w:cs="宋体"/>
          <w:szCs w:val="21"/>
        </w:rPr>
      </w:pPr>
      <w:r>
        <w:rPr>
          <w:rFonts w:hint="eastAsia" w:ascii="宋体" w:hAnsi="宋体" w:cs="宋体"/>
          <w:szCs w:val="21"/>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numPr>
          <w:ilvl w:val="0"/>
          <w:numId w:val="2"/>
        </w:numPr>
        <w:spacing w:line="360" w:lineRule="auto"/>
        <w:ind w:left="0" w:firstLine="420" w:firstLineChars="200"/>
        <w:rPr>
          <w:rFonts w:hint="eastAsia"/>
        </w:rPr>
      </w:pPr>
      <w:r>
        <w:rPr>
          <w:rFonts w:hint="eastAsia"/>
        </w:rPr>
        <w:t>投资于优先股的特殊风险</w:t>
      </w:r>
    </w:p>
    <w:p>
      <w:pPr>
        <w:spacing w:line="360" w:lineRule="auto"/>
        <w:ind w:firstLine="420" w:firstLineChars="200"/>
        <w:rPr>
          <w:rFonts w:hint="eastAsia"/>
        </w:rPr>
      </w:pPr>
      <w:r>
        <w:rPr>
          <w:rFonts w:hint="eastAsia"/>
        </w:rPr>
        <w:t>本理财产品如投资于优先股，除面临国家政策、宏观经济及发行人经营等风险外，还存在以下风险：</w:t>
      </w:r>
    </w:p>
    <w:p>
      <w:pPr>
        <w:spacing w:line="360" w:lineRule="auto"/>
        <w:ind w:firstLine="420" w:firstLineChars="200"/>
        <w:rPr>
          <w:rFonts w:hint="eastAsia"/>
        </w:rPr>
      </w:pPr>
      <w:r>
        <w:rPr>
          <w:rFonts w:hint="eastAsia"/>
        </w:rPr>
        <w:t>A优先股具有补充资本的属性，在银行（发行人）资本充足率水平等指标触发转股条件时，存在强制转普通股的风险；</w:t>
      </w:r>
    </w:p>
    <w:p>
      <w:pPr>
        <w:spacing w:line="360" w:lineRule="auto"/>
        <w:ind w:firstLine="420" w:firstLineChars="200"/>
        <w:rPr>
          <w:rFonts w:hint="eastAsia"/>
        </w:rPr>
      </w:pPr>
      <w:r>
        <w:rPr>
          <w:rFonts w:hint="eastAsia"/>
        </w:rPr>
        <w:t>B优先股股息派发由发行人全权决定，不派息不构成违约，因此存在不能按时全额派息的风险；</w:t>
      </w:r>
    </w:p>
    <w:p>
      <w:pPr>
        <w:spacing w:line="360" w:lineRule="auto"/>
        <w:ind w:firstLine="420" w:firstLineChars="200"/>
        <w:rPr>
          <w:rFonts w:hint="eastAsia"/>
        </w:rPr>
      </w:pPr>
      <w:r>
        <w:rPr>
          <w:rFonts w:hint="eastAsia"/>
        </w:rPr>
        <w:t>C发行人可能在可赎回日决定不赎回优先股，因此存在赎回时间不可预期的风险。</w:t>
      </w:r>
    </w:p>
    <w:p>
      <w:pPr>
        <w:numPr>
          <w:ilvl w:val="0"/>
          <w:numId w:val="2"/>
        </w:numPr>
        <w:spacing w:line="360" w:lineRule="auto"/>
        <w:ind w:left="0" w:firstLine="420" w:firstLineChars="200"/>
        <w:rPr>
          <w:rFonts w:hint="eastAsia"/>
        </w:rPr>
      </w:pPr>
      <w:r>
        <w:rPr>
          <w:rFonts w:hint="eastAsia"/>
        </w:rPr>
        <w:t xml:space="preserve">投资于公开募集基础设施证券投资基金（REITs）的特殊风险 </w:t>
      </w:r>
    </w:p>
    <w:p>
      <w:pPr>
        <w:spacing w:line="360" w:lineRule="auto"/>
        <w:ind w:firstLine="420" w:firstLineChars="200"/>
        <w:rPr>
          <w:rFonts w:ascii="宋体" w:hAnsi="宋体" w:cs="宋体"/>
          <w:szCs w:val="21"/>
        </w:rPr>
      </w:pPr>
      <w:r>
        <w:rPr>
          <w:rFonts w:hint="eastAsia" w:ascii="宋体" w:hAnsi="宋体" w:cs="宋体"/>
          <w:szCs w:val="21"/>
        </w:rPr>
        <w:t>A基金价格波动风险</w:t>
      </w:r>
    </w:p>
    <w:p>
      <w:pPr>
        <w:spacing w:line="360" w:lineRule="auto"/>
        <w:ind w:firstLine="420" w:firstLineChars="200"/>
        <w:rPr>
          <w:rFonts w:hint="eastAsia" w:ascii="宋体" w:hAnsi="宋体" w:cs="宋体"/>
          <w:szCs w:val="21"/>
        </w:rPr>
      </w:pPr>
      <w:r>
        <w:rPr>
          <w:rFonts w:hint="eastAsia" w:ascii="宋体" w:hAnsi="宋体" w:cs="宋体"/>
          <w:szCs w:val="21"/>
        </w:rPr>
        <w:t>公开募集基础设施证券投资基金（简称“基础设施基金”）大部分资金投资于基础设施项目，具有权益属性，受经济环境、运营管理等因素影响，基础设施项目市场价值及现金流情况可能发生变化，可能引起基础设施基金价格波动，甚至存在基础设施项目遭遇极端事件（如地震、台风等）发生较大损失而影响基金价格的风险；</w:t>
      </w:r>
    </w:p>
    <w:p>
      <w:pPr>
        <w:spacing w:line="360" w:lineRule="auto"/>
        <w:ind w:firstLine="420" w:firstLineChars="200"/>
        <w:rPr>
          <w:rFonts w:ascii="宋体" w:hAnsi="宋体" w:cs="宋体"/>
          <w:szCs w:val="21"/>
        </w:rPr>
      </w:pPr>
      <w:r>
        <w:rPr>
          <w:rFonts w:hint="eastAsia" w:ascii="宋体" w:hAnsi="宋体" w:cs="宋体"/>
          <w:szCs w:val="21"/>
        </w:rPr>
        <w:t>B基础设施项目运营风险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基础设施基金可直接或间接对外借入款项，存在基础设施项目经营不达预期，基金无法偿还借款的风险；</w:t>
      </w:r>
    </w:p>
    <w:p>
      <w:pPr>
        <w:spacing w:line="360" w:lineRule="auto"/>
        <w:ind w:firstLine="420" w:firstLineChars="200"/>
        <w:rPr>
          <w:rFonts w:ascii="宋体" w:hAnsi="宋体" w:cs="宋体"/>
          <w:szCs w:val="21"/>
        </w:rPr>
      </w:pPr>
      <w:r>
        <w:rPr>
          <w:rFonts w:hint="eastAsia" w:ascii="宋体" w:hAnsi="宋体" w:cs="宋体"/>
          <w:szCs w:val="21"/>
        </w:rPr>
        <w:t>C流动性风险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基础设施基金采取封闭式运作，不开通申购赎回，只能在二级市场交易，作为一种新型资产，其流动性存在不确定性，甚至存在流动性不足的风险；</w:t>
      </w:r>
    </w:p>
    <w:p>
      <w:pPr>
        <w:spacing w:line="360" w:lineRule="auto"/>
        <w:ind w:firstLine="420" w:firstLineChars="200"/>
        <w:rPr>
          <w:rFonts w:ascii="宋体" w:hAnsi="宋体" w:cs="宋体"/>
          <w:szCs w:val="21"/>
        </w:rPr>
      </w:pPr>
      <w:r>
        <w:rPr>
          <w:rFonts w:hint="eastAsia" w:ascii="宋体" w:hAnsi="宋体" w:cs="宋体"/>
          <w:szCs w:val="21"/>
        </w:rPr>
        <w:t>D终止上市风险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基础设施基金运作过程中可能因触发法律法规或交易所规定的终止上市情形而终止上市，导致投资者无法在二级市场交易；</w:t>
      </w:r>
    </w:p>
    <w:p>
      <w:pPr>
        <w:spacing w:line="360" w:lineRule="auto"/>
        <w:ind w:firstLine="420" w:firstLineChars="200"/>
        <w:rPr>
          <w:rFonts w:ascii="宋体" w:hAnsi="宋体" w:cs="宋体"/>
          <w:szCs w:val="21"/>
        </w:rPr>
      </w:pPr>
      <w:r>
        <w:rPr>
          <w:rFonts w:hint="eastAsia" w:ascii="宋体" w:hAnsi="宋体" w:cs="宋体"/>
          <w:szCs w:val="21"/>
        </w:rPr>
        <w:t>E税收等政策调整风险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基础设施基金运作过程中可能涉及基金持有人、公募基金、资产支持证券、项目公司等多层面税负，如果国家税收等政策发生调整，可能影响投资运作与基金收益；</w:t>
      </w:r>
    </w:p>
    <w:p>
      <w:pPr>
        <w:spacing w:line="360" w:lineRule="auto"/>
        <w:ind w:firstLine="420" w:firstLineChars="200"/>
        <w:rPr>
          <w:rFonts w:hint="eastAsia" w:ascii="宋体" w:hAnsi="宋体" w:cs="宋体"/>
          <w:szCs w:val="21"/>
        </w:rPr>
      </w:pPr>
      <w:r>
        <w:rPr>
          <w:rFonts w:hint="eastAsia" w:ascii="宋体" w:hAnsi="宋体" w:cs="宋体"/>
          <w:szCs w:val="21"/>
        </w:rPr>
        <w:t>F基础设施基金的收益分配比例不低于合并后基金年度可供分配金额的90%。当基金需要购买新资产或偿还到期债务时，需要从市场上融资，但基础设施项目可能由于评级、市场状况等因素的变化，不能以较低的收益率水平从市场上融资，进而增加项目营运成本，使其面临融资风险，影响基金可分配收益数额。</w:t>
      </w:r>
    </w:p>
    <w:p>
      <w:pPr>
        <w:numPr>
          <w:ilvl w:val="0"/>
          <w:numId w:val="2"/>
        </w:numPr>
        <w:spacing w:line="360" w:lineRule="auto"/>
        <w:ind w:left="0" w:firstLine="420" w:firstLineChars="200"/>
        <w:rPr>
          <w:rFonts w:hint="eastAsia" w:ascii="宋体" w:hAnsi="宋体" w:cs="宋体"/>
          <w:color w:val="000000"/>
          <w:szCs w:val="21"/>
          <w:lang w:bidi="ar"/>
        </w:rPr>
      </w:pPr>
      <w:r>
        <w:rPr>
          <w:rFonts w:hint="eastAsia" w:ascii="宋体" w:hAnsi="宋体" w:cs="宋体"/>
          <w:color w:val="000000"/>
          <w:szCs w:val="21"/>
          <w:lang w:bidi="ar"/>
        </w:rPr>
        <w:t>投资于量化对冲策略的风险</w:t>
      </w:r>
    </w:p>
    <w:p>
      <w:pPr>
        <w:spacing w:line="360" w:lineRule="auto"/>
        <w:ind w:firstLine="420" w:firstLineChars="200"/>
        <w:rPr>
          <w:rFonts w:hint="eastAsia" w:ascii="宋体" w:hAnsi="宋体" w:cs="宋体"/>
          <w:szCs w:val="21"/>
          <w:lang w:bidi="ar"/>
        </w:rPr>
      </w:pPr>
      <w:r>
        <w:rPr>
          <w:rFonts w:hint="eastAsia" w:ascii="宋体" w:hAnsi="宋体" w:cs="宋体"/>
          <w:color w:val="000000"/>
          <w:szCs w:val="21"/>
          <w:lang w:bidi="ar"/>
        </w:rPr>
        <w:t>本理财产品的收益与多个量化对冲策略的收益相关，其投资策略较为复杂，涉及股票、债券、商品和金融衍生品等多种不同类别的底层资产，其业绩受到多种因素的影响，可能因市场波动、政策环境变化等导致模型策略盈利性降低甚至亏损，由此导致本理财产品收益降低乃至本金损失</w:t>
      </w:r>
      <w:r>
        <w:rPr>
          <w:rFonts w:hint="eastAsia" w:ascii="宋体" w:hAnsi="宋体" w:cs="宋体"/>
          <w:szCs w:val="21"/>
          <w:lang w:bidi="ar"/>
        </w:rPr>
        <w:t>。</w:t>
      </w:r>
      <w:r>
        <w:rPr>
          <w:rFonts w:hint="eastAsia" w:ascii="宋体" w:hAnsi="宋体" w:cs="宋体"/>
          <w:szCs w:val="21"/>
        </w:rPr>
        <w:t>本理财产品管理人获得相应的衍生产品交易资格后将可能直接投资商品及金融衍生品类资产</w:t>
      </w:r>
      <w:r>
        <w:rPr>
          <w:rFonts w:hint="eastAsia" w:ascii="宋体" w:hAnsi="宋体" w:cs="宋体"/>
          <w:szCs w:val="21"/>
          <w:lang w:bidi="ar"/>
        </w:rPr>
        <w:t>。</w:t>
      </w:r>
    </w:p>
    <w:p>
      <w:pPr>
        <w:numPr>
          <w:ilvl w:val="0"/>
          <w:numId w:val="2"/>
        </w:numPr>
        <w:spacing w:line="360" w:lineRule="auto"/>
        <w:ind w:left="0" w:firstLine="420" w:firstLineChars="200"/>
        <w:rPr>
          <w:rFonts w:hint="eastAsia"/>
        </w:rPr>
      </w:pPr>
      <w:r>
        <w:rPr>
          <w:rFonts w:hint="eastAsia"/>
        </w:rPr>
        <w:t>投资于QDII资产管理产品的特殊风险</w:t>
      </w:r>
    </w:p>
    <w:p>
      <w:pPr>
        <w:spacing w:line="360" w:lineRule="auto"/>
        <w:ind w:firstLine="420" w:firstLineChars="200"/>
        <w:rPr>
          <w:rFonts w:hint="eastAsia"/>
        </w:rPr>
      </w:pPr>
      <w:r>
        <w:rPr>
          <w:rFonts w:hint="eastAsia"/>
        </w:rPr>
        <w:t>本理财产品可通过QDII资产管理产品投资境外金融资产和金融工具。投资QDII资产管理产品除面临所投资的金融资产和金融工具自身风险及管理人风险外，还面临着以下风险：</w:t>
      </w:r>
    </w:p>
    <w:p>
      <w:pPr>
        <w:spacing w:line="360" w:lineRule="auto"/>
        <w:ind w:firstLine="420" w:firstLineChars="200"/>
        <w:rPr>
          <w:rFonts w:hint="eastAsia"/>
        </w:rPr>
      </w:pPr>
      <w:r>
        <w:rPr>
          <w:rFonts w:hint="eastAsia"/>
        </w:rPr>
        <w:t>A汇率风险：汇率变动可能影响本理财产品投资的QDII资产管理产品净值表现。若汇率市场出现巨大变化，造成所投资的QDII资产管理产品净值发生波动从而影响理财产品投资收益的，投资者的本金和收益可能遭受部分或全部的损失；</w:t>
      </w:r>
    </w:p>
    <w:p>
      <w:pPr>
        <w:spacing w:line="360" w:lineRule="auto"/>
        <w:ind w:firstLine="420" w:firstLineChars="200"/>
        <w:rPr>
          <w:rFonts w:hint="eastAsia"/>
        </w:rPr>
      </w:pPr>
      <w:r>
        <w:rPr>
          <w:rFonts w:hint="eastAsia"/>
        </w:rPr>
        <w:t>B资金出境风险：QDII资产管理产品管理人负责办理理财产品委托财产的购汇和资金出境事宜。QDII资产管理产品存续期内的购汇和资金出境事宜应当遵守国家相关监管机构及国家外汇管理局的有关规定，可能存在资金不能出境或如期出境进行投资的政策风险。</w:t>
      </w:r>
    </w:p>
    <w:p>
      <w:pPr>
        <w:numPr>
          <w:ilvl w:val="0"/>
          <w:numId w:val="2"/>
        </w:numPr>
        <w:spacing w:line="360" w:lineRule="auto"/>
        <w:ind w:left="0" w:firstLine="420" w:firstLineChars="200"/>
        <w:rPr>
          <w:rFonts w:hint="eastAsia"/>
        </w:rPr>
      </w:pPr>
      <w:r>
        <w:rPr>
          <w:rFonts w:hint="eastAsia"/>
        </w:rPr>
        <w:t>投资于收益凭证的风险</w:t>
      </w:r>
    </w:p>
    <w:p>
      <w:pPr>
        <w:spacing w:line="360" w:lineRule="auto"/>
        <w:ind w:firstLine="420" w:firstLineChars="200"/>
        <w:rPr>
          <w:rFonts w:hint="eastAsia"/>
        </w:rPr>
      </w:pPr>
      <w:r>
        <w:rPr>
          <w:rFonts w:hint="eastAsia"/>
        </w:rPr>
        <w:t>本理财产品如投资于收益凭证，则本理财产品可能面临的风险包括但不限于：</w:t>
      </w:r>
    </w:p>
    <w:p>
      <w:pPr>
        <w:spacing w:line="360" w:lineRule="auto"/>
        <w:ind w:firstLine="420" w:firstLineChars="200"/>
        <w:rPr>
          <w:rFonts w:hint="eastAsia"/>
        </w:rPr>
      </w:pPr>
      <w:r>
        <w:rPr>
          <w:rFonts w:hint="eastAsia"/>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rPr>
      </w:pPr>
      <w:r>
        <w:rPr>
          <w:rFonts w:hint="eastAsia"/>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rPr>
      </w:pPr>
      <w:r>
        <w:rPr>
          <w:rFonts w:hint="eastAsia"/>
        </w:rPr>
        <w:t>C操作风险。由于证券公司内部管理流程缺陷、人员操作失误、不合规或者外部事件等原因而导致损失的风险；</w:t>
      </w:r>
    </w:p>
    <w:p>
      <w:pPr>
        <w:spacing w:line="360" w:lineRule="auto"/>
        <w:ind w:firstLine="420" w:firstLineChars="200"/>
        <w:rPr>
          <w:rFonts w:hint="eastAsia"/>
        </w:rPr>
      </w:pPr>
      <w:r>
        <w:rPr>
          <w:rFonts w:hint="eastAsia"/>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rPr>
      </w:pPr>
      <w:r>
        <w:rPr>
          <w:rFonts w:hint="eastAsia"/>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参与港股通股票交易的特殊风险</w:t>
      </w:r>
    </w:p>
    <w:p>
      <w:pPr>
        <w:spacing w:line="360" w:lineRule="auto"/>
        <w:ind w:firstLine="420" w:firstLineChars="200"/>
        <w:rPr>
          <w:rFonts w:hint="eastAsia" w:ascii="宋体" w:hAnsi="宋体" w:cs="宋体"/>
          <w:szCs w:val="21"/>
        </w:rPr>
      </w:pPr>
      <w:r>
        <w:rPr>
          <w:rFonts w:hint="eastAsia" w:ascii="宋体" w:hAnsi="宋体" w:cs="宋体"/>
          <w:szCs w:val="21"/>
        </w:rPr>
        <w:t>A香港证券市场与内地证券市场存在诸多差异，理财产品参与港股通交易需遵守内地与香港相关法律、行政法规、部门规章、规范性文件和业务规则；港股通遵循两地市场现行的交易结算法律法规，相关交易结算活动遵守交易结算发生地的监管规定及业务规则；通过港股通参与香港证券市场交易与通过其他方式参与香港证券市场交易，也存在一定的差异。不同规则的适用可能影响理财产品的投资效率和收益以及由此造成无法及时开展估值工作的风险。</w:t>
      </w:r>
    </w:p>
    <w:p>
      <w:pPr>
        <w:spacing w:line="360" w:lineRule="auto"/>
        <w:ind w:firstLine="420" w:firstLineChars="200"/>
        <w:rPr>
          <w:rFonts w:hint="eastAsia" w:ascii="宋体" w:hAnsi="宋体" w:cs="宋体"/>
          <w:szCs w:val="21"/>
        </w:rPr>
      </w:pPr>
      <w:r>
        <w:rPr>
          <w:rFonts w:hint="eastAsia" w:ascii="宋体" w:hAnsi="宋体" w:cs="宋体"/>
          <w:szCs w:val="21"/>
        </w:rPr>
        <w:t>B香港证券市场股票交易适用的特殊业务规则，本理财产品需遵守并承担因此可能产生的风险，例如，港股通股票不设置涨跌幅限制，联交所在订单申报的最小交易价差、每手股数、申报最大限制等方面也与内地证券市场存在一定的差异。</w:t>
      </w:r>
    </w:p>
    <w:p>
      <w:pPr>
        <w:spacing w:line="360" w:lineRule="auto"/>
        <w:ind w:firstLine="420" w:firstLineChars="200"/>
        <w:rPr>
          <w:rFonts w:hint="eastAsia" w:ascii="宋体" w:hAnsi="宋体" w:cs="宋体"/>
          <w:szCs w:val="21"/>
        </w:rPr>
      </w:pPr>
      <w:r>
        <w:rPr>
          <w:rFonts w:hint="eastAsia" w:ascii="宋体" w:hAnsi="宋体" w:cs="宋体"/>
          <w:szCs w:val="21"/>
        </w:rPr>
        <w:t>C港股通目前的特殊业务规则所产生的相关风险。港股通目前尚处于试点阶段，适用于港股通的相关特殊业务规则可能影响本理财产品的投资，例如：理财产品通过港股通业务暂不能参与新股发行认购；因港股通股票权益分派、转换、上市公司被收购等情形或发生异常情况，理财产品取得的港股通标的股票以外的联交所上市证券只能通过港股通卖出但不得买入，取得的非联交所上市证券可以享有相关权益但不得通过港股通买入或卖出，取得的股票的认购权利在联交所上市的可以卖出但不得行权；对于联交所上市公司派发的现金红利或红股，由于中国结算的结算处理需要一定时间，本理财产品获得的现金红利将较香港市场有所延后，获得的红股可卖出首日较香港市场晚一个港股交易日。</w:t>
      </w:r>
    </w:p>
    <w:p>
      <w:pPr>
        <w:spacing w:line="360" w:lineRule="auto"/>
        <w:ind w:firstLine="420" w:firstLineChars="200"/>
        <w:rPr>
          <w:rFonts w:hint="eastAsia" w:ascii="宋体" w:hAnsi="宋体" w:cs="宋体"/>
          <w:szCs w:val="21"/>
        </w:rPr>
      </w:pPr>
      <w:r>
        <w:rPr>
          <w:rFonts w:hint="eastAsia" w:ascii="宋体" w:hAnsi="宋体" w:cs="宋体"/>
          <w:szCs w:val="21"/>
        </w:rPr>
        <w:t>D投资标的限制：本理财产品通过港股通可以买卖的股票存在一定范围限制；港股通标的股票名单实行动态调整机制，对于被调出的港股通股票，自调整之日起，本理财产品将不得再行买入。</w:t>
      </w:r>
    </w:p>
    <w:p>
      <w:pPr>
        <w:spacing w:line="360" w:lineRule="auto"/>
        <w:ind w:firstLine="420" w:firstLineChars="200"/>
        <w:rPr>
          <w:rFonts w:hint="eastAsia" w:ascii="宋体" w:hAnsi="宋体" w:cs="宋体"/>
          <w:szCs w:val="21"/>
        </w:rPr>
      </w:pPr>
      <w:r>
        <w:rPr>
          <w:rFonts w:hint="eastAsia" w:ascii="宋体" w:hAnsi="宋体" w:cs="宋体"/>
          <w:szCs w:val="21"/>
        </w:rPr>
        <w:t>E投资额度限制：港股通业务试点期间存在每日额度限制。在联交所开市前阶段，当日额度使用完毕的，新增的买单申报将面临失败的风险；在联交所持续交易时段、收市竞价交易时段，当日额度使用完毕的，该当日本理财产品将面临不能通过港股通进行买入交易的风险。</w:t>
      </w:r>
    </w:p>
    <w:p>
      <w:pPr>
        <w:spacing w:line="360" w:lineRule="auto"/>
        <w:ind w:firstLine="420" w:firstLineChars="200"/>
        <w:rPr>
          <w:rFonts w:hint="eastAsia" w:ascii="宋体" w:hAnsi="宋体" w:cs="宋体"/>
          <w:szCs w:val="21"/>
        </w:rPr>
      </w:pPr>
      <w:r>
        <w:rPr>
          <w:rFonts w:hint="eastAsia" w:ascii="宋体" w:hAnsi="宋体" w:cs="宋体"/>
          <w:szCs w:val="21"/>
        </w:rPr>
        <w:t>F汇率风险：根据相关业务规则，理财产品在交易时间内提交订单依据的港币买入参考汇率和卖出参考汇率，并不等于最终结算汇率。在港股通交易日日终，中国证券登记结算有限责任公司（以下简称“中国结算”）将进行净额换汇，将换汇成本按成交金额分摊至每笔交易，确定交易实际适用的结算汇率。在参考汇率与实际结算汇率不一致的情况下，尤其是极端情况下离岸人民币市场发生汇率大幅度波动时，有可能出现结算汇率劣于参考汇率的结果，理财产品的投资收益可能因此受到不利影响。</w:t>
      </w:r>
    </w:p>
    <w:p>
      <w:pPr>
        <w:spacing w:line="360" w:lineRule="auto"/>
        <w:ind w:firstLine="420" w:firstLineChars="200"/>
        <w:rPr>
          <w:rFonts w:hint="eastAsia" w:ascii="宋体" w:hAnsi="宋体" w:cs="宋体"/>
          <w:szCs w:val="21"/>
        </w:rPr>
      </w:pPr>
      <w:r>
        <w:rPr>
          <w:rFonts w:hint="eastAsia" w:ascii="宋体" w:hAnsi="宋体" w:cs="宋体"/>
          <w:szCs w:val="21"/>
        </w:rPr>
        <w:t>G通信故障风险：若联交所与上交所证券交易服务公司之间的报盘系统或者通信链路出现故障，可能导致15分钟以上不能申报和撤销申报，本理财产品将承担因此可能产生的风险。</w:t>
      </w:r>
    </w:p>
    <w:p>
      <w:pPr>
        <w:spacing w:line="360" w:lineRule="auto"/>
        <w:ind w:firstLine="420" w:firstLineChars="200"/>
        <w:rPr>
          <w:rFonts w:hint="eastAsia" w:ascii="宋体" w:hAnsi="宋体" w:cs="宋体"/>
          <w:szCs w:val="21"/>
          <w:lang w:bidi="ar"/>
        </w:rPr>
      </w:pPr>
      <w:r>
        <w:rPr>
          <w:rFonts w:hint="eastAsia" w:ascii="宋体" w:hAnsi="宋体" w:cs="宋体"/>
          <w:szCs w:val="21"/>
        </w:rPr>
        <w:t>H清算风险：因港股通境内结算实施分级结算原则，理财产品可能面临如下风险：（i）因结算参与人未完成与中国结算的集中交收，导致应收资金或证券被暂不交付或处置；（ii）结算参与人出现交收违约导致理财产品未能取得应收证券或资金；（iii）结算参与人向中国结算发送的有关理财产品的证券划付指令有误而导致理财产品权益受损；（iv）其他因结算参与人未遵守相关业务规则导致理财产品受到损害的情况。</w:t>
      </w:r>
    </w:p>
    <w:p>
      <w:pPr>
        <w:numPr>
          <w:ilvl w:val="0"/>
          <w:numId w:val="2"/>
        </w:numPr>
        <w:spacing w:line="360" w:lineRule="auto"/>
        <w:ind w:left="0" w:firstLine="420" w:firstLineChars="200"/>
        <w:rPr>
          <w:rFonts w:hint="eastAsia"/>
        </w:rPr>
      </w:pPr>
      <w:r>
        <w:rPr>
          <w:rFonts w:hint="eastAsia"/>
        </w:rPr>
        <w:t>投资于商品及金融衍生品的特殊风险</w:t>
      </w:r>
    </w:p>
    <w:p>
      <w:pPr>
        <w:spacing w:line="360" w:lineRule="auto"/>
        <w:ind w:firstLine="420" w:firstLineChars="200"/>
        <w:rPr>
          <w:rFonts w:hint="eastAsia"/>
        </w:rPr>
      </w:pPr>
      <w:r>
        <w:rPr>
          <w:rFonts w:hint="eastAsia"/>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rPr>
      </w:pPr>
      <w:r>
        <w:rPr>
          <w:rFonts w:hint="eastAsia"/>
        </w:rPr>
        <w:t>投资于混合类/衍生品类资产管理产品的特殊风险</w:t>
      </w:r>
    </w:p>
    <w:p>
      <w:pPr>
        <w:spacing w:line="360" w:lineRule="auto"/>
        <w:ind w:firstLine="420" w:firstLineChars="200"/>
        <w:rPr>
          <w:rFonts w:hint="eastAsia"/>
        </w:rPr>
      </w:pPr>
      <w:r>
        <w:rPr>
          <w:rFonts w:hint="eastAsia"/>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rPr>
      </w:pPr>
      <w:r>
        <w:rPr>
          <w:rFonts w:hint="eastAsia"/>
        </w:rPr>
        <w:t>A国家货币政策、财政政策、产业政策等的变化对证券市场产生一定影响，导致市场价格水平波动的风险；</w:t>
      </w:r>
    </w:p>
    <w:p>
      <w:pPr>
        <w:spacing w:line="360" w:lineRule="auto"/>
        <w:ind w:firstLine="420" w:firstLineChars="200"/>
        <w:rPr>
          <w:rFonts w:hint="eastAsia"/>
        </w:rPr>
      </w:pPr>
      <w:r>
        <w:rPr>
          <w:rFonts w:hint="eastAsia"/>
        </w:rPr>
        <w:t>B宏观经济运行周期性波动，对股票市场的收益水平产生影响的风险；</w:t>
      </w:r>
    </w:p>
    <w:p>
      <w:pPr>
        <w:spacing w:line="360" w:lineRule="auto"/>
        <w:ind w:firstLine="420" w:firstLineChars="200"/>
        <w:rPr>
          <w:rFonts w:hint="eastAsia"/>
        </w:rPr>
      </w:pPr>
      <w:r>
        <w:rPr>
          <w:rFonts w:hint="eastAsia"/>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rPr>
      </w:pPr>
      <w:r>
        <w:rPr>
          <w:rFonts w:hint="eastAsia"/>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rPr>
      </w:pPr>
      <w:r>
        <w:rPr>
          <w:rFonts w:hint="eastAsia"/>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rPr>
      </w:pPr>
      <w:r>
        <w:rPr>
          <w:rFonts w:hint="eastAsia"/>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rPr>
      </w:pPr>
      <w:r>
        <w:rPr>
          <w:rFonts w:hint="eastAsia"/>
        </w:rPr>
        <w:t>投资于结构性存款等结构性投资产品的特殊风险</w:t>
      </w:r>
    </w:p>
    <w:p>
      <w:pPr>
        <w:spacing w:line="360" w:lineRule="auto"/>
        <w:ind w:firstLine="420" w:firstLineChars="200"/>
        <w:rPr>
          <w:rFonts w:hint="eastAsia"/>
        </w:rPr>
      </w:pPr>
      <w:r>
        <w:rPr>
          <w:rFonts w:hint="eastAsia"/>
        </w:rPr>
        <w:t>本理财产品如投资于结构性存款等结构性投资产品，可能面临的风险包括但不限于：</w:t>
      </w:r>
    </w:p>
    <w:p>
      <w:pPr>
        <w:spacing w:line="360" w:lineRule="auto"/>
        <w:ind w:firstLine="420" w:firstLineChars="200"/>
        <w:rPr>
          <w:rFonts w:hint="eastAsia"/>
        </w:rPr>
      </w:pPr>
      <w:r>
        <w:rPr>
          <w:rFonts w:hint="eastAsia"/>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rPr>
      </w:pPr>
      <w:r>
        <w:rPr>
          <w:rFonts w:hint="eastAsia"/>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rPr>
      </w:pPr>
      <w:r>
        <w:rPr>
          <w:rFonts w:hint="eastAsia"/>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rPr>
      </w:pPr>
      <w:r>
        <w:rPr>
          <w:rFonts w:hint="eastAsia"/>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rPr>
      </w:pPr>
      <w:r>
        <w:rPr>
          <w:rFonts w:hint="eastAsia"/>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pPr>
      <w:r>
        <w:rPr>
          <w:rFonts w:hint="eastAsia"/>
          <w:b/>
          <w:bCs/>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pPr>
      <w:r>
        <w:rPr>
          <w:rFonts w:hint="eastAsia"/>
        </w:rPr>
        <w:t>（十</w:t>
      </w:r>
      <w:r>
        <w:rPr>
          <w:rFonts w:hint="eastAsia"/>
          <w:lang w:val="en-US" w:eastAsia="zh-CN"/>
        </w:rPr>
        <w:t>九</w:t>
      </w:r>
      <w:r>
        <w:rPr>
          <w:rFonts w:hint="eastAsia"/>
        </w:rPr>
        <w:t>）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pPr>
      <w:r>
        <w:rPr>
          <w:rFonts w:hint="eastAsia"/>
        </w:rPr>
        <w:t>（</w:t>
      </w:r>
      <w:r>
        <w:rPr>
          <w:rFonts w:hint="eastAsia"/>
          <w:lang w:val="en-US" w:eastAsia="zh-CN"/>
        </w:rPr>
        <w:t>二十</w:t>
      </w:r>
      <w:r>
        <w:rPr>
          <w:rFonts w:hint="eastAsia"/>
        </w:rPr>
        <w:t>）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pPr>
      <w:bookmarkStart w:id="0" w:name="_Hlk181204924"/>
      <w:r>
        <w:rPr>
          <w:rFonts w:hint="eastAsia"/>
        </w:rPr>
        <w:t>（</w:t>
      </w:r>
      <w:r>
        <w:rPr>
          <w:rFonts w:hint="eastAsia"/>
          <w:lang w:val="en-US" w:eastAsia="zh-CN"/>
        </w:rPr>
        <w:t>二十一</w:t>
      </w:r>
      <w:r>
        <w:rPr>
          <w:rFonts w:hint="eastAsia"/>
        </w:rPr>
        <w:t>）投资者合规风险</w:t>
      </w:r>
    </w:p>
    <w:p>
      <w:pPr>
        <w:spacing w:line="360" w:lineRule="auto"/>
        <w:ind w:firstLine="420" w:firstLineChars="200"/>
        <w:rPr>
          <w:rFonts w:hint="eastAsia" w:ascii="宋体" w:hAnsi="宋体" w:cs="宋体"/>
          <w:szCs w:val="21"/>
        </w:rPr>
      </w:pPr>
      <w:r>
        <w:rPr>
          <w:rFonts w:hint="eastAsia"/>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rPr>
      </w:pPr>
      <w:r>
        <w:rPr>
          <w:rFonts w:hint="eastAsia"/>
          <w:b/>
          <w:bCs/>
        </w:rPr>
        <w:t>二、投资者提示</w:t>
      </w:r>
    </w:p>
    <w:p>
      <w:pPr>
        <w:spacing w:line="360" w:lineRule="auto"/>
        <w:ind w:firstLine="420" w:firstLineChars="200"/>
        <w:rPr>
          <w:rFonts w:hint="eastAsia"/>
          <w:b/>
          <w:bCs/>
        </w:rPr>
      </w:pPr>
      <w:r>
        <w:rPr>
          <w:rFonts w:hint="eastAsia"/>
        </w:rPr>
        <w:t>▲▲</w:t>
      </w:r>
      <w:r>
        <w:rPr>
          <w:rFonts w:hint="eastAsia"/>
          <w:b/>
          <w:bCs/>
        </w:rPr>
        <w:t>（一）理财非存款、产品有风险、投资须谨慎。</w:t>
      </w:r>
    </w:p>
    <w:p>
      <w:pPr>
        <w:spacing w:line="360" w:lineRule="auto"/>
        <w:ind w:firstLine="420" w:firstLineChars="200"/>
        <w:rPr>
          <w:rFonts w:hint="eastAsia"/>
          <w:b/>
          <w:bCs/>
        </w:rPr>
      </w:pPr>
      <w:r>
        <w:rPr>
          <w:rFonts w:hint="eastAsia"/>
        </w:rPr>
        <w:t>▲▲</w:t>
      </w:r>
      <w:r>
        <w:rPr>
          <w:rFonts w:hint="eastAsia"/>
          <w:b/>
          <w:bCs/>
        </w:rPr>
        <w:t>（二）理财产品过往业绩不代表其未来表现，不等于理财产品实际收益，投资须谨慎。</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（三）本理财产品类型为【固定收益类】，期限为【</w:t>
      </w:r>
      <w:r>
        <w:rPr>
          <w:rFonts w:hint="eastAsia" w:ascii="宋体" w:hAnsi="宋体" w:cs="宋体"/>
          <w:b/>
          <w:bCs/>
          <w:color w:val="auto"/>
          <w:szCs w:val="21"/>
          <w:lang w:val="en-US" w:eastAsia="zh-CN"/>
        </w:rPr>
        <w:t>1148</w:t>
      </w:r>
      <w:r>
        <w:rPr>
          <w:rFonts w:hint="eastAsia" w:ascii="宋体" w:hAnsi="宋体" w:cs="宋体"/>
          <w:b/>
          <w:bCs/>
          <w:szCs w:val="21"/>
        </w:rPr>
        <w:t>】</w:t>
      </w:r>
      <w:bookmarkStart w:id="1" w:name="_Hlk181216499"/>
      <w:r>
        <w:rPr>
          <w:rFonts w:hint="eastAsia" w:ascii="宋体" w:hAnsi="宋体" w:cs="宋体"/>
          <w:b/>
          <w:bCs/>
          <w:szCs w:val="21"/>
          <w:lang w:val="en-US" w:eastAsia="zh-CN"/>
        </w:rPr>
        <w:t>天</w:t>
      </w:r>
      <w:r>
        <w:rPr>
          <w:rFonts w:hint="eastAsia" w:ascii="宋体" w:hAnsi="宋体" w:cs="宋体"/>
          <w:b/>
          <w:bCs/>
          <w:szCs w:val="21"/>
        </w:rPr>
        <w:t>。本理财产品的实际到期日受制于本理财产品销售文件“提前终止”及“延期终止”情形</w:t>
      </w:r>
      <w:bookmarkEnd w:id="1"/>
      <w:r>
        <w:rPr>
          <w:rFonts w:hint="eastAsia" w:ascii="宋体" w:hAnsi="宋体" w:cs="宋体"/>
          <w:b/>
          <w:bCs/>
          <w:szCs w:val="21"/>
        </w:rPr>
        <w:t>。</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rPr>
        <w:t>】。</w:t>
      </w:r>
    </w:p>
    <w:p>
      <w:pPr>
        <w:spacing w:line="360" w:lineRule="auto"/>
        <w:ind w:firstLine="422" w:firstLineChars="200"/>
        <w:rPr>
          <w:rFonts w:hint="eastAsia" w:ascii="宋体" w:hAnsi="宋体" w:cs="宋体"/>
          <w:b/>
          <w:bCs/>
          <w:szCs w:val="21"/>
        </w:rPr>
      </w:pPr>
      <w:r>
        <w:rPr>
          <w:rFonts w:hint="eastAsia" w:ascii="宋体" w:hAnsi="宋体" w:cs="宋体"/>
          <w:b/>
          <w:bCs/>
          <w:szCs w:val="21"/>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（六）</w:t>
      </w:r>
      <w:r>
        <w:rPr>
          <w:rFonts w:hint="eastAsia"/>
          <w:b/>
          <w:bCs/>
        </w:rPr>
        <w:t>经产品管理人评估，适合购买本理财产品的投资者包括【</w:t>
      </w:r>
      <w:r>
        <w:rPr>
          <w:rFonts w:hint="eastAsia" w:ascii="Times New Roman" w:hAnsi="Times New Roman" w:eastAsia="宋体" w:cs="Times New Roman"/>
          <w:b/>
          <w:bCs/>
          <w:color w:val="auto"/>
          <w:szCs w:val="20"/>
        </w:rPr>
        <w:t>C2稳健型、C3平衡型、C4成长型、C5进取型投资者</w:t>
      </w:r>
      <w:r>
        <w:rPr>
          <w:rFonts w:hint="eastAsia"/>
          <w:b/>
          <w:bCs/>
        </w:rPr>
        <w:t>】</w:t>
      </w:r>
      <w:r>
        <w:rPr>
          <w:rFonts w:hint="eastAsia" w:ascii="宋体" w:hAnsi="宋体" w:cs="宋体"/>
          <w:b/>
          <w:bCs/>
          <w:szCs w:val="21"/>
        </w:rPr>
        <w:t>（机构投资者是否适用以销售服务机构的设置为准）</w:t>
      </w:r>
      <w:r>
        <w:rPr>
          <w:rFonts w:hint="eastAsia"/>
          <w:b/>
          <w:bCs/>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rPr>
      </w:pPr>
      <w:r>
        <w:rPr>
          <w:rFonts w:hint="eastAsia" w:ascii="宋体" w:hAnsi="宋体" w:cs="宋体"/>
          <w:b/>
          <w:bCs/>
          <w:szCs w:val="21"/>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rPr>
      </w:pPr>
      <w:r>
        <w:rPr>
          <w:rFonts w:hint="eastAsia" w:ascii="宋体" w:hAnsi="宋体" w:cs="宋体"/>
          <w:b/>
          <w:bCs/>
          <w:szCs w:val="21"/>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rPr>
      </w:pPr>
    </w:p>
    <w:p>
      <w:pPr>
        <w:ind w:firstLine="420" w:firstLineChars="200"/>
        <w:rPr>
          <w:rFonts w:hint="eastAsia"/>
        </w:rPr>
      </w:pPr>
    </w:p>
    <w:p>
      <w:pPr>
        <w:ind w:firstLine="420" w:firstLineChars="200"/>
        <w:rPr>
          <w:rFonts w:hint="eastAsia" w:ascii="宋体" w:hAnsi="宋体" w:cs="宋体"/>
          <w:szCs w:val="21"/>
        </w:rPr>
      </w:pPr>
    </w:p>
    <w:p>
      <w:pPr>
        <w:spacing w:line="360" w:lineRule="auto"/>
        <w:ind w:firstLine="420" w:firstLineChars="200"/>
        <w:jc w:val="left"/>
        <w:rPr>
          <w:rFonts w:hint="eastAsia" w:ascii="宋体" w:hAnsi="宋体" w:cs="宋体"/>
          <w:szCs w:val="21"/>
        </w:rPr>
      </w:pPr>
      <w:r>
        <w:rPr>
          <w:rFonts w:hint="eastAsia" w:ascii="宋体" w:hAnsi="宋体" w:cs="宋体"/>
          <w:szCs w:val="21"/>
        </w:rPr>
        <w:t>本《风险揭示书》所揭示事项仅为列举性质，未能详尽列明投资者参与本理财产品所面临的全部风险和可能导致投资者资产损失的所有因素。</w:t>
      </w:r>
      <w:r>
        <w:rPr>
          <w:rFonts w:hint="eastAsia" w:ascii="宋体" w:hAnsi="宋体" w:cs="宋体"/>
          <w:b/>
          <w:bCs/>
          <w:szCs w:val="21"/>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确认函</w:t>
      </w:r>
    </w:p>
    <w:p>
      <w:pPr>
        <w:spacing w:line="360" w:lineRule="auto"/>
        <w:ind w:firstLine="422" w:firstLineChars="200"/>
        <w:jc w:val="center"/>
        <w:rPr>
          <w:rFonts w:hint="eastAsia" w:ascii="宋体" w:hAnsi="宋体" w:cs="宋体"/>
          <w:b/>
          <w:bCs/>
          <w:szCs w:val="21"/>
        </w:rPr>
      </w:pPr>
    </w:p>
    <w:p>
      <w:pPr>
        <w:spacing w:line="360" w:lineRule="auto"/>
        <w:ind w:firstLine="422" w:firstLineChars="200"/>
        <w:rPr>
          <w:rFonts w:hint="eastAsia" w:ascii="宋体" w:hAnsi="宋体" w:cs="宋体"/>
          <w:szCs w:val="21"/>
        </w:rPr>
      </w:pPr>
      <w:r>
        <w:rPr>
          <w:rFonts w:hint="eastAsia" w:ascii="宋体" w:hAnsi="宋体" w:cs="宋体"/>
          <w:b/>
          <w:bCs/>
          <w:szCs w:val="21"/>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rPr>
        <w:t>、反电信网络诈骗等合规</w:t>
      </w:r>
      <w:r>
        <w:rPr>
          <w:rFonts w:hint="eastAsia" w:ascii="宋体" w:hAnsi="宋体" w:cs="宋体"/>
          <w:szCs w:val="21"/>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本人/本公司（单位）知晓并确认，管理人或销售服务机构有权根据法律、法规和监管政策的变化而不时更新反洗钱、反恐怖融资、制裁合规</w:t>
      </w:r>
      <w:r>
        <w:rPr>
          <w:rFonts w:hint="eastAsia"/>
        </w:rPr>
        <w:t>、反电信网络诈骗等合规</w:t>
      </w:r>
      <w:r>
        <w:rPr>
          <w:rFonts w:hint="eastAsia" w:ascii="宋体" w:hAnsi="宋体" w:cs="宋体"/>
          <w:szCs w:val="21"/>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rPr>
      </w:pPr>
      <w:r>
        <w:rPr>
          <w:rFonts w:hint="eastAsia" w:ascii="宋体" w:hAnsi="宋体" w:cs="宋体"/>
          <w:b/>
          <w:bCs/>
          <w:szCs w:val="21"/>
        </w:rPr>
        <w:t>▲▲须投资者亲笔抄录以下内容：“本人/本公司（单位）已经阅读风险揭示，愿意承担投资风险。”</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个人投资者（签字）：</w:t>
      </w:r>
      <w:r>
        <w:rPr>
          <w:rFonts w:hint="eastAsia" w:ascii="宋体" w:hAnsi="宋体" w:cs="宋体"/>
          <w:szCs w:val="21"/>
        </w:rPr>
        <w:tab/>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机构投资者（盖章）：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投资者法定代表人或授权代理人（签字或盖章）：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r>
        <w:rPr>
          <w:rFonts w:hint="eastAsia" w:ascii="宋体" w:hAnsi="宋体" w:cs="宋体"/>
          <w:szCs w:val="21"/>
        </w:rPr>
        <w:t>（本风险揭示书共有两份签名文本，第一联销售服务机构留存，第二联投资者留存）</w:t>
      </w:r>
    </w:p>
    <w:p>
      <w:pPr>
        <w:spacing w:line="360" w:lineRule="auto"/>
        <w:ind w:firstLine="420" w:firstLineChars="200"/>
        <w:rPr>
          <w:rFonts w:hint="eastAsia" w:ascii="宋体" w:hAnsi="宋体" w:cs="宋体"/>
          <w:szCs w:val="21"/>
        </w:rPr>
      </w:pPr>
    </w:p>
    <w:p>
      <w:pPr>
        <w:spacing w:line="360" w:lineRule="auto"/>
        <w:jc w:val="left"/>
        <w:rPr>
          <w:rFonts w:hint="eastAsia" w:ascii="宋体" w:hAnsi="宋体"/>
          <w:b/>
          <w:sz w:val="18"/>
          <w:szCs w:val="18"/>
        </w:rPr>
      </w:pPr>
    </w:p>
    <w:p>
      <w:pPr>
        <w:spacing w:line="360" w:lineRule="auto"/>
        <w:jc w:val="left"/>
        <w:rPr>
          <w:bCs/>
        </w:rPr>
      </w:pPr>
    </w:p>
    <w:p>
      <w:pPr>
        <w:spacing w:line="300" w:lineRule="auto"/>
        <w:ind w:firstLine="480" w:firstLineChars="200"/>
        <w:rPr>
          <w:rFonts w:hint="eastAsia" w:ascii="宋体" w:hAnsi="宋体" w:eastAsia="宋体"/>
          <w:sz w:val="24"/>
          <w:szCs w:val="24"/>
          <w:highlight w:val="none"/>
        </w:rPr>
      </w:pPr>
    </w:p>
    <w:p/>
    <w:p/>
    <w:sectPr>
      <w:headerReference r:id="rId3" w:type="default"/>
      <w:footerReference r:id="rId4" w:type="default"/>
      <w:pgSz w:w="11906" w:h="16838"/>
      <w:pgMar w:top="1440" w:right="1800" w:bottom="1440" w:left="1800" w:header="567"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tabs>
        <w:tab w:val="right" w:pos="8426"/>
      </w:tabs>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rPr>
      <w:t>理财非存款，产品有风险，投资须谨慎！</w:t>
    </w:r>
  </w:p>
  <w:p>
    <w:pPr>
      <w:pStyle w:val="3"/>
      <w:pBdr>
        <w:bottom w:val="none" w:color="auto" w:sz="0" w:space="10"/>
      </w:pBdr>
      <w:tabs>
        <w:tab w:val="right" w:pos="8280"/>
      </w:tabs>
      <w:wordWrap w:val="0"/>
      <w:adjustRightInd w:val="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66A35"/>
    <w:rsid w:val="0CB13361"/>
    <w:rsid w:val="0F5A0C3B"/>
    <w:rsid w:val="2A7C6C85"/>
    <w:rsid w:val="469A218F"/>
    <w:rsid w:val="4EB66A35"/>
    <w:rsid w:val="6C74258A"/>
    <w:rsid w:val="6C877222"/>
    <w:rsid w:val="730B2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annotation reference"/>
    <w:basedOn w:val="5"/>
    <w:qFormat/>
    <w:uiPriority w:val="0"/>
    <w:rPr>
      <w:sz w:val="21"/>
      <w:szCs w:val="21"/>
    </w:rPr>
  </w:style>
  <w:style w:type="paragraph" w:customStyle="1" w:styleId="7">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2026-02-25T06:42:00Z</dcterms:created>
  <dc:creator>默认用户名</dc:creator>
  <cp:lastModifiedBy>qianyi.jia</cp:lastModifiedBy>
  <dcterms:modified xsi:type="dcterms:W3CDTF">2026-03-27T02:24:37Z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