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360" w:lineRule="auto"/>
        <w:jc w:val="center"/>
        <w:outlineLvl w:val="0"/>
        <w:rPr>
          <w:rStyle w:val="8"/>
          <w:rFonts w:ascii="宋体" w:hAnsi="宋体"/>
          <w:sz w:val="30"/>
          <w:szCs w:val="30"/>
          <w:highlight w:val="none"/>
        </w:rPr>
      </w:pPr>
      <w:bookmarkStart w:id="81" w:name="_GoBack"/>
      <w:bookmarkEnd w:id="81"/>
      <w:r>
        <w:rPr>
          <w:rFonts w:hint="eastAsia" w:ascii="宋体" w:hAnsi="宋体"/>
          <w:b/>
          <w:sz w:val="30"/>
          <w:szCs w:val="30"/>
          <w:highlight w:val="none"/>
        </w:rPr>
        <w:t>理财非存款、产品有风险、投资须谨慎！</w:t>
      </w:r>
    </w:p>
    <w:p>
      <w:pPr>
        <w:tabs>
          <w:tab w:val="left" w:pos="6660"/>
        </w:tabs>
        <w:spacing w:line="360" w:lineRule="auto"/>
        <w:jc w:val="center"/>
        <w:rPr>
          <w:bCs/>
          <w:sz w:val="44"/>
          <w:highlight w:val="none"/>
        </w:rPr>
      </w:pPr>
    </w:p>
    <w:p>
      <w:pPr>
        <w:spacing w:line="360" w:lineRule="auto"/>
        <w:jc w:val="center"/>
        <w:rPr>
          <w:b/>
          <w:sz w:val="52"/>
          <w:highlight w:val="none"/>
        </w:rPr>
      </w:pPr>
    </w:p>
    <w:p>
      <w:pPr>
        <w:spacing w:line="360" w:lineRule="auto"/>
        <w:jc w:val="center"/>
        <w:rPr>
          <w:b/>
          <w:highlight w:val="none"/>
        </w:rPr>
      </w:pPr>
    </w:p>
    <w:p>
      <w:pPr>
        <w:spacing w:line="360" w:lineRule="auto"/>
        <w:jc w:val="center"/>
        <w:rPr>
          <w:b/>
          <w:sz w:val="52"/>
          <w:highlight w:val="none"/>
        </w:rPr>
      </w:pPr>
    </w:p>
    <w:p>
      <w:pPr>
        <w:adjustRightInd w:val="0"/>
        <w:spacing w:line="360" w:lineRule="auto"/>
        <w:jc w:val="center"/>
        <w:outlineLvl w:val="0"/>
        <w:rPr>
          <w:rStyle w:val="8"/>
          <w:rFonts w:ascii="黑体" w:hAnsi="黑体" w:eastAsia="黑体" w:cs="宋体"/>
          <w:sz w:val="44"/>
          <w:szCs w:val="44"/>
          <w:highlight w:val="none"/>
        </w:rPr>
      </w:pPr>
      <w:r>
        <w:rPr>
          <w:rStyle w:val="8"/>
          <w:rFonts w:hint="eastAsia" w:ascii="黑体" w:hAnsi="黑体" w:eastAsia="黑体" w:cs="宋体"/>
          <w:sz w:val="44"/>
          <w:szCs w:val="44"/>
          <w:highlight w:val="none"/>
        </w:rPr>
        <w:t>渤银理财【财收有略】理财产品投资协议书</w:t>
      </w:r>
    </w:p>
    <w:p>
      <w:pPr>
        <w:spacing w:line="360" w:lineRule="auto"/>
        <w:jc w:val="center"/>
        <w:rPr>
          <w:b/>
          <w:sz w:val="28"/>
          <w:szCs w:val="28"/>
          <w:highlight w:val="none"/>
        </w:rPr>
      </w:pPr>
    </w:p>
    <w:p>
      <w:pPr>
        <w:tabs>
          <w:tab w:val="left" w:pos="8070"/>
          <w:tab w:val="right" w:pos="8306"/>
        </w:tabs>
        <w:autoSpaceDE w:val="0"/>
        <w:autoSpaceDN w:val="0"/>
        <w:adjustRightInd w:val="0"/>
        <w:snapToGrid w:val="0"/>
        <w:spacing w:before="156" w:beforeLines="50" w:line="360" w:lineRule="auto"/>
        <w:jc w:val="center"/>
        <w:outlineLvl w:val="0"/>
        <w:rPr>
          <w:rFonts w:ascii="黑体" w:hAnsi="黑体" w:eastAsia="黑体"/>
          <w:b/>
          <w:sz w:val="28"/>
          <w:szCs w:val="28"/>
          <w:highlight w:val="none"/>
          <w:u w:val="single"/>
        </w:rPr>
      </w:pPr>
      <w:r>
        <w:rPr>
          <w:rFonts w:hint="eastAsia" w:ascii="黑体" w:hAnsi="黑体" w:eastAsia="黑体"/>
          <w:b/>
          <w:sz w:val="28"/>
          <w:szCs w:val="28"/>
          <w:highlight w:val="none"/>
        </w:rPr>
        <w:t>协议编号：【</w:t>
      </w:r>
      <w:r>
        <w:rPr>
          <w:rFonts w:ascii="黑体" w:hAnsi="黑体" w:eastAsia="黑体"/>
          <w:b/>
          <w:sz w:val="28"/>
          <w:szCs w:val="28"/>
          <w:highlight w:val="none"/>
        </w:rPr>
        <w:t xml:space="preserve">                 </w:t>
      </w:r>
      <w:r>
        <w:rPr>
          <w:rFonts w:hint="eastAsia" w:ascii="黑体" w:hAnsi="黑体" w:eastAsia="黑体"/>
          <w:b/>
          <w:sz w:val="28"/>
          <w:szCs w:val="28"/>
          <w:highlight w:val="none"/>
        </w:rPr>
        <w:t>】</w:t>
      </w:r>
    </w:p>
    <w:p>
      <w:pPr>
        <w:spacing w:line="360" w:lineRule="auto"/>
        <w:jc w:val="center"/>
        <w:rPr>
          <w:b/>
          <w:sz w:val="28"/>
          <w:szCs w:val="28"/>
          <w:highlight w:val="none"/>
        </w:rPr>
      </w:pPr>
    </w:p>
    <w:p>
      <w:pPr>
        <w:spacing w:line="360" w:lineRule="auto"/>
        <w:jc w:val="center"/>
        <w:rPr>
          <w:b/>
          <w:sz w:val="28"/>
          <w:szCs w:val="28"/>
          <w:highlight w:val="none"/>
        </w:rPr>
      </w:pPr>
    </w:p>
    <w:p>
      <w:pPr>
        <w:spacing w:line="360" w:lineRule="auto"/>
        <w:jc w:val="center"/>
        <w:rPr>
          <w:b/>
          <w:sz w:val="28"/>
          <w:szCs w:val="28"/>
          <w:highlight w:val="none"/>
        </w:rPr>
      </w:pPr>
    </w:p>
    <w:p>
      <w:pPr>
        <w:spacing w:line="360" w:lineRule="auto"/>
        <w:jc w:val="center"/>
        <w:rPr>
          <w:b/>
          <w:sz w:val="28"/>
          <w:szCs w:val="28"/>
          <w:highlight w:val="none"/>
        </w:rPr>
      </w:pPr>
    </w:p>
    <w:p>
      <w:pPr>
        <w:adjustRightInd w:val="0"/>
        <w:spacing w:line="360" w:lineRule="auto"/>
        <w:jc w:val="center"/>
        <w:outlineLvl w:val="0"/>
        <w:rPr>
          <w:rStyle w:val="8"/>
          <w:rFonts w:ascii="宋体" w:hAnsi="宋体"/>
          <w:sz w:val="28"/>
          <w:szCs w:val="28"/>
          <w:highlight w:val="none"/>
        </w:rPr>
      </w:pPr>
      <w:bookmarkStart w:id="0" w:name="_Toc139992301"/>
      <w:bookmarkStart w:id="1" w:name="_Toc123112263"/>
      <w:bookmarkStart w:id="2" w:name="_Toc123701383"/>
      <w:bookmarkStart w:id="3" w:name="_Toc139991726"/>
      <w:bookmarkStart w:id="4" w:name="_Toc123112224"/>
      <w:r>
        <w:rPr>
          <w:rStyle w:val="8"/>
          <w:rFonts w:hint="eastAsia" w:ascii="宋体" w:hAnsi="宋体"/>
          <w:sz w:val="28"/>
          <w:szCs w:val="28"/>
          <w:highlight w:val="none"/>
        </w:rPr>
        <w:t>理财产品管理人：</w:t>
      </w:r>
      <w:bookmarkEnd w:id="0"/>
      <w:bookmarkEnd w:id="1"/>
      <w:bookmarkEnd w:id="2"/>
      <w:bookmarkEnd w:id="3"/>
      <w:bookmarkEnd w:id="4"/>
      <w:r>
        <w:rPr>
          <w:rStyle w:val="8"/>
          <w:rFonts w:hint="eastAsia" w:ascii="宋体" w:hAnsi="宋体"/>
          <w:sz w:val="28"/>
          <w:szCs w:val="28"/>
          <w:highlight w:val="none"/>
        </w:rPr>
        <w:t>渤银理财有限责任公司</w:t>
      </w:r>
    </w:p>
    <w:p>
      <w:pPr>
        <w:adjustRightInd w:val="0"/>
        <w:spacing w:line="360" w:lineRule="auto"/>
        <w:jc w:val="center"/>
        <w:rPr>
          <w:rStyle w:val="8"/>
          <w:rFonts w:ascii="黑体" w:hAnsi="黑体" w:eastAsia="黑体" w:cs="宋体"/>
          <w:sz w:val="28"/>
          <w:szCs w:val="28"/>
          <w:highlight w:val="none"/>
        </w:rPr>
      </w:pPr>
      <w:bookmarkStart w:id="5" w:name="_Toc123701384"/>
      <w:bookmarkStart w:id="6" w:name="_Toc139992302"/>
      <w:bookmarkStart w:id="7" w:name="_Toc123112264"/>
      <w:bookmarkStart w:id="8" w:name="_Toc139991727"/>
      <w:bookmarkStart w:id="9" w:name="_Toc123112225"/>
    </w:p>
    <w:bookmarkEnd w:id="5"/>
    <w:bookmarkEnd w:id="6"/>
    <w:bookmarkEnd w:id="7"/>
    <w:bookmarkEnd w:id="8"/>
    <w:bookmarkEnd w:id="9"/>
    <w:p>
      <w:pPr>
        <w:adjustRightInd w:val="0"/>
        <w:spacing w:line="360" w:lineRule="auto"/>
        <w:jc w:val="center"/>
        <w:rPr>
          <w:rStyle w:val="8"/>
          <w:rFonts w:ascii="黑体" w:hAnsi="黑体" w:eastAsia="黑体" w:cs="宋体"/>
          <w:sz w:val="28"/>
          <w:szCs w:val="28"/>
          <w:highlight w:val="none"/>
        </w:rPr>
      </w:pPr>
    </w:p>
    <w:p>
      <w:pPr>
        <w:adjustRightInd w:val="0"/>
        <w:spacing w:line="360" w:lineRule="auto"/>
        <w:jc w:val="center"/>
        <w:outlineLvl w:val="0"/>
        <w:rPr>
          <w:rStyle w:val="8"/>
          <w:rFonts w:ascii="宋体" w:hAnsi="宋体"/>
          <w:sz w:val="28"/>
          <w:szCs w:val="28"/>
          <w:highlight w:val="none"/>
        </w:rPr>
      </w:pPr>
      <w:r>
        <w:rPr>
          <w:rStyle w:val="8"/>
          <w:rFonts w:hint="eastAsia" w:ascii="宋体" w:hAnsi="宋体"/>
          <w:sz w:val="28"/>
          <w:szCs w:val="28"/>
          <w:highlight w:val="none"/>
        </w:rPr>
        <w:t>日期</w:t>
      </w:r>
      <w:r>
        <w:rPr>
          <w:rStyle w:val="8"/>
          <w:rFonts w:ascii="宋体" w:hAnsi="宋体"/>
          <w:sz w:val="28"/>
          <w:szCs w:val="28"/>
          <w:highlight w:val="none"/>
        </w:rPr>
        <w:t>：</w:t>
      </w:r>
      <w:r>
        <w:rPr>
          <w:rStyle w:val="8"/>
          <w:rFonts w:hint="eastAsia" w:ascii="宋体" w:hAnsi="宋体"/>
          <w:sz w:val="28"/>
          <w:szCs w:val="28"/>
          <w:highlight w:val="none"/>
        </w:rPr>
        <w:t>【20  】年【 】月</w:t>
      </w:r>
    </w:p>
    <w:p>
      <w:pPr>
        <w:tabs>
          <w:tab w:val="left" w:pos="8070"/>
          <w:tab w:val="right" w:pos="8306"/>
        </w:tabs>
        <w:autoSpaceDE w:val="0"/>
        <w:autoSpaceDN w:val="0"/>
        <w:adjustRightInd w:val="0"/>
        <w:snapToGrid w:val="0"/>
        <w:spacing w:before="156" w:beforeLines="50" w:line="360" w:lineRule="auto"/>
        <w:jc w:val="center"/>
        <w:rPr>
          <w:bCs/>
          <w:sz w:val="32"/>
          <w:highlight w:val="none"/>
        </w:rPr>
      </w:pPr>
      <w:r>
        <w:rPr>
          <w:bCs/>
          <w:sz w:val="32"/>
          <w:highlight w:val="none"/>
        </w:rPr>
        <w:br w:type="page"/>
      </w:r>
    </w:p>
    <w:tbl>
      <w:tblPr>
        <w:tblStyle w:val="6"/>
        <w:tblpPr w:leftFromText="180" w:rightFromText="180" w:vertAnchor="text" w:horzAnchor="page" w:tblpX="1795" w:tblpY="512"/>
        <w:tblOverlap w:val="never"/>
        <w:tblW w:w="8522" w:type="dxa"/>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8522"/>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522" w:type="dxa"/>
          </w:tcPr>
          <w:p>
            <w:pPr>
              <w:tabs>
                <w:tab w:val="left" w:pos="8070"/>
                <w:tab w:val="right" w:pos="8306"/>
              </w:tabs>
              <w:autoSpaceDE w:val="0"/>
              <w:autoSpaceDN w:val="0"/>
              <w:adjustRightInd w:val="0"/>
              <w:snapToGrid w:val="0"/>
              <w:spacing w:before="156" w:beforeLines="50" w:line="360" w:lineRule="auto"/>
              <w:jc w:val="center"/>
              <w:rPr>
                <w:rFonts w:ascii="黑体" w:hAnsi="黑体" w:eastAsia="黑体"/>
                <w:bCs/>
                <w:sz w:val="32"/>
                <w:szCs w:val="32"/>
                <w:highlight w:val="none"/>
              </w:rPr>
            </w:pPr>
            <w:r>
              <w:rPr>
                <w:rFonts w:hint="eastAsia" w:ascii="黑体" w:hAnsi="黑体" w:eastAsia="黑体"/>
                <w:b/>
                <w:kern w:val="0"/>
                <w:sz w:val="32"/>
                <w:szCs w:val="32"/>
                <w:highlight w:val="none"/>
              </w:rPr>
              <w:t>特别提示页</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522" w:type="dxa"/>
          </w:tcPr>
          <w:p>
            <w:pPr>
              <w:pStyle w:val="5"/>
              <w:snapToGrid w:val="0"/>
              <w:spacing w:before="0" w:beforeAutospacing="0" w:after="0" w:afterAutospacing="0" w:line="360" w:lineRule="auto"/>
              <w:jc w:val="both"/>
              <w:rPr>
                <w:rFonts w:ascii="黑体" w:hAnsi="黑体" w:eastAsia="黑体"/>
                <w:bCs/>
                <w:sz w:val="18"/>
                <w:szCs w:val="18"/>
                <w:highlight w:val="none"/>
              </w:rPr>
            </w:pPr>
            <w:r>
              <w:rPr>
                <w:rFonts w:hint="eastAsia" w:ascii="黑体" w:hAnsi="黑体" w:eastAsia="黑体"/>
                <w:bCs/>
                <w:sz w:val="18"/>
                <w:szCs w:val="18"/>
                <w:highlight w:val="none"/>
              </w:rPr>
              <w:t xml:space="preserve"> </w:t>
            </w:r>
          </w:p>
          <w:p>
            <w:pPr>
              <w:pStyle w:val="5"/>
              <w:snapToGrid w:val="0"/>
              <w:spacing w:before="0" w:beforeAutospacing="0" w:after="0" w:afterAutospacing="0" w:line="360" w:lineRule="auto"/>
              <w:jc w:val="both"/>
              <w:rPr>
                <w:rFonts w:ascii="黑体" w:hAnsi="黑体" w:eastAsia="黑体"/>
                <w:bCs/>
                <w:sz w:val="18"/>
                <w:szCs w:val="18"/>
                <w:highlight w:val="none"/>
              </w:rPr>
            </w:pPr>
            <w:r>
              <w:rPr>
                <w:rFonts w:hint="eastAsia" w:ascii="黑体" w:hAnsi="黑体" w:eastAsia="黑体"/>
                <w:bCs/>
                <w:sz w:val="18"/>
                <w:szCs w:val="18"/>
                <w:highlight w:val="none"/>
              </w:rPr>
              <w:t>★ 关于理财产品与存款产品的提示</w:t>
            </w:r>
          </w:p>
          <w:p>
            <w:pPr>
              <w:pStyle w:val="5"/>
              <w:snapToGrid w:val="0"/>
              <w:spacing w:before="0" w:beforeAutospacing="0" w:after="0" w:afterAutospacing="0" w:line="360" w:lineRule="auto"/>
              <w:jc w:val="both"/>
              <w:rPr>
                <w:rFonts w:ascii="黑体" w:hAnsi="黑体" w:eastAsia="黑体"/>
                <w:bCs/>
                <w:sz w:val="18"/>
                <w:szCs w:val="18"/>
                <w:highlight w:val="none"/>
              </w:rPr>
            </w:pPr>
            <w:r>
              <w:rPr>
                <w:rFonts w:hint="eastAsia" w:ascii="黑体" w:hAnsi="黑体" w:eastAsia="黑体"/>
                <w:bCs/>
                <w:sz w:val="18"/>
                <w:szCs w:val="18"/>
                <w:highlight w:val="none"/>
              </w:rPr>
              <w:t>理财产品与存款存在明显区别，理财非存款、产品有风险、投资须谨慎。</w:t>
            </w:r>
          </w:p>
          <w:p>
            <w:pPr>
              <w:pStyle w:val="5"/>
              <w:snapToGrid w:val="0"/>
              <w:spacing w:before="0" w:beforeAutospacing="0" w:after="0" w:afterAutospacing="0" w:line="360" w:lineRule="auto"/>
              <w:jc w:val="both"/>
              <w:rPr>
                <w:rFonts w:ascii="黑体" w:hAnsi="黑体" w:eastAsia="黑体"/>
                <w:bCs/>
                <w:sz w:val="18"/>
                <w:szCs w:val="18"/>
                <w:highlight w:val="none"/>
              </w:rPr>
            </w:pPr>
          </w:p>
          <w:p>
            <w:pPr>
              <w:pStyle w:val="5"/>
              <w:snapToGrid w:val="0"/>
              <w:spacing w:before="0" w:beforeAutospacing="0" w:after="0" w:afterAutospacing="0" w:line="360" w:lineRule="auto"/>
              <w:jc w:val="both"/>
              <w:rPr>
                <w:rFonts w:ascii="黑体" w:hAnsi="黑体" w:eastAsia="黑体"/>
                <w:bCs/>
                <w:sz w:val="18"/>
                <w:szCs w:val="18"/>
                <w:highlight w:val="none"/>
              </w:rPr>
            </w:pPr>
            <w:r>
              <w:rPr>
                <w:rFonts w:hint="eastAsia" w:ascii="黑体" w:hAnsi="黑体" w:eastAsia="黑体"/>
                <w:bCs/>
                <w:sz w:val="18"/>
                <w:szCs w:val="18"/>
                <w:highlight w:val="none"/>
              </w:rPr>
              <w:t>★</w:t>
            </w:r>
            <w:r>
              <w:rPr>
                <w:rFonts w:ascii="黑体" w:hAnsi="黑体" w:eastAsia="黑体"/>
                <w:bCs/>
                <w:sz w:val="18"/>
                <w:szCs w:val="18"/>
                <w:highlight w:val="none"/>
              </w:rPr>
              <w:t xml:space="preserve"> </w:t>
            </w:r>
            <w:r>
              <w:rPr>
                <w:rFonts w:hint="eastAsia" w:ascii="黑体" w:hAnsi="黑体" w:eastAsia="黑体"/>
                <w:bCs/>
                <w:sz w:val="18"/>
                <w:szCs w:val="18"/>
                <w:highlight w:val="none"/>
              </w:rPr>
              <w:t>关于理财产品的过往业绩的提示</w:t>
            </w:r>
          </w:p>
          <w:p>
            <w:pPr>
              <w:pStyle w:val="5"/>
              <w:snapToGrid w:val="0"/>
              <w:spacing w:before="0" w:beforeAutospacing="0" w:after="0" w:afterAutospacing="0" w:line="360" w:lineRule="auto"/>
              <w:jc w:val="both"/>
              <w:rPr>
                <w:rFonts w:ascii="黑体" w:hAnsi="黑体" w:eastAsia="黑体"/>
                <w:bCs/>
                <w:sz w:val="18"/>
                <w:szCs w:val="18"/>
                <w:highlight w:val="none"/>
              </w:rPr>
            </w:pPr>
            <w:r>
              <w:rPr>
                <w:rFonts w:hint="eastAsia" w:ascii="黑体" w:hAnsi="黑体" w:eastAsia="黑体"/>
                <w:bCs/>
                <w:sz w:val="18"/>
                <w:szCs w:val="18"/>
                <w:highlight w:val="none"/>
              </w:rPr>
              <w:t>理财产品过往业绩不代表其未来表现，不等于理财产品实际收益，投资</w:t>
            </w:r>
            <w:r>
              <w:rPr>
                <w:rFonts w:ascii="黑体" w:hAnsi="黑体" w:eastAsia="黑体"/>
                <w:bCs/>
                <w:sz w:val="18"/>
                <w:szCs w:val="18"/>
                <w:highlight w:val="none"/>
              </w:rPr>
              <w:t>须</w:t>
            </w:r>
            <w:r>
              <w:rPr>
                <w:rFonts w:hint="eastAsia" w:ascii="黑体" w:hAnsi="黑体" w:eastAsia="黑体"/>
                <w:bCs/>
                <w:sz w:val="18"/>
                <w:szCs w:val="18"/>
                <w:highlight w:val="none"/>
              </w:rPr>
              <w:t>谨慎。</w:t>
            </w:r>
          </w:p>
          <w:p>
            <w:pPr>
              <w:pStyle w:val="5"/>
              <w:snapToGrid w:val="0"/>
              <w:spacing w:before="0" w:beforeAutospacing="0" w:after="0" w:afterAutospacing="0" w:line="360" w:lineRule="auto"/>
              <w:jc w:val="both"/>
              <w:rPr>
                <w:rFonts w:ascii="黑体" w:hAnsi="黑体" w:eastAsia="黑体"/>
                <w:bCs/>
                <w:sz w:val="18"/>
                <w:szCs w:val="18"/>
                <w:highlight w:val="none"/>
              </w:rPr>
            </w:pPr>
          </w:p>
          <w:p>
            <w:pPr>
              <w:pStyle w:val="5"/>
              <w:snapToGrid w:val="0"/>
              <w:spacing w:before="0" w:beforeAutospacing="0" w:after="0" w:afterAutospacing="0" w:line="360" w:lineRule="auto"/>
              <w:ind w:left="271" w:hanging="271"/>
              <w:jc w:val="both"/>
              <w:rPr>
                <w:rFonts w:ascii="黑体" w:hAnsi="黑体" w:eastAsia="黑体"/>
                <w:bCs/>
                <w:sz w:val="18"/>
                <w:szCs w:val="18"/>
                <w:highlight w:val="none"/>
              </w:rPr>
            </w:pPr>
            <w:r>
              <w:rPr>
                <w:rFonts w:hint="eastAsia" w:ascii="黑体" w:hAnsi="黑体" w:eastAsia="黑体"/>
                <w:bCs/>
                <w:sz w:val="18"/>
                <w:szCs w:val="18"/>
                <w:highlight w:val="none"/>
              </w:rPr>
              <w:t>★</w:t>
            </w:r>
            <w:r>
              <w:rPr>
                <w:rFonts w:ascii="黑体" w:hAnsi="黑体" w:eastAsia="黑体"/>
                <w:bCs/>
                <w:sz w:val="18"/>
                <w:szCs w:val="18"/>
                <w:highlight w:val="none"/>
              </w:rPr>
              <w:t xml:space="preserve"> </w:t>
            </w:r>
            <w:r>
              <w:rPr>
                <w:rFonts w:hint="eastAsia" w:ascii="黑体" w:hAnsi="黑体" w:eastAsia="黑体"/>
                <w:bCs/>
                <w:sz w:val="18"/>
                <w:szCs w:val="18"/>
                <w:highlight w:val="none"/>
              </w:rPr>
              <w:t>关于理财产品的业绩比较基准和超额业绩报酬计提基准的提示</w:t>
            </w:r>
          </w:p>
          <w:p>
            <w:pPr>
              <w:pStyle w:val="5"/>
              <w:snapToGrid w:val="0"/>
              <w:spacing w:before="0" w:beforeAutospacing="0" w:after="0" w:afterAutospacing="0" w:line="360" w:lineRule="auto"/>
              <w:jc w:val="both"/>
              <w:rPr>
                <w:rFonts w:ascii="黑体" w:hAnsi="黑体" w:eastAsia="黑体"/>
                <w:bCs/>
                <w:sz w:val="18"/>
                <w:szCs w:val="18"/>
                <w:highlight w:val="none"/>
              </w:rPr>
            </w:pPr>
            <w:r>
              <w:rPr>
                <w:rFonts w:hint="eastAsia" w:ascii="黑体" w:hAnsi="黑体" w:eastAsia="黑体"/>
                <w:bCs/>
                <w:sz w:val="18"/>
                <w:szCs w:val="18"/>
                <w:highlight w:val="none"/>
              </w:rPr>
              <w:t>本产品的业绩比较基准或超额业绩</w:t>
            </w:r>
            <w:r>
              <w:rPr>
                <w:rFonts w:ascii="黑体" w:hAnsi="黑体" w:eastAsia="黑体"/>
                <w:bCs/>
                <w:sz w:val="18"/>
                <w:szCs w:val="18"/>
                <w:highlight w:val="none"/>
              </w:rPr>
              <w:t>报酬计提基准</w:t>
            </w:r>
            <w:r>
              <w:rPr>
                <w:rFonts w:hint="eastAsia" w:ascii="黑体" w:hAnsi="黑体" w:eastAsia="黑体"/>
                <w:bCs/>
                <w:sz w:val="18"/>
                <w:szCs w:val="18"/>
                <w:highlight w:val="none"/>
              </w:rPr>
              <w:t>等类似表述不代表投资者可能获得的实际收益，亦不构成产品管理人对本产品的任何收益承诺，仅供投资者进行投资决定时参考。</w:t>
            </w:r>
          </w:p>
          <w:p>
            <w:pPr>
              <w:pStyle w:val="5"/>
              <w:snapToGrid w:val="0"/>
              <w:spacing w:before="0" w:beforeAutospacing="0" w:after="0" w:afterAutospacing="0" w:line="360" w:lineRule="auto"/>
              <w:jc w:val="both"/>
              <w:rPr>
                <w:rFonts w:ascii="黑体" w:hAnsi="黑体" w:eastAsia="黑体"/>
                <w:bCs/>
                <w:sz w:val="18"/>
                <w:szCs w:val="18"/>
                <w:highlight w:val="none"/>
              </w:rPr>
            </w:pPr>
          </w:p>
          <w:p>
            <w:pPr>
              <w:pStyle w:val="5"/>
              <w:snapToGrid w:val="0"/>
              <w:spacing w:before="0" w:beforeAutospacing="0" w:after="0" w:afterAutospacing="0" w:line="360" w:lineRule="auto"/>
              <w:jc w:val="both"/>
              <w:rPr>
                <w:rFonts w:ascii="黑体" w:hAnsi="黑体" w:eastAsia="黑体"/>
                <w:bCs/>
                <w:sz w:val="18"/>
                <w:szCs w:val="18"/>
                <w:highlight w:val="none"/>
              </w:rPr>
            </w:pPr>
            <w:r>
              <w:rPr>
                <w:rFonts w:hint="eastAsia" w:ascii="黑体" w:hAnsi="黑体" w:eastAsia="黑体"/>
                <w:bCs/>
                <w:sz w:val="18"/>
                <w:szCs w:val="18"/>
                <w:highlight w:val="none"/>
              </w:rPr>
              <w:t>★ 关于理财产品不保证本金和收益的提示</w:t>
            </w:r>
          </w:p>
          <w:p>
            <w:pPr>
              <w:pStyle w:val="5"/>
              <w:snapToGrid w:val="0"/>
              <w:spacing w:before="0" w:beforeAutospacing="0" w:after="0" w:afterAutospacing="0" w:line="360" w:lineRule="auto"/>
              <w:jc w:val="both"/>
              <w:rPr>
                <w:rFonts w:ascii="黑体" w:hAnsi="黑体" w:eastAsia="黑体"/>
                <w:bCs/>
                <w:sz w:val="18"/>
                <w:szCs w:val="18"/>
                <w:highlight w:val="none"/>
              </w:rPr>
            </w:pPr>
            <w:r>
              <w:rPr>
                <w:rFonts w:hint="eastAsia" w:ascii="黑体" w:hAnsi="黑体" w:eastAsia="黑体"/>
                <w:bCs/>
                <w:sz w:val="18"/>
                <w:szCs w:val="18"/>
                <w:highlight w:val="none"/>
              </w:rPr>
              <w:t>产品管理人对本产品的本金和收益不提供保证承诺。本产品在发生不利情况下（可能但不一定发生），投资者可能无法取得收益，并可能面临损失本金的风险。投资者应认真阅读本说明书及风险揭示书的内容，基于自身的独立判断进行投资决策。</w:t>
            </w:r>
          </w:p>
          <w:p>
            <w:pPr>
              <w:pStyle w:val="5"/>
              <w:snapToGrid w:val="0"/>
              <w:spacing w:before="0" w:beforeAutospacing="0" w:after="0" w:afterAutospacing="0" w:line="360" w:lineRule="auto"/>
              <w:jc w:val="both"/>
              <w:rPr>
                <w:rFonts w:ascii="黑体" w:hAnsi="黑体" w:eastAsia="黑体"/>
                <w:bCs/>
                <w:sz w:val="18"/>
                <w:szCs w:val="18"/>
                <w:highlight w:val="none"/>
              </w:rPr>
            </w:pPr>
          </w:p>
          <w:p>
            <w:pPr>
              <w:pStyle w:val="5"/>
              <w:snapToGrid w:val="0"/>
              <w:spacing w:before="0" w:beforeAutospacing="0" w:after="0" w:afterAutospacing="0" w:line="360" w:lineRule="auto"/>
              <w:jc w:val="both"/>
              <w:rPr>
                <w:rFonts w:ascii="黑体" w:hAnsi="黑体" w:eastAsia="黑体"/>
                <w:bCs/>
                <w:sz w:val="18"/>
                <w:szCs w:val="18"/>
                <w:highlight w:val="none"/>
              </w:rPr>
            </w:pPr>
            <w:r>
              <w:rPr>
                <w:rFonts w:hint="eastAsia" w:ascii="黑体" w:hAnsi="黑体" w:eastAsia="黑体"/>
                <w:bCs/>
                <w:sz w:val="18"/>
                <w:szCs w:val="18"/>
                <w:highlight w:val="none"/>
              </w:rPr>
              <w:t>★ 关于销售文件的组成和编制的提示</w:t>
            </w:r>
          </w:p>
          <w:p>
            <w:pPr>
              <w:pStyle w:val="5"/>
              <w:snapToGrid w:val="0"/>
              <w:spacing w:before="0" w:beforeAutospacing="0" w:after="0" w:afterAutospacing="0" w:line="360" w:lineRule="auto"/>
              <w:jc w:val="both"/>
              <w:rPr>
                <w:rFonts w:ascii="黑体" w:hAnsi="黑体" w:eastAsia="黑体"/>
                <w:bCs/>
                <w:sz w:val="18"/>
                <w:szCs w:val="18"/>
                <w:highlight w:val="none"/>
              </w:rPr>
            </w:pPr>
            <w:r>
              <w:rPr>
                <w:rFonts w:hint="eastAsia" w:ascii="黑体" w:hAnsi="黑体" w:eastAsia="黑体"/>
                <w:bCs/>
                <w:sz w:val="18"/>
                <w:szCs w:val="18"/>
                <w:highlight w:val="none"/>
              </w:rPr>
              <w:t>1、销售文件的组成</w:t>
            </w:r>
          </w:p>
          <w:p>
            <w:pPr>
              <w:pStyle w:val="5"/>
              <w:snapToGrid w:val="0"/>
              <w:spacing w:before="0" w:beforeAutospacing="0" w:after="0" w:afterAutospacing="0" w:line="360" w:lineRule="auto"/>
              <w:jc w:val="both"/>
              <w:rPr>
                <w:rFonts w:ascii="黑体" w:hAnsi="黑体" w:eastAsia="黑体"/>
                <w:bCs/>
                <w:sz w:val="18"/>
                <w:szCs w:val="18"/>
                <w:highlight w:val="none"/>
              </w:rPr>
            </w:pPr>
            <w:r>
              <w:rPr>
                <w:rFonts w:hint="eastAsia" w:ascii="黑体" w:hAnsi="黑体" w:eastAsia="黑体"/>
                <w:bCs/>
                <w:sz w:val="18"/>
                <w:szCs w:val="18"/>
                <w:highlight w:val="none"/>
              </w:rPr>
              <w:t>《投资协议书》、《理财产品说明书》、《理财产品（代理）销售协议书》、《风险揭示书》、《投资者权益须知》等文件共同构成一份完整且不可分割的理财产品销售文件。</w:t>
            </w:r>
          </w:p>
          <w:p>
            <w:pPr>
              <w:pStyle w:val="5"/>
              <w:snapToGrid w:val="0"/>
              <w:spacing w:before="0" w:beforeAutospacing="0" w:after="0" w:afterAutospacing="0" w:line="360" w:lineRule="auto"/>
              <w:jc w:val="both"/>
              <w:rPr>
                <w:rFonts w:ascii="黑体" w:hAnsi="黑体" w:eastAsia="黑体"/>
                <w:bCs/>
                <w:sz w:val="18"/>
                <w:szCs w:val="18"/>
                <w:highlight w:val="none"/>
              </w:rPr>
            </w:pPr>
            <w:r>
              <w:rPr>
                <w:rFonts w:hint="eastAsia" w:ascii="黑体" w:hAnsi="黑体" w:eastAsia="黑体"/>
                <w:bCs/>
                <w:sz w:val="18"/>
                <w:szCs w:val="18"/>
                <w:highlight w:val="none"/>
              </w:rPr>
              <w:t>2、销售文件的编制</w:t>
            </w:r>
          </w:p>
          <w:p>
            <w:pPr>
              <w:pStyle w:val="5"/>
              <w:snapToGrid w:val="0"/>
              <w:spacing w:before="0" w:beforeAutospacing="0" w:after="0" w:afterAutospacing="0" w:line="360" w:lineRule="auto"/>
              <w:jc w:val="both"/>
              <w:rPr>
                <w:rFonts w:ascii="黑体" w:hAnsi="黑体" w:eastAsia="黑体"/>
                <w:bCs/>
                <w:sz w:val="18"/>
                <w:szCs w:val="18"/>
                <w:highlight w:val="none"/>
              </w:rPr>
            </w:pPr>
            <w:r>
              <w:rPr>
                <w:rFonts w:hint="eastAsia" w:ascii="黑体" w:hAnsi="黑体" w:eastAsia="黑体"/>
                <w:bCs/>
                <w:sz w:val="18"/>
                <w:szCs w:val="18"/>
                <w:highlight w:val="none"/>
              </w:rPr>
              <w:t>根据《理财公司理财产品销售管理暂行办法》（</w:t>
            </w:r>
            <w:r>
              <w:rPr>
                <w:rFonts w:ascii="黑体" w:hAnsi="黑体" w:eastAsia="黑体"/>
                <w:bCs/>
                <w:sz w:val="18"/>
                <w:szCs w:val="18"/>
                <w:highlight w:val="none"/>
              </w:rPr>
              <w:t>银保监会令</w:t>
            </w:r>
            <w:r>
              <w:rPr>
                <w:rFonts w:hint="eastAsia" w:ascii="黑体" w:hAnsi="黑体" w:eastAsia="黑体"/>
                <w:bCs/>
                <w:sz w:val="18"/>
                <w:szCs w:val="18"/>
                <w:highlight w:val="none"/>
              </w:rPr>
              <w:t>2</w:t>
            </w:r>
            <w:r>
              <w:rPr>
                <w:rFonts w:ascii="黑体" w:hAnsi="黑体" w:eastAsia="黑体"/>
                <w:bCs/>
                <w:sz w:val="18"/>
                <w:szCs w:val="18"/>
                <w:highlight w:val="none"/>
              </w:rPr>
              <w:t>021年第</w:t>
            </w:r>
            <w:r>
              <w:rPr>
                <w:rFonts w:hint="eastAsia" w:ascii="黑体" w:hAnsi="黑体" w:eastAsia="黑体"/>
                <w:bCs/>
                <w:sz w:val="18"/>
                <w:szCs w:val="18"/>
                <w:highlight w:val="none"/>
              </w:rPr>
              <w:t>4号）第2</w:t>
            </w:r>
            <w:r>
              <w:rPr>
                <w:rFonts w:ascii="黑体" w:hAnsi="黑体" w:eastAsia="黑体"/>
                <w:bCs/>
                <w:sz w:val="18"/>
                <w:szCs w:val="18"/>
                <w:highlight w:val="none"/>
              </w:rPr>
              <w:t>9条规定</w:t>
            </w:r>
            <w:r>
              <w:rPr>
                <w:rFonts w:hint="eastAsia" w:ascii="黑体" w:hAnsi="黑体" w:eastAsia="黑体"/>
                <w:bCs/>
                <w:sz w:val="18"/>
                <w:szCs w:val="18"/>
                <w:highlight w:val="none"/>
              </w:rPr>
              <w:t>，本款产品销售文件在编制时，可能存在以下两种情形：</w:t>
            </w:r>
          </w:p>
          <w:p>
            <w:pPr>
              <w:pStyle w:val="5"/>
              <w:snapToGrid w:val="0"/>
              <w:spacing w:before="0" w:beforeAutospacing="0" w:after="0" w:afterAutospacing="0" w:line="360" w:lineRule="auto"/>
              <w:jc w:val="both"/>
              <w:rPr>
                <w:rFonts w:ascii="黑体" w:hAnsi="黑体" w:eastAsia="黑体"/>
                <w:bCs/>
                <w:sz w:val="18"/>
                <w:szCs w:val="18"/>
                <w:highlight w:val="none"/>
              </w:rPr>
            </w:pPr>
            <w:r>
              <w:rPr>
                <w:rFonts w:hint="eastAsia" w:ascii="黑体" w:hAnsi="黑体" w:eastAsia="黑体"/>
                <w:bCs/>
                <w:sz w:val="18"/>
                <w:szCs w:val="18"/>
                <w:highlight w:val="none"/>
              </w:rPr>
              <w:t>（1）情形1：所有销售文件都由产品管理人统一编制。其中，《投资协议书》、《理财产品说明书》、《理财产品（代理）销售协议书》、《风险揭示书》、《投资者权益须知》等销售文件均由产品管理人统一编制。</w:t>
            </w:r>
          </w:p>
          <w:p>
            <w:pPr>
              <w:pStyle w:val="5"/>
              <w:snapToGrid w:val="0"/>
              <w:spacing w:before="0" w:beforeAutospacing="0" w:after="0" w:afterAutospacing="0" w:line="360" w:lineRule="auto"/>
              <w:jc w:val="both"/>
              <w:rPr>
                <w:rFonts w:ascii="黑体" w:hAnsi="黑体" w:eastAsia="黑体"/>
                <w:bCs/>
                <w:sz w:val="18"/>
                <w:szCs w:val="18"/>
                <w:highlight w:val="none"/>
              </w:rPr>
            </w:pPr>
            <w:r>
              <w:rPr>
                <w:rFonts w:hint="eastAsia" w:ascii="黑体" w:hAnsi="黑体" w:eastAsia="黑体"/>
                <w:bCs/>
                <w:sz w:val="18"/>
                <w:szCs w:val="18"/>
                <w:highlight w:val="none"/>
              </w:rPr>
              <w:t>（2）情形2：部分销售文件由代理销售服务机构进行编制。其中，《投资协议书》和《理财产品说明书》由产品管理人统一编制；《理财产品（代理）销售协议书》、《风险揭示书》、《投资者权益须知》等销售文件，此等销售文件中的之一或之二或全部，根据代理销售服务机构的需求而由产品管理人委托代理销售服务机构进行编制。</w:t>
            </w:r>
          </w:p>
          <w:p>
            <w:pPr>
              <w:pStyle w:val="5"/>
              <w:snapToGrid w:val="0"/>
              <w:spacing w:before="0" w:beforeAutospacing="0" w:after="0" w:afterAutospacing="0" w:line="360" w:lineRule="auto"/>
              <w:jc w:val="both"/>
              <w:rPr>
                <w:rFonts w:ascii="黑体" w:hAnsi="黑体" w:eastAsia="黑体"/>
                <w:bCs/>
                <w:sz w:val="18"/>
                <w:szCs w:val="18"/>
                <w:highlight w:val="none"/>
              </w:rPr>
            </w:pPr>
            <w:r>
              <w:rPr>
                <w:rFonts w:hint="eastAsia" w:ascii="黑体" w:hAnsi="黑体" w:eastAsia="黑体"/>
                <w:bCs/>
                <w:sz w:val="18"/>
                <w:szCs w:val="18"/>
                <w:highlight w:val="none"/>
              </w:rPr>
              <w:t>请投资者根据理财产品销售时的实际情况，认真阅读相关理财产品销售文件的内容。</w:t>
            </w:r>
          </w:p>
          <w:p>
            <w:pPr>
              <w:pStyle w:val="5"/>
              <w:snapToGrid w:val="0"/>
              <w:spacing w:before="0" w:beforeAutospacing="0" w:after="0" w:afterAutospacing="0" w:line="360" w:lineRule="auto"/>
              <w:jc w:val="both"/>
              <w:rPr>
                <w:rFonts w:ascii="黑体" w:hAnsi="黑体" w:eastAsia="黑体"/>
                <w:bCs/>
                <w:sz w:val="18"/>
                <w:szCs w:val="18"/>
                <w:highlight w:val="none"/>
              </w:rPr>
            </w:pPr>
          </w:p>
          <w:p>
            <w:pPr>
              <w:pStyle w:val="5"/>
              <w:snapToGrid w:val="0"/>
              <w:spacing w:before="0" w:beforeAutospacing="0" w:after="0" w:afterAutospacing="0" w:line="360" w:lineRule="auto"/>
              <w:jc w:val="both"/>
              <w:rPr>
                <w:rFonts w:ascii="黑体" w:hAnsi="黑体" w:eastAsia="黑体"/>
                <w:bCs/>
                <w:sz w:val="18"/>
                <w:szCs w:val="18"/>
                <w:highlight w:val="none"/>
              </w:rPr>
            </w:pPr>
            <w:r>
              <w:rPr>
                <w:rFonts w:hint="eastAsia" w:ascii="黑体" w:hAnsi="黑体" w:eastAsia="黑体"/>
                <w:bCs/>
                <w:sz w:val="18"/>
                <w:szCs w:val="18"/>
                <w:highlight w:val="none"/>
              </w:rPr>
              <w:t>★ 关于投资者适当性的提示</w:t>
            </w:r>
          </w:p>
          <w:p>
            <w:pPr>
              <w:pStyle w:val="5"/>
              <w:snapToGrid w:val="0"/>
              <w:spacing w:before="0" w:beforeAutospacing="0" w:after="0" w:afterAutospacing="0" w:line="360" w:lineRule="auto"/>
              <w:jc w:val="both"/>
              <w:rPr>
                <w:rFonts w:ascii="黑体" w:hAnsi="黑体" w:eastAsia="黑体"/>
                <w:bCs/>
                <w:sz w:val="18"/>
                <w:szCs w:val="18"/>
                <w:highlight w:val="none"/>
              </w:rPr>
            </w:pPr>
            <w:r>
              <w:rPr>
                <w:rFonts w:hint="eastAsia" w:ascii="黑体" w:hAnsi="黑体" w:eastAsia="黑体"/>
                <w:bCs/>
                <w:sz w:val="18"/>
                <w:szCs w:val="18"/>
                <w:highlight w:val="none"/>
              </w:rPr>
              <w:t>在购买理财产品前，投资者应仔细阅读销售文件中的各项条款，确保自己完全明白该项投资的性质和所涉及的风险，详细了解和审慎评估该理财产品的资金投资方向、风险类型等基本情况，在慎重考虑后自行决定购买与自身风险承受能力和资产管理需求匹配的理财产品，如影响您风险承受能力的因素发生变化，请及时重新完成风险承受能力评估。</w:t>
            </w:r>
          </w:p>
          <w:p>
            <w:pPr>
              <w:pStyle w:val="5"/>
              <w:snapToGrid w:val="0"/>
              <w:spacing w:before="0" w:beforeAutospacing="0" w:after="0" w:afterAutospacing="0" w:line="360" w:lineRule="auto"/>
              <w:jc w:val="both"/>
              <w:rPr>
                <w:rFonts w:ascii="黑体" w:hAnsi="黑体" w:eastAsia="黑体"/>
                <w:bCs/>
                <w:sz w:val="18"/>
                <w:szCs w:val="18"/>
                <w:highlight w:val="none"/>
              </w:rPr>
            </w:pPr>
            <w:r>
              <w:rPr>
                <w:rFonts w:hint="eastAsia" w:ascii="黑体" w:hAnsi="黑体" w:eastAsia="黑体"/>
                <w:bCs/>
                <w:sz w:val="18"/>
                <w:szCs w:val="18"/>
                <w:highlight w:val="none"/>
              </w:rPr>
              <w:t xml:space="preserve"> </w:t>
            </w:r>
          </w:p>
          <w:p>
            <w:pPr>
              <w:pStyle w:val="5"/>
              <w:snapToGrid w:val="0"/>
              <w:spacing w:before="0" w:beforeAutospacing="0" w:after="0" w:afterAutospacing="0" w:line="360" w:lineRule="auto"/>
              <w:jc w:val="both"/>
              <w:rPr>
                <w:rFonts w:ascii="黑体" w:hAnsi="黑体" w:eastAsia="黑体"/>
                <w:bCs/>
                <w:sz w:val="18"/>
                <w:szCs w:val="18"/>
                <w:highlight w:val="none"/>
              </w:rPr>
            </w:pPr>
            <w:r>
              <w:rPr>
                <w:rFonts w:hint="eastAsia" w:ascii="黑体" w:hAnsi="黑体" w:eastAsia="黑体"/>
                <w:bCs/>
                <w:sz w:val="18"/>
                <w:szCs w:val="18"/>
                <w:highlight w:val="none"/>
              </w:rPr>
              <w:t>★ 关于投资者信息的提示</w:t>
            </w:r>
          </w:p>
          <w:p>
            <w:pPr>
              <w:pStyle w:val="5"/>
              <w:snapToGrid w:val="0"/>
              <w:spacing w:before="0" w:beforeAutospacing="0" w:after="0" w:afterAutospacing="0" w:line="360" w:lineRule="auto"/>
              <w:jc w:val="both"/>
              <w:rPr>
                <w:rFonts w:ascii="黑体" w:hAnsi="黑体" w:eastAsia="黑体"/>
                <w:bCs/>
                <w:sz w:val="18"/>
                <w:szCs w:val="18"/>
                <w:highlight w:val="none"/>
              </w:rPr>
            </w:pPr>
            <w:r>
              <w:rPr>
                <w:rFonts w:hint="eastAsia" w:ascii="黑体" w:hAnsi="黑体" w:eastAsia="黑体"/>
                <w:bCs/>
                <w:sz w:val="18"/>
                <w:szCs w:val="18"/>
                <w:highlight w:val="none"/>
              </w:rPr>
              <w:t>投资者在此同意并授权，产品管理人可根据法律法规、监管要求和合同约定，为投资者尽职调查、理财产品登记、反洗钱</w:t>
            </w:r>
            <w:r>
              <w:rPr>
                <w:rFonts w:ascii="黑体" w:hAnsi="黑体" w:eastAsia="黑体"/>
                <w:bCs/>
                <w:sz w:val="18"/>
                <w:szCs w:val="18"/>
                <w:highlight w:val="none"/>
              </w:rPr>
              <w:t>工作</w:t>
            </w:r>
            <w:r>
              <w:rPr>
                <w:rFonts w:hint="eastAsia" w:ascii="黑体" w:hAnsi="黑体" w:eastAsia="黑体"/>
                <w:bCs/>
                <w:sz w:val="18"/>
                <w:szCs w:val="18"/>
                <w:highlight w:val="none"/>
              </w:rPr>
              <w:t>等需要收集、存储、使用投资者个人身份信息、持有理财产品信息以及理财产品交易明细信息，并在法律法规或监管部门要求的情况下向登记部门或监管机构及相关方提供投资者上述相关信息。</w:t>
            </w:r>
          </w:p>
          <w:p>
            <w:pPr>
              <w:pStyle w:val="5"/>
              <w:snapToGrid w:val="0"/>
              <w:spacing w:before="0" w:beforeAutospacing="0" w:after="0" w:afterAutospacing="0" w:line="360" w:lineRule="auto"/>
              <w:jc w:val="both"/>
              <w:rPr>
                <w:rFonts w:ascii="黑体" w:hAnsi="黑体" w:eastAsia="黑体"/>
                <w:bCs/>
                <w:sz w:val="18"/>
                <w:szCs w:val="18"/>
                <w:highlight w:val="none"/>
              </w:rPr>
            </w:pPr>
          </w:p>
          <w:p>
            <w:pPr>
              <w:spacing w:line="360" w:lineRule="auto"/>
              <w:rPr>
                <w:rFonts w:ascii="黑体" w:hAnsi="黑体" w:eastAsia="黑体"/>
                <w:bCs/>
                <w:kern w:val="0"/>
                <w:sz w:val="18"/>
                <w:szCs w:val="18"/>
                <w:highlight w:val="none"/>
              </w:rPr>
            </w:pPr>
            <w:r>
              <w:rPr>
                <w:rFonts w:hint="eastAsia" w:ascii="黑体" w:hAnsi="黑体" w:eastAsia="黑体"/>
                <w:bCs/>
                <w:kern w:val="0"/>
                <w:sz w:val="18"/>
                <w:szCs w:val="18"/>
                <w:highlight w:val="none"/>
              </w:rPr>
              <w:t>★</w:t>
            </w:r>
            <w:r>
              <w:rPr>
                <w:rFonts w:ascii="黑体" w:hAnsi="黑体" w:eastAsia="黑体"/>
                <w:bCs/>
                <w:kern w:val="0"/>
                <w:sz w:val="18"/>
                <w:szCs w:val="18"/>
                <w:highlight w:val="none"/>
              </w:rPr>
              <w:t xml:space="preserve"> </w:t>
            </w:r>
            <w:r>
              <w:rPr>
                <w:rFonts w:hint="eastAsia" w:ascii="黑体" w:hAnsi="黑体" w:eastAsia="黑体"/>
                <w:bCs/>
                <w:kern w:val="0"/>
                <w:sz w:val="18"/>
                <w:szCs w:val="18"/>
                <w:highlight w:val="none"/>
              </w:rPr>
              <w:t>关于理财产品信息披露的提示</w:t>
            </w:r>
          </w:p>
          <w:p>
            <w:pPr>
              <w:spacing w:line="360" w:lineRule="auto"/>
              <w:rPr>
                <w:rFonts w:ascii="黑体" w:hAnsi="黑体" w:eastAsia="黑体"/>
                <w:bCs/>
                <w:sz w:val="18"/>
                <w:szCs w:val="18"/>
                <w:highlight w:val="none"/>
              </w:rPr>
            </w:pPr>
            <w:r>
              <w:rPr>
                <w:rFonts w:hint="eastAsia" w:ascii="黑体" w:hAnsi="黑体" w:eastAsia="黑体"/>
                <w:bCs/>
                <w:kern w:val="0"/>
                <w:sz w:val="18"/>
                <w:szCs w:val="18"/>
                <w:highlight w:val="none"/>
              </w:rPr>
              <w:t>在购买本产品后，投资者应随时关注该理财产品的信息披露情况，及时获取相关信息。</w:t>
            </w:r>
          </w:p>
          <w:p>
            <w:pPr>
              <w:pStyle w:val="5"/>
              <w:snapToGrid w:val="0"/>
              <w:spacing w:before="0" w:beforeAutospacing="0" w:after="0" w:afterAutospacing="0" w:line="360" w:lineRule="auto"/>
              <w:jc w:val="both"/>
              <w:rPr>
                <w:rFonts w:ascii="黑体" w:hAnsi="黑体" w:eastAsia="黑体"/>
                <w:bCs/>
                <w:sz w:val="18"/>
                <w:szCs w:val="18"/>
                <w:highlight w:val="none"/>
              </w:rPr>
            </w:pPr>
          </w:p>
          <w:p>
            <w:pPr>
              <w:pStyle w:val="5"/>
              <w:snapToGrid w:val="0"/>
              <w:spacing w:before="0" w:beforeAutospacing="0" w:after="0" w:afterAutospacing="0" w:line="360" w:lineRule="auto"/>
              <w:jc w:val="both"/>
              <w:rPr>
                <w:rFonts w:ascii="黑体" w:hAnsi="黑体" w:eastAsia="黑体"/>
                <w:bCs/>
                <w:sz w:val="18"/>
                <w:szCs w:val="18"/>
                <w:highlight w:val="none"/>
              </w:rPr>
            </w:pPr>
            <w:r>
              <w:rPr>
                <w:rFonts w:hint="eastAsia" w:ascii="黑体" w:hAnsi="黑体" w:eastAsia="黑体"/>
                <w:bCs/>
                <w:sz w:val="18"/>
                <w:szCs w:val="18"/>
                <w:highlight w:val="none"/>
              </w:rPr>
              <w:t>★ 关于理财产品咨询的提示</w:t>
            </w:r>
          </w:p>
          <w:p>
            <w:pPr>
              <w:tabs>
                <w:tab w:val="left" w:pos="8070"/>
                <w:tab w:val="right" w:pos="8306"/>
              </w:tabs>
              <w:autoSpaceDE w:val="0"/>
              <w:autoSpaceDN w:val="0"/>
              <w:adjustRightInd w:val="0"/>
              <w:snapToGrid w:val="0"/>
              <w:spacing w:before="156" w:beforeLines="50" w:line="360" w:lineRule="auto"/>
              <w:rPr>
                <w:bCs/>
                <w:sz w:val="32"/>
                <w:highlight w:val="none"/>
              </w:rPr>
            </w:pPr>
            <w:r>
              <w:rPr>
                <w:rFonts w:hint="eastAsia" w:ascii="黑体" w:hAnsi="黑体" w:eastAsia="黑体"/>
                <w:bCs/>
                <w:kern w:val="0"/>
                <w:sz w:val="18"/>
                <w:szCs w:val="18"/>
                <w:highlight w:val="none"/>
              </w:rPr>
              <w:t>投资者对本理财产品及销售文件的内容有任何疑问，</w:t>
            </w:r>
            <w:r>
              <w:rPr>
                <w:rFonts w:hint="eastAsia" w:ascii="黑体" w:hAnsi="黑体" w:eastAsia="黑体"/>
                <w:color w:val="000000"/>
                <w:kern w:val="0"/>
                <w:sz w:val="18"/>
                <w:szCs w:val="18"/>
                <w:highlight w:val="none"/>
              </w:rPr>
              <w:t>请向产品管理人或销售服务机构咨询。</w:t>
            </w:r>
          </w:p>
        </w:tc>
      </w:tr>
    </w:tbl>
    <w:p>
      <w:pPr>
        <w:tabs>
          <w:tab w:val="left" w:pos="8070"/>
          <w:tab w:val="right" w:pos="8306"/>
        </w:tabs>
        <w:autoSpaceDE w:val="0"/>
        <w:autoSpaceDN w:val="0"/>
        <w:adjustRightInd w:val="0"/>
        <w:snapToGrid w:val="0"/>
        <w:spacing w:before="156" w:beforeLines="50" w:line="360" w:lineRule="auto"/>
        <w:rPr>
          <w:bCs/>
          <w:sz w:val="32"/>
          <w:highlight w:val="none"/>
        </w:rPr>
      </w:pPr>
    </w:p>
    <w:p>
      <w:pPr>
        <w:tabs>
          <w:tab w:val="left" w:pos="8070"/>
          <w:tab w:val="right" w:pos="8306"/>
        </w:tabs>
        <w:autoSpaceDE w:val="0"/>
        <w:autoSpaceDN w:val="0"/>
        <w:adjustRightInd w:val="0"/>
        <w:snapToGrid w:val="0"/>
        <w:spacing w:line="360" w:lineRule="auto"/>
        <w:rPr>
          <w:rFonts w:ascii="宋体" w:hAnsi="宋体" w:cs="仿宋_GB2312"/>
          <w:b/>
          <w:kern w:val="0"/>
          <w:sz w:val="18"/>
          <w:szCs w:val="18"/>
          <w:highlight w:val="none"/>
        </w:rPr>
      </w:pPr>
      <w:bookmarkStart w:id="10" w:name="_Toc139991729"/>
      <w:bookmarkStart w:id="11" w:name="_Toc123701386"/>
      <w:bookmarkStart w:id="12" w:name="_Toc123112227"/>
      <w:bookmarkStart w:id="13" w:name="_Toc123112266"/>
    </w:p>
    <w:p>
      <w:pPr>
        <w:tabs>
          <w:tab w:val="left" w:pos="8070"/>
          <w:tab w:val="right" w:pos="8306"/>
        </w:tabs>
        <w:autoSpaceDE w:val="0"/>
        <w:autoSpaceDN w:val="0"/>
        <w:adjustRightInd w:val="0"/>
        <w:snapToGrid w:val="0"/>
        <w:spacing w:line="360" w:lineRule="auto"/>
        <w:rPr>
          <w:rFonts w:ascii="宋体" w:hAnsi="宋体" w:cs="仿宋_GB2312"/>
          <w:b/>
          <w:kern w:val="0"/>
          <w:sz w:val="18"/>
          <w:szCs w:val="18"/>
          <w:highlight w:val="none"/>
        </w:rPr>
      </w:pPr>
    </w:p>
    <w:p>
      <w:pPr>
        <w:tabs>
          <w:tab w:val="left" w:pos="8070"/>
          <w:tab w:val="right" w:pos="8306"/>
        </w:tabs>
        <w:autoSpaceDE w:val="0"/>
        <w:autoSpaceDN w:val="0"/>
        <w:adjustRightInd w:val="0"/>
        <w:snapToGrid w:val="0"/>
        <w:spacing w:line="360" w:lineRule="auto"/>
        <w:rPr>
          <w:rFonts w:ascii="宋体" w:hAnsi="宋体" w:cs="仿宋_GB2312"/>
          <w:b/>
          <w:kern w:val="0"/>
          <w:sz w:val="18"/>
          <w:szCs w:val="18"/>
          <w:highlight w:val="none"/>
        </w:rPr>
      </w:pPr>
    </w:p>
    <w:p>
      <w:pPr>
        <w:widowControl/>
        <w:jc w:val="left"/>
        <w:rPr>
          <w:rFonts w:ascii="宋体" w:hAnsi="宋体" w:cs="仿宋_GB2312"/>
          <w:b/>
          <w:kern w:val="0"/>
          <w:sz w:val="18"/>
          <w:szCs w:val="18"/>
          <w:highlight w:val="none"/>
        </w:rPr>
      </w:pPr>
      <w:r>
        <w:rPr>
          <w:rFonts w:ascii="宋体" w:hAnsi="宋体" w:cs="仿宋_GB2312"/>
          <w:b/>
          <w:kern w:val="0"/>
          <w:sz w:val="18"/>
          <w:szCs w:val="18"/>
          <w:highlight w:val="none"/>
        </w:rPr>
        <w:br w:type="page"/>
      </w:r>
    </w:p>
    <w:p>
      <w:pPr>
        <w:tabs>
          <w:tab w:val="left" w:pos="8070"/>
          <w:tab w:val="right" w:pos="8306"/>
        </w:tabs>
        <w:autoSpaceDE w:val="0"/>
        <w:autoSpaceDN w:val="0"/>
        <w:adjustRightInd w:val="0"/>
        <w:snapToGrid w:val="0"/>
        <w:spacing w:line="360" w:lineRule="auto"/>
        <w:rPr>
          <w:rFonts w:ascii="宋体" w:hAnsi="宋体" w:cs="仿宋_GB2312"/>
          <w:b/>
          <w:kern w:val="0"/>
          <w:sz w:val="18"/>
          <w:szCs w:val="18"/>
          <w:highlight w:val="none"/>
        </w:rPr>
      </w:pPr>
    </w:p>
    <w:tbl>
      <w:tblPr>
        <w:tblStyle w:val="6"/>
        <w:tblW w:w="9221"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Layout w:type="fixed"/>
        <w:tblCellMar>
          <w:top w:w="0" w:type="dxa"/>
          <w:left w:w="108" w:type="dxa"/>
          <w:bottom w:w="0" w:type="dxa"/>
          <w:right w:w="108" w:type="dxa"/>
        </w:tblCellMar>
      </w:tblPr>
      <w:tblGrid>
        <w:gridCol w:w="1142"/>
        <w:gridCol w:w="708"/>
        <w:gridCol w:w="982"/>
        <w:gridCol w:w="1854"/>
        <w:gridCol w:w="1417"/>
        <w:gridCol w:w="3118"/>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cantSplit/>
          <w:trHeight w:val="449" w:hRule="exact"/>
          <w:jc w:val="center"/>
        </w:trPr>
        <w:tc>
          <w:tcPr>
            <w:tcW w:w="9221" w:type="dxa"/>
            <w:gridSpan w:val="6"/>
            <w:tcBorders>
              <w:bottom w:val="single" w:color="auto" w:sz="12" w:space="0"/>
            </w:tcBorders>
            <w:shd w:val="pct10" w:color="FFFFFF" w:fill="D8D8D8"/>
            <w:vAlign w:val="center"/>
          </w:tcPr>
          <w:p>
            <w:pPr>
              <w:pBdr>
                <w:bottom w:val="single" w:color="auto" w:sz="6" w:space="1"/>
              </w:pBdr>
              <w:snapToGrid w:val="0"/>
              <w:spacing w:line="360" w:lineRule="auto"/>
              <w:jc w:val="center"/>
              <w:rPr>
                <w:rFonts w:ascii="宋体" w:hAnsi="宋体"/>
                <w:b/>
                <w:bCs/>
                <w:sz w:val="28"/>
                <w:szCs w:val="28"/>
                <w:highlight w:val="none"/>
              </w:rPr>
            </w:pPr>
            <w:r>
              <w:rPr>
                <w:rFonts w:hint="eastAsia" w:ascii="宋体" w:hAnsi="宋体"/>
                <w:b/>
                <w:bCs/>
                <w:sz w:val="28"/>
                <w:szCs w:val="28"/>
                <w:highlight w:val="none"/>
              </w:rPr>
              <w:t>信息栏</w:t>
            </w:r>
          </w:p>
          <w:p>
            <w:pPr>
              <w:pStyle w:val="4"/>
              <w:spacing w:line="360" w:lineRule="auto"/>
              <w:rPr>
                <w:rFonts w:ascii="宋体" w:hAnsi="宋体"/>
                <w:b/>
                <w:bCs/>
                <w:sz w:val="28"/>
                <w:szCs w:val="28"/>
                <w:highlight w:val="none"/>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cantSplit/>
          <w:trHeight w:val="170" w:hRule="exact"/>
          <w:jc w:val="center"/>
        </w:trPr>
        <w:tc>
          <w:tcPr>
            <w:tcW w:w="9221" w:type="dxa"/>
            <w:gridSpan w:val="6"/>
            <w:shd w:val="pct10" w:color="A5A5A5" w:fill="A5A5A5"/>
            <w:vAlign w:val="center"/>
          </w:tcPr>
          <w:p>
            <w:pPr>
              <w:pStyle w:val="4"/>
              <w:spacing w:line="360" w:lineRule="auto"/>
              <w:rPr>
                <w:rFonts w:ascii="宋体" w:hAnsi="宋体"/>
                <w:b/>
                <w:bCs/>
                <w:sz w:val="28"/>
                <w:szCs w:val="28"/>
                <w:highlight w:val="none"/>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567" w:hRule="atLeast"/>
          <w:jc w:val="center"/>
        </w:trPr>
        <w:tc>
          <w:tcPr>
            <w:tcW w:w="1142" w:type="dxa"/>
            <w:vMerge w:val="restart"/>
            <w:shd w:val="solid" w:color="FFFFFF" w:fill="FFFFFF"/>
            <w:vAlign w:val="center"/>
          </w:tcPr>
          <w:p>
            <w:pPr>
              <w:spacing w:line="360" w:lineRule="auto"/>
              <w:jc w:val="left"/>
              <w:rPr>
                <w:rFonts w:ascii="宋体" w:hAnsi="宋体"/>
                <w:b/>
                <w:bCs/>
                <w:sz w:val="18"/>
                <w:szCs w:val="18"/>
                <w:highlight w:val="none"/>
              </w:rPr>
            </w:pPr>
            <w:r>
              <w:rPr>
                <w:rFonts w:hint="eastAsia" w:ascii="宋体" w:hAnsi="宋体"/>
                <w:b/>
                <w:bCs/>
                <w:sz w:val="18"/>
                <w:szCs w:val="18"/>
                <w:highlight w:val="none"/>
              </w:rPr>
              <w:t>投资者信息</w:t>
            </w:r>
          </w:p>
        </w:tc>
        <w:tc>
          <w:tcPr>
            <w:tcW w:w="708" w:type="dxa"/>
            <w:vMerge w:val="restart"/>
            <w:shd w:val="solid" w:color="FFFFFF" w:fill="FFFFFF"/>
            <w:vAlign w:val="center"/>
          </w:tcPr>
          <w:p>
            <w:pPr>
              <w:spacing w:line="360" w:lineRule="auto"/>
              <w:jc w:val="left"/>
              <w:rPr>
                <w:rFonts w:ascii="宋体" w:hAnsi="宋体"/>
                <w:b/>
                <w:bCs/>
                <w:sz w:val="18"/>
                <w:szCs w:val="18"/>
                <w:highlight w:val="none"/>
              </w:rPr>
            </w:pPr>
            <w:r>
              <w:rPr>
                <w:rFonts w:hint="eastAsia" w:ascii="宋体" w:hAnsi="宋体"/>
                <w:b/>
                <w:bCs/>
                <w:sz w:val="18"/>
                <w:szCs w:val="18"/>
                <w:highlight w:val="none"/>
              </w:rPr>
              <w:t>个人投资者适用</w:t>
            </w:r>
          </w:p>
        </w:tc>
        <w:tc>
          <w:tcPr>
            <w:tcW w:w="982" w:type="dxa"/>
            <w:shd w:val="solid" w:color="FFFFFF" w:fill="FFFFFF"/>
            <w:vAlign w:val="center"/>
          </w:tcPr>
          <w:p>
            <w:pPr>
              <w:spacing w:line="360" w:lineRule="auto"/>
              <w:jc w:val="left"/>
              <w:rPr>
                <w:rFonts w:ascii="宋体" w:hAnsi="宋体"/>
                <w:b/>
                <w:bCs/>
                <w:sz w:val="18"/>
                <w:szCs w:val="18"/>
                <w:highlight w:val="none"/>
              </w:rPr>
            </w:pPr>
            <w:r>
              <w:rPr>
                <w:rFonts w:hint="eastAsia" w:ascii="宋体" w:hAnsi="宋体"/>
                <w:b/>
                <w:bCs/>
                <w:sz w:val="18"/>
                <w:szCs w:val="18"/>
                <w:highlight w:val="none"/>
              </w:rPr>
              <w:t>姓名</w:t>
            </w:r>
          </w:p>
        </w:tc>
        <w:tc>
          <w:tcPr>
            <w:tcW w:w="6389" w:type="dxa"/>
            <w:gridSpan w:val="3"/>
            <w:shd w:val="solid" w:color="FFFFFF" w:fill="FFFFFF"/>
            <w:vAlign w:val="center"/>
          </w:tcPr>
          <w:p>
            <w:pPr>
              <w:spacing w:line="360" w:lineRule="auto"/>
              <w:jc w:val="left"/>
              <w:rPr>
                <w:rFonts w:ascii="宋体" w:hAnsi="宋体"/>
                <w:b/>
                <w:bCs/>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567" w:hRule="atLeast"/>
          <w:jc w:val="center"/>
        </w:trPr>
        <w:tc>
          <w:tcPr>
            <w:tcW w:w="1142" w:type="dxa"/>
            <w:vMerge w:val="continue"/>
            <w:shd w:val="solid" w:color="FFFFFF" w:fill="FFFFFF"/>
            <w:vAlign w:val="center"/>
          </w:tcPr>
          <w:p>
            <w:pPr>
              <w:spacing w:line="360" w:lineRule="auto"/>
              <w:jc w:val="left"/>
              <w:rPr>
                <w:rFonts w:ascii="宋体" w:hAnsi="宋体"/>
                <w:b/>
                <w:bCs/>
                <w:sz w:val="18"/>
                <w:szCs w:val="18"/>
                <w:highlight w:val="none"/>
              </w:rPr>
            </w:pPr>
          </w:p>
        </w:tc>
        <w:tc>
          <w:tcPr>
            <w:tcW w:w="708" w:type="dxa"/>
            <w:vMerge w:val="continue"/>
            <w:shd w:val="solid" w:color="FFFFFF" w:fill="FFFFFF"/>
            <w:vAlign w:val="center"/>
          </w:tcPr>
          <w:p>
            <w:pPr>
              <w:spacing w:line="360" w:lineRule="auto"/>
              <w:jc w:val="left"/>
              <w:rPr>
                <w:rFonts w:ascii="宋体" w:hAnsi="宋体"/>
                <w:b/>
                <w:bCs/>
                <w:sz w:val="18"/>
                <w:szCs w:val="18"/>
                <w:highlight w:val="none"/>
              </w:rPr>
            </w:pPr>
          </w:p>
        </w:tc>
        <w:tc>
          <w:tcPr>
            <w:tcW w:w="982" w:type="dxa"/>
            <w:shd w:val="solid" w:color="FFFFFF" w:fill="FFFFFF"/>
            <w:vAlign w:val="center"/>
          </w:tcPr>
          <w:p>
            <w:pPr>
              <w:spacing w:line="360" w:lineRule="auto"/>
              <w:jc w:val="left"/>
              <w:rPr>
                <w:rFonts w:ascii="宋体" w:hAnsi="宋体"/>
                <w:b/>
                <w:bCs/>
                <w:sz w:val="18"/>
                <w:szCs w:val="18"/>
                <w:highlight w:val="none"/>
              </w:rPr>
            </w:pPr>
            <w:r>
              <w:rPr>
                <w:rFonts w:hint="eastAsia" w:ascii="宋体" w:hAnsi="宋体"/>
                <w:b/>
                <w:bCs/>
                <w:sz w:val="18"/>
                <w:szCs w:val="18"/>
                <w:highlight w:val="none"/>
              </w:rPr>
              <w:t>证件类型</w:t>
            </w:r>
          </w:p>
        </w:tc>
        <w:tc>
          <w:tcPr>
            <w:tcW w:w="1854" w:type="dxa"/>
            <w:shd w:val="solid" w:color="FFFFFF" w:fill="FFFFFF"/>
            <w:vAlign w:val="center"/>
          </w:tcPr>
          <w:p>
            <w:pPr>
              <w:spacing w:line="360" w:lineRule="auto"/>
              <w:jc w:val="left"/>
              <w:rPr>
                <w:rFonts w:ascii="宋体" w:hAnsi="宋体"/>
                <w:b/>
                <w:bCs/>
                <w:sz w:val="18"/>
                <w:szCs w:val="18"/>
                <w:highlight w:val="none"/>
              </w:rPr>
            </w:pPr>
          </w:p>
        </w:tc>
        <w:tc>
          <w:tcPr>
            <w:tcW w:w="1417" w:type="dxa"/>
            <w:shd w:val="solid" w:color="FFFFFF" w:fill="FFFFFF"/>
            <w:vAlign w:val="center"/>
          </w:tcPr>
          <w:p>
            <w:pPr>
              <w:spacing w:line="360" w:lineRule="auto"/>
              <w:jc w:val="left"/>
              <w:rPr>
                <w:rFonts w:ascii="宋体" w:hAnsi="宋体"/>
                <w:b/>
                <w:bCs/>
                <w:sz w:val="18"/>
                <w:szCs w:val="18"/>
                <w:highlight w:val="none"/>
              </w:rPr>
            </w:pPr>
            <w:r>
              <w:rPr>
                <w:rFonts w:hint="eastAsia" w:ascii="宋体" w:hAnsi="宋体"/>
                <w:b/>
                <w:bCs/>
                <w:sz w:val="18"/>
                <w:szCs w:val="18"/>
                <w:highlight w:val="none"/>
              </w:rPr>
              <w:t>证件号码</w:t>
            </w:r>
          </w:p>
        </w:tc>
        <w:tc>
          <w:tcPr>
            <w:tcW w:w="3118" w:type="dxa"/>
            <w:shd w:val="solid" w:color="FFFFFF" w:fill="FFFFFF"/>
            <w:vAlign w:val="center"/>
          </w:tcPr>
          <w:p>
            <w:pPr>
              <w:spacing w:line="360" w:lineRule="auto"/>
              <w:jc w:val="left"/>
              <w:rPr>
                <w:rFonts w:ascii="宋体" w:hAnsi="宋体"/>
                <w:b/>
                <w:bCs/>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567" w:hRule="atLeast"/>
          <w:jc w:val="center"/>
        </w:trPr>
        <w:tc>
          <w:tcPr>
            <w:tcW w:w="1142" w:type="dxa"/>
            <w:vMerge w:val="continue"/>
            <w:shd w:val="solid" w:color="FFFFFF" w:fill="FFFFFF"/>
            <w:vAlign w:val="center"/>
          </w:tcPr>
          <w:p>
            <w:pPr>
              <w:spacing w:line="360" w:lineRule="auto"/>
              <w:jc w:val="left"/>
              <w:rPr>
                <w:rFonts w:ascii="宋体" w:hAnsi="宋体"/>
                <w:b/>
                <w:bCs/>
                <w:sz w:val="18"/>
                <w:szCs w:val="18"/>
                <w:highlight w:val="none"/>
              </w:rPr>
            </w:pPr>
          </w:p>
        </w:tc>
        <w:tc>
          <w:tcPr>
            <w:tcW w:w="708" w:type="dxa"/>
            <w:vMerge w:val="continue"/>
            <w:shd w:val="solid" w:color="FFFFFF" w:fill="FFFFFF"/>
            <w:vAlign w:val="center"/>
          </w:tcPr>
          <w:p>
            <w:pPr>
              <w:spacing w:line="360" w:lineRule="auto"/>
              <w:jc w:val="left"/>
              <w:rPr>
                <w:rFonts w:ascii="宋体" w:hAnsi="宋体"/>
                <w:b/>
                <w:bCs/>
                <w:sz w:val="18"/>
                <w:szCs w:val="18"/>
                <w:highlight w:val="none"/>
              </w:rPr>
            </w:pPr>
          </w:p>
        </w:tc>
        <w:tc>
          <w:tcPr>
            <w:tcW w:w="982" w:type="dxa"/>
            <w:shd w:val="solid" w:color="FFFFFF" w:fill="FFFFFF"/>
            <w:vAlign w:val="center"/>
          </w:tcPr>
          <w:p>
            <w:pPr>
              <w:spacing w:line="360" w:lineRule="auto"/>
              <w:jc w:val="left"/>
              <w:rPr>
                <w:rFonts w:ascii="宋体" w:hAnsi="宋体"/>
                <w:b/>
                <w:bCs/>
                <w:sz w:val="18"/>
                <w:szCs w:val="18"/>
                <w:highlight w:val="none"/>
              </w:rPr>
            </w:pPr>
            <w:r>
              <w:rPr>
                <w:rFonts w:hint="eastAsia" w:ascii="宋体" w:hAnsi="宋体"/>
                <w:b/>
                <w:bCs/>
                <w:sz w:val="18"/>
                <w:szCs w:val="18"/>
                <w:highlight w:val="none"/>
              </w:rPr>
              <w:t>联系电话</w:t>
            </w:r>
          </w:p>
        </w:tc>
        <w:tc>
          <w:tcPr>
            <w:tcW w:w="1854" w:type="dxa"/>
            <w:shd w:val="solid" w:color="FFFFFF" w:fill="FFFFFF"/>
            <w:vAlign w:val="center"/>
          </w:tcPr>
          <w:p>
            <w:pPr>
              <w:spacing w:line="360" w:lineRule="auto"/>
              <w:jc w:val="left"/>
              <w:rPr>
                <w:rFonts w:ascii="宋体" w:hAnsi="宋体"/>
                <w:b/>
                <w:bCs/>
                <w:sz w:val="18"/>
                <w:szCs w:val="18"/>
                <w:highlight w:val="none"/>
              </w:rPr>
            </w:pPr>
          </w:p>
        </w:tc>
        <w:tc>
          <w:tcPr>
            <w:tcW w:w="1417" w:type="dxa"/>
            <w:shd w:val="solid" w:color="FFFFFF" w:fill="FFFFFF"/>
            <w:vAlign w:val="center"/>
          </w:tcPr>
          <w:p>
            <w:pPr>
              <w:spacing w:line="360" w:lineRule="auto"/>
              <w:jc w:val="left"/>
              <w:rPr>
                <w:rFonts w:ascii="宋体" w:hAnsi="宋体"/>
                <w:b/>
                <w:bCs/>
                <w:sz w:val="18"/>
                <w:szCs w:val="18"/>
                <w:highlight w:val="none"/>
              </w:rPr>
            </w:pPr>
            <w:r>
              <w:rPr>
                <w:rFonts w:hint="eastAsia" w:ascii="宋体" w:hAnsi="宋体"/>
                <w:b/>
                <w:bCs/>
                <w:sz w:val="18"/>
                <w:szCs w:val="18"/>
                <w:highlight w:val="none"/>
              </w:rPr>
              <w:t>电子邮箱</w:t>
            </w:r>
          </w:p>
        </w:tc>
        <w:tc>
          <w:tcPr>
            <w:tcW w:w="3118" w:type="dxa"/>
            <w:shd w:val="solid" w:color="FFFFFF" w:fill="FFFFFF"/>
            <w:vAlign w:val="center"/>
          </w:tcPr>
          <w:p>
            <w:pPr>
              <w:spacing w:line="360" w:lineRule="auto"/>
              <w:jc w:val="left"/>
              <w:rPr>
                <w:rFonts w:ascii="宋体" w:hAnsi="宋体"/>
                <w:b/>
                <w:bCs/>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567" w:hRule="atLeast"/>
          <w:jc w:val="center"/>
        </w:trPr>
        <w:tc>
          <w:tcPr>
            <w:tcW w:w="1142" w:type="dxa"/>
            <w:vMerge w:val="continue"/>
            <w:shd w:val="solid" w:color="FFFFFF" w:fill="FFFFFF"/>
            <w:vAlign w:val="center"/>
          </w:tcPr>
          <w:p>
            <w:pPr>
              <w:spacing w:line="360" w:lineRule="auto"/>
              <w:jc w:val="left"/>
              <w:rPr>
                <w:rFonts w:ascii="宋体" w:hAnsi="宋体"/>
                <w:b/>
                <w:bCs/>
                <w:sz w:val="18"/>
                <w:szCs w:val="18"/>
                <w:highlight w:val="none"/>
              </w:rPr>
            </w:pPr>
          </w:p>
        </w:tc>
        <w:tc>
          <w:tcPr>
            <w:tcW w:w="708" w:type="dxa"/>
            <w:vMerge w:val="continue"/>
            <w:shd w:val="solid" w:color="FFFFFF" w:fill="FFFFFF"/>
            <w:vAlign w:val="center"/>
          </w:tcPr>
          <w:p>
            <w:pPr>
              <w:spacing w:line="360" w:lineRule="auto"/>
              <w:jc w:val="left"/>
              <w:rPr>
                <w:rFonts w:ascii="宋体" w:hAnsi="宋体"/>
                <w:b/>
                <w:bCs/>
                <w:sz w:val="18"/>
                <w:szCs w:val="18"/>
                <w:highlight w:val="none"/>
              </w:rPr>
            </w:pPr>
          </w:p>
        </w:tc>
        <w:tc>
          <w:tcPr>
            <w:tcW w:w="982" w:type="dxa"/>
            <w:shd w:val="solid" w:color="FFFFFF" w:fill="FFFFFF"/>
            <w:vAlign w:val="center"/>
          </w:tcPr>
          <w:p>
            <w:pPr>
              <w:spacing w:line="360" w:lineRule="auto"/>
              <w:jc w:val="left"/>
              <w:rPr>
                <w:rFonts w:ascii="宋体" w:hAnsi="宋体"/>
                <w:b/>
                <w:bCs/>
                <w:sz w:val="18"/>
                <w:szCs w:val="18"/>
                <w:highlight w:val="none"/>
              </w:rPr>
            </w:pPr>
            <w:r>
              <w:rPr>
                <w:rFonts w:hint="eastAsia" w:ascii="宋体" w:hAnsi="宋体"/>
                <w:b/>
                <w:bCs/>
                <w:sz w:val="18"/>
                <w:szCs w:val="18"/>
                <w:highlight w:val="none"/>
              </w:rPr>
              <w:t>联系地址</w:t>
            </w:r>
          </w:p>
        </w:tc>
        <w:tc>
          <w:tcPr>
            <w:tcW w:w="6389" w:type="dxa"/>
            <w:gridSpan w:val="3"/>
            <w:shd w:val="solid" w:color="FFFFFF" w:fill="FFFFFF"/>
            <w:vAlign w:val="center"/>
          </w:tcPr>
          <w:p>
            <w:pPr>
              <w:spacing w:line="360" w:lineRule="auto"/>
              <w:jc w:val="left"/>
              <w:rPr>
                <w:rFonts w:ascii="宋体" w:hAnsi="宋体"/>
                <w:b/>
                <w:bCs/>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567" w:hRule="atLeast"/>
          <w:jc w:val="center"/>
        </w:trPr>
        <w:tc>
          <w:tcPr>
            <w:tcW w:w="1142" w:type="dxa"/>
            <w:vMerge w:val="continue"/>
            <w:shd w:val="solid" w:color="FFFFFF" w:fill="FFFFFF"/>
            <w:vAlign w:val="center"/>
          </w:tcPr>
          <w:p>
            <w:pPr>
              <w:spacing w:line="360" w:lineRule="auto"/>
              <w:jc w:val="left"/>
              <w:rPr>
                <w:rFonts w:ascii="宋体" w:hAnsi="宋体"/>
                <w:b/>
                <w:bCs/>
                <w:sz w:val="18"/>
                <w:szCs w:val="18"/>
                <w:highlight w:val="none"/>
              </w:rPr>
            </w:pPr>
          </w:p>
        </w:tc>
        <w:tc>
          <w:tcPr>
            <w:tcW w:w="708" w:type="dxa"/>
            <w:vMerge w:val="continue"/>
            <w:shd w:val="solid" w:color="FFFFFF" w:fill="FFFFFF"/>
            <w:vAlign w:val="center"/>
          </w:tcPr>
          <w:p>
            <w:pPr>
              <w:spacing w:line="360" w:lineRule="auto"/>
              <w:jc w:val="left"/>
              <w:rPr>
                <w:rFonts w:ascii="宋体" w:hAnsi="宋体"/>
                <w:b/>
                <w:bCs/>
                <w:sz w:val="18"/>
                <w:szCs w:val="18"/>
                <w:highlight w:val="none"/>
              </w:rPr>
            </w:pPr>
          </w:p>
        </w:tc>
        <w:tc>
          <w:tcPr>
            <w:tcW w:w="982" w:type="dxa"/>
            <w:tcBorders>
              <w:bottom w:val="single" w:color="auto" w:sz="12" w:space="0"/>
            </w:tcBorders>
            <w:shd w:val="solid" w:color="FFFFFF" w:fill="FFFFFF"/>
            <w:vAlign w:val="center"/>
          </w:tcPr>
          <w:p>
            <w:pPr>
              <w:spacing w:line="360" w:lineRule="auto"/>
              <w:jc w:val="left"/>
              <w:rPr>
                <w:rFonts w:ascii="宋体" w:hAnsi="宋体"/>
                <w:b/>
                <w:bCs/>
                <w:sz w:val="18"/>
                <w:szCs w:val="18"/>
                <w:highlight w:val="none"/>
              </w:rPr>
            </w:pPr>
            <w:r>
              <w:rPr>
                <w:rFonts w:hint="eastAsia" w:ascii="宋体" w:hAnsi="宋体"/>
                <w:b/>
                <w:bCs/>
                <w:sz w:val="18"/>
                <w:szCs w:val="18"/>
                <w:highlight w:val="none"/>
              </w:rPr>
              <w:t>邮政编码</w:t>
            </w:r>
          </w:p>
        </w:tc>
        <w:tc>
          <w:tcPr>
            <w:tcW w:w="6389" w:type="dxa"/>
            <w:gridSpan w:val="3"/>
            <w:tcBorders>
              <w:bottom w:val="single" w:color="auto" w:sz="12" w:space="0"/>
            </w:tcBorders>
            <w:shd w:val="solid" w:color="FFFFFF" w:fill="FFFFFF"/>
            <w:vAlign w:val="center"/>
          </w:tcPr>
          <w:p>
            <w:pPr>
              <w:spacing w:line="360" w:lineRule="auto"/>
              <w:jc w:val="left"/>
              <w:rPr>
                <w:rFonts w:ascii="宋体" w:hAnsi="宋体"/>
                <w:b/>
                <w:bCs/>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567" w:hRule="atLeast"/>
          <w:jc w:val="center"/>
        </w:trPr>
        <w:tc>
          <w:tcPr>
            <w:tcW w:w="1142" w:type="dxa"/>
            <w:vMerge w:val="continue"/>
            <w:shd w:val="solid" w:color="FFFFFF" w:fill="FFFFFF"/>
            <w:vAlign w:val="center"/>
          </w:tcPr>
          <w:p>
            <w:pPr>
              <w:spacing w:line="360" w:lineRule="auto"/>
              <w:jc w:val="left"/>
              <w:rPr>
                <w:rFonts w:ascii="宋体" w:hAnsi="宋体"/>
                <w:b/>
                <w:bCs/>
                <w:sz w:val="18"/>
                <w:szCs w:val="18"/>
                <w:highlight w:val="none"/>
              </w:rPr>
            </w:pPr>
          </w:p>
        </w:tc>
        <w:tc>
          <w:tcPr>
            <w:tcW w:w="708" w:type="dxa"/>
            <w:vMerge w:val="restart"/>
            <w:tcBorders>
              <w:right w:val="single" w:color="auto" w:sz="12" w:space="0"/>
            </w:tcBorders>
            <w:shd w:val="solid" w:color="FFFFFF" w:fill="FFFFFF"/>
            <w:vAlign w:val="center"/>
          </w:tcPr>
          <w:p>
            <w:pPr>
              <w:spacing w:line="360" w:lineRule="auto"/>
              <w:jc w:val="left"/>
              <w:rPr>
                <w:rFonts w:ascii="宋体" w:hAnsi="宋体"/>
                <w:b/>
                <w:bCs/>
                <w:sz w:val="18"/>
                <w:szCs w:val="18"/>
                <w:highlight w:val="none"/>
              </w:rPr>
            </w:pPr>
            <w:r>
              <w:rPr>
                <w:rFonts w:hint="eastAsia" w:ascii="宋体" w:hAnsi="宋体"/>
                <w:b/>
                <w:bCs/>
                <w:sz w:val="18"/>
                <w:szCs w:val="18"/>
                <w:highlight w:val="none"/>
              </w:rPr>
              <w:t>机构投资者适用</w:t>
            </w:r>
          </w:p>
        </w:tc>
        <w:tc>
          <w:tcPr>
            <w:tcW w:w="982"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
                <w:bCs/>
                <w:sz w:val="18"/>
                <w:szCs w:val="18"/>
                <w:highlight w:val="none"/>
              </w:rPr>
            </w:pPr>
            <w:r>
              <w:rPr>
                <w:rFonts w:hint="eastAsia" w:ascii="宋体" w:hAnsi="宋体"/>
                <w:b/>
                <w:bCs/>
                <w:sz w:val="18"/>
                <w:szCs w:val="18"/>
                <w:highlight w:val="none"/>
              </w:rPr>
              <w:t>机构</w:t>
            </w:r>
            <w:r>
              <w:rPr>
                <w:rFonts w:ascii="宋体" w:hAnsi="宋体"/>
                <w:b/>
                <w:bCs/>
                <w:sz w:val="18"/>
                <w:szCs w:val="18"/>
                <w:highlight w:val="none"/>
              </w:rPr>
              <w:t>名称</w:t>
            </w:r>
          </w:p>
        </w:tc>
        <w:tc>
          <w:tcPr>
            <w:tcW w:w="6389" w:type="dxa"/>
            <w:gridSpan w:val="3"/>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
                <w:bCs/>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567" w:hRule="atLeast"/>
          <w:jc w:val="center"/>
        </w:trPr>
        <w:tc>
          <w:tcPr>
            <w:tcW w:w="1142" w:type="dxa"/>
            <w:vMerge w:val="continue"/>
            <w:shd w:val="solid" w:color="FFFFFF" w:fill="FFFFFF"/>
            <w:vAlign w:val="center"/>
          </w:tcPr>
          <w:p>
            <w:pPr>
              <w:spacing w:line="360" w:lineRule="auto"/>
              <w:jc w:val="left"/>
              <w:rPr>
                <w:rFonts w:ascii="宋体" w:hAnsi="宋体"/>
                <w:b/>
                <w:bCs/>
                <w:sz w:val="18"/>
                <w:szCs w:val="18"/>
                <w:highlight w:val="none"/>
              </w:rPr>
            </w:pPr>
          </w:p>
        </w:tc>
        <w:tc>
          <w:tcPr>
            <w:tcW w:w="708" w:type="dxa"/>
            <w:vMerge w:val="continue"/>
            <w:tcBorders>
              <w:right w:val="single" w:color="auto" w:sz="12" w:space="0"/>
            </w:tcBorders>
            <w:shd w:val="solid" w:color="FFFFFF" w:fill="FFFFFF"/>
            <w:vAlign w:val="center"/>
          </w:tcPr>
          <w:p>
            <w:pPr>
              <w:spacing w:line="360" w:lineRule="auto"/>
              <w:jc w:val="left"/>
              <w:rPr>
                <w:rFonts w:ascii="宋体" w:hAnsi="宋体"/>
                <w:b/>
                <w:bCs/>
                <w:sz w:val="18"/>
                <w:szCs w:val="18"/>
                <w:highlight w:val="none"/>
              </w:rPr>
            </w:pPr>
          </w:p>
        </w:tc>
        <w:tc>
          <w:tcPr>
            <w:tcW w:w="982"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
                <w:bCs/>
                <w:sz w:val="18"/>
                <w:szCs w:val="18"/>
                <w:highlight w:val="none"/>
              </w:rPr>
            </w:pPr>
            <w:r>
              <w:rPr>
                <w:rFonts w:hint="eastAsia" w:ascii="宋体" w:hAnsi="宋体"/>
                <w:b/>
                <w:bCs/>
                <w:sz w:val="18"/>
                <w:szCs w:val="18"/>
                <w:highlight w:val="none"/>
              </w:rPr>
              <w:t>证件类型</w:t>
            </w:r>
          </w:p>
        </w:tc>
        <w:tc>
          <w:tcPr>
            <w:tcW w:w="1854"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
                <w:bCs/>
                <w:sz w:val="18"/>
                <w:szCs w:val="18"/>
                <w:highlight w:val="none"/>
              </w:rPr>
            </w:pPr>
          </w:p>
        </w:tc>
        <w:tc>
          <w:tcPr>
            <w:tcW w:w="1417"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
                <w:bCs/>
                <w:sz w:val="18"/>
                <w:szCs w:val="18"/>
                <w:highlight w:val="none"/>
              </w:rPr>
            </w:pPr>
            <w:r>
              <w:rPr>
                <w:rFonts w:hint="eastAsia" w:ascii="宋体" w:hAnsi="宋体"/>
                <w:b/>
                <w:bCs/>
                <w:sz w:val="18"/>
                <w:szCs w:val="18"/>
                <w:highlight w:val="none"/>
              </w:rPr>
              <w:t>证件号码</w:t>
            </w:r>
          </w:p>
        </w:tc>
        <w:tc>
          <w:tcPr>
            <w:tcW w:w="3118"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
                <w:bCs/>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567" w:hRule="atLeast"/>
          <w:jc w:val="center"/>
        </w:trPr>
        <w:tc>
          <w:tcPr>
            <w:tcW w:w="1142" w:type="dxa"/>
            <w:vMerge w:val="continue"/>
            <w:shd w:val="solid" w:color="FFFFFF" w:fill="FFFFFF"/>
            <w:vAlign w:val="center"/>
          </w:tcPr>
          <w:p>
            <w:pPr>
              <w:spacing w:line="360" w:lineRule="auto"/>
              <w:jc w:val="left"/>
              <w:rPr>
                <w:rFonts w:ascii="宋体" w:hAnsi="宋体"/>
                <w:b/>
                <w:bCs/>
                <w:sz w:val="18"/>
                <w:szCs w:val="18"/>
                <w:highlight w:val="none"/>
              </w:rPr>
            </w:pPr>
          </w:p>
        </w:tc>
        <w:tc>
          <w:tcPr>
            <w:tcW w:w="708" w:type="dxa"/>
            <w:vMerge w:val="continue"/>
            <w:tcBorders>
              <w:right w:val="single" w:color="auto" w:sz="12" w:space="0"/>
            </w:tcBorders>
            <w:shd w:val="solid" w:color="FFFFFF" w:fill="FFFFFF"/>
            <w:vAlign w:val="center"/>
          </w:tcPr>
          <w:p>
            <w:pPr>
              <w:spacing w:line="360" w:lineRule="auto"/>
              <w:jc w:val="left"/>
              <w:rPr>
                <w:rFonts w:ascii="宋体" w:hAnsi="宋体"/>
                <w:b/>
                <w:bCs/>
                <w:sz w:val="18"/>
                <w:szCs w:val="18"/>
                <w:highlight w:val="none"/>
              </w:rPr>
            </w:pPr>
          </w:p>
        </w:tc>
        <w:tc>
          <w:tcPr>
            <w:tcW w:w="982"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
                <w:bCs/>
                <w:sz w:val="18"/>
                <w:szCs w:val="18"/>
                <w:highlight w:val="none"/>
              </w:rPr>
            </w:pPr>
            <w:r>
              <w:rPr>
                <w:rFonts w:hint="eastAsia" w:ascii="宋体" w:hAnsi="宋体"/>
                <w:b/>
                <w:bCs/>
                <w:sz w:val="18"/>
                <w:szCs w:val="18"/>
                <w:highlight w:val="none"/>
              </w:rPr>
              <w:t>法定代表人或授权代表</w:t>
            </w:r>
          </w:p>
        </w:tc>
        <w:tc>
          <w:tcPr>
            <w:tcW w:w="6389" w:type="dxa"/>
            <w:gridSpan w:val="3"/>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
                <w:bCs/>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567" w:hRule="atLeast"/>
          <w:jc w:val="center"/>
        </w:trPr>
        <w:tc>
          <w:tcPr>
            <w:tcW w:w="1142" w:type="dxa"/>
            <w:vMerge w:val="continue"/>
            <w:shd w:val="solid" w:color="FFFFFF" w:fill="FFFFFF"/>
            <w:vAlign w:val="center"/>
          </w:tcPr>
          <w:p>
            <w:pPr>
              <w:spacing w:line="360" w:lineRule="auto"/>
              <w:jc w:val="left"/>
              <w:rPr>
                <w:rFonts w:ascii="宋体" w:hAnsi="宋体"/>
                <w:b/>
                <w:bCs/>
                <w:sz w:val="18"/>
                <w:szCs w:val="18"/>
                <w:highlight w:val="none"/>
              </w:rPr>
            </w:pPr>
          </w:p>
        </w:tc>
        <w:tc>
          <w:tcPr>
            <w:tcW w:w="708" w:type="dxa"/>
            <w:vMerge w:val="continue"/>
            <w:tcBorders>
              <w:right w:val="single" w:color="auto" w:sz="12" w:space="0"/>
            </w:tcBorders>
            <w:shd w:val="solid" w:color="FFFFFF" w:fill="FFFFFF"/>
            <w:vAlign w:val="center"/>
          </w:tcPr>
          <w:p>
            <w:pPr>
              <w:spacing w:line="360" w:lineRule="auto"/>
              <w:jc w:val="left"/>
              <w:rPr>
                <w:rFonts w:ascii="宋体" w:hAnsi="宋体"/>
                <w:b/>
                <w:bCs/>
                <w:sz w:val="18"/>
                <w:szCs w:val="18"/>
                <w:highlight w:val="none"/>
              </w:rPr>
            </w:pPr>
          </w:p>
        </w:tc>
        <w:tc>
          <w:tcPr>
            <w:tcW w:w="982"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
                <w:bCs/>
                <w:sz w:val="18"/>
                <w:szCs w:val="18"/>
                <w:highlight w:val="none"/>
              </w:rPr>
            </w:pPr>
            <w:r>
              <w:rPr>
                <w:rFonts w:hint="eastAsia" w:ascii="宋体" w:hAnsi="宋体"/>
                <w:b/>
                <w:bCs/>
                <w:sz w:val="18"/>
                <w:szCs w:val="18"/>
                <w:highlight w:val="none"/>
              </w:rPr>
              <w:t>联系电话</w:t>
            </w:r>
          </w:p>
        </w:tc>
        <w:tc>
          <w:tcPr>
            <w:tcW w:w="1854"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
                <w:bCs/>
                <w:sz w:val="18"/>
                <w:szCs w:val="18"/>
                <w:highlight w:val="none"/>
              </w:rPr>
            </w:pPr>
          </w:p>
        </w:tc>
        <w:tc>
          <w:tcPr>
            <w:tcW w:w="1417"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
                <w:bCs/>
                <w:sz w:val="18"/>
                <w:szCs w:val="18"/>
                <w:highlight w:val="none"/>
              </w:rPr>
            </w:pPr>
            <w:r>
              <w:rPr>
                <w:rFonts w:hint="eastAsia" w:ascii="宋体" w:hAnsi="宋体"/>
                <w:b/>
                <w:bCs/>
                <w:sz w:val="18"/>
                <w:szCs w:val="18"/>
                <w:highlight w:val="none"/>
              </w:rPr>
              <w:t>电子邮箱</w:t>
            </w:r>
          </w:p>
        </w:tc>
        <w:tc>
          <w:tcPr>
            <w:tcW w:w="3118"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
                <w:bCs/>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567" w:hRule="atLeast"/>
          <w:jc w:val="center"/>
        </w:trPr>
        <w:tc>
          <w:tcPr>
            <w:tcW w:w="1142" w:type="dxa"/>
            <w:vMerge w:val="continue"/>
            <w:shd w:val="solid" w:color="FFFFFF" w:fill="FFFFFF"/>
            <w:vAlign w:val="center"/>
          </w:tcPr>
          <w:p>
            <w:pPr>
              <w:spacing w:line="360" w:lineRule="auto"/>
              <w:jc w:val="left"/>
              <w:rPr>
                <w:rFonts w:ascii="宋体" w:hAnsi="宋体"/>
                <w:b/>
                <w:bCs/>
                <w:sz w:val="18"/>
                <w:szCs w:val="18"/>
                <w:highlight w:val="none"/>
              </w:rPr>
            </w:pPr>
          </w:p>
        </w:tc>
        <w:tc>
          <w:tcPr>
            <w:tcW w:w="708" w:type="dxa"/>
            <w:vMerge w:val="continue"/>
            <w:tcBorders>
              <w:right w:val="single" w:color="auto" w:sz="12" w:space="0"/>
            </w:tcBorders>
            <w:shd w:val="solid" w:color="FFFFFF" w:fill="FFFFFF"/>
            <w:vAlign w:val="center"/>
          </w:tcPr>
          <w:p>
            <w:pPr>
              <w:spacing w:line="360" w:lineRule="auto"/>
              <w:jc w:val="left"/>
              <w:rPr>
                <w:rFonts w:ascii="宋体" w:hAnsi="宋体"/>
                <w:b/>
                <w:bCs/>
                <w:sz w:val="18"/>
                <w:szCs w:val="18"/>
                <w:highlight w:val="none"/>
              </w:rPr>
            </w:pPr>
          </w:p>
        </w:tc>
        <w:tc>
          <w:tcPr>
            <w:tcW w:w="982"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
                <w:bCs/>
                <w:sz w:val="18"/>
                <w:szCs w:val="18"/>
                <w:highlight w:val="none"/>
              </w:rPr>
            </w:pPr>
            <w:r>
              <w:rPr>
                <w:rFonts w:hint="eastAsia" w:ascii="宋体" w:hAnsi="宋体"/>
                <w:b/>
                <w:bCs/>
                <w:sz w:val="18"/>
                <w:szCs w:val="18"/>
                <w:highlight w:val="none"/>
              </w:rPr>
              <w:t>联系地址</w:t>
            </w:r>
          </w:p>
        </w:tc>
        <w:tc>
          <w:tcPr>
            <w:tcW w:w="6389" w:type="dxa"/>
            <w:gridSpan w:val="3"/>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
                <w:bCs/>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567" w:hRule="atLeast"/>
          <w:jc w:val="center"/>
        </w:trPr>
        <w:tc>
          <w:tcPr>
            <w:tcW w:w="1142" w:type="dxa"/>
            <w:vMerge w:val="continue"/>
            <w:tcBorders>
              <w:bottom w:val="single" w:color="auto" w:sz="12" w:space="0"/>
            </w:tcBorders>
            <w:shd w:val="solid" w:color="FFFFFF" w:fill="FFFFFF"/>
            <w:vAlign w:val="center"/>
          </w:tcPr>
          <w:p>
            <w:pPr>
              <w:spacing w:line="360" w:lineRule="auto"/>
              <w:jc w:val="left"/>
              <w:rPr>
                <w:rFonts w:ascii="宋体" w:hAnsi="宋体"/>
                <w:b/>
                <w:bCs/>
                <w:sz w:val="18"/>
                <w:szCs w:val="18"/>
                <w:highlight w:val="none"/>
              </w:rPr>
            </w:pPr>
          </w:p>
        </w:tc>
        <w:tc>
          <w:tcPr>
            <w:tcW w:w="708" w:type="dxa"/>
            <w:vMerge w:val="continue"/>
            <w:tcBorders>
              <w:bottom w:val="single" w:color="auto" w:sz="12" w:space="0"/>
              <w:right w:val="single" w:color="auto" w:sz="12" w:space="0"/>
            </w:tcBorders>
            <w:shd w:val="solid" w:color="FFFFFF" w:fill="FFFFFF"/>
            <w:vAlign w:val="center"/>
          </w:tcPr>
          <w:p>
            <w:pPr>
              <w:spacing w:line="360" w:lineRule="auto"/>
              <w:jc w:val="left"/>
              <w:rPr>
                <w:rFonts w:ascii="宋体" w:hAnsi="宋体"/>
                <w:b/>
                <w:bCs/>
                <w:sz w:val="18"/>
                <w:szCs w:val="18"/>
                <w:highlight w:val="none"/>
              </w:rPr>
            </w:pPr>
          </w:p>
        </w:tc>
        <w:tc>
          <w:tcPr>
            <w:tcW w:w="982"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
                <w:bCs/>
                <w:sz w:val="18"/>
                <w:szCs w:val="18"/>
                <w:highlight w:val="none"/>
              </w:rPr>
            </w:pPr>
            <w:r>
              <w:rPr>
                <w:rFonts w:hint="eastAsia" w:ascii="宋体" w:hAnsi="宋体"/>
                <w:b/>
                <w:bCs/>
                <w:sz w:val="18"/>
                <w:szCs w:val="18"/>
                <w:highlight w:val="none"/>
              </w:rPr>
              <w:t>邮政编码</w:t>
            </w:r>
          </w:p>
        </w:tc>
        <w:tc>
          <w:tcPr>
            <w:tcW w:w="6389" w:type="dxa"/>
            <w:gridSpan w:val="3"/>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
                <w:bCs/>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170" w:hRule="exact"/>
          <w:jc w:val="center"/>
        </w:trPr>
        <w:tc>
          <w:tcPr>
            <w:tcW w:w="9221" w:type="dxa"/>
            <w:gridSpan w:val="6"/>
            <w:shd w:val="pct10" w:color="FFFFFF" w:fill="A5A5A5"/>
            <w:vAlign w:val="center"/>
          </w:tcPr>
          <w:p>
            <w:pPr>
              <w:pStyle w:val="4"/>
              <w:pBdr>
                <w:bottom w:val="none" w:color="auto" w:sz="0" w:space="0"/>
              </w:pBdr>
              <w:spacing w:line="360" w:lineRule="auto"/>
              <w:rPr>
                <w:rFonts w:ascii="宋体" w:hAnsi="宋体"/>
                <w:b/>
                <w:bCs/>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402" w:hRule="atLeast"/>
          <w:jc w:val="center"/>
        </w:trPr>
        <w:tc>
          <w:tcPr>
            <w:tcW w:w="1142" w:type="dxa"/>
            <w:vMerge w:val="restart"/>
            <w:shd w:val="solid" w:color="FFFFFF" w:fill="FFFFFF"/>
            <w:vAlign w:val="center"/>
          </w:tcPr>
          <w:p>
            <w:pPr>
              <w:spacing w:line="360" w:lineRule="auto"/>
              <w:jc w:val="left"/>
              <w:rPr>
                <w:rFonts w:ascii="宋体" w:hAnsi="宋体"/>
                <w:b/>
                <w:bCs/>
                <w:sz w:val="18"/>
                <w:szCs w:val="18"/>
                <w:highlight w:val="none"/>
              </w:rPr>
            </w:pPr>
            <w:r>
              <w:rPr>
                <w:rFonts w:hint="eastAsia" w:ascii="宋体" w:hAnsi="宋体"/>
                <w:b/>
                <w:bCs/>
                <w:sz w:val="18"/>
                <w:szCs w:val="18"/>
                <w:highlight w:val="none"/>
              </w:rPr>
              <w:t>理财产品管理人信息</w:t>
            </w:r>
          </w:p>
        </w:tc>
        <w:tc>
          <w:tcPr>
            <w:tcW w:w="1690" w:type="dxa"/>
            <w:gridSpan w:val="2"/>
            <w:shd w:val="solid" w:color="FFFFFF" w:fill="FFFFFF"/>
            <w:vAlign w:val="center"/>
          </w:tcPr>
          <w:p>
            <w:pPr>
              <w:spacing w:line="360" w:lineRule="auto"/>
              <w:jc w:val="left"/>
              <w:rPr>
                <w:rFonts w:ascii="宋体" w:hAnsi="宋体"/>
                <w:b/>
                <w:bCs/>
                <w:sz w:val="18"/>
                <w:szCs w:val="18"/>
                <w:highlight w:val="none"/>
              </w:rPr>
            </w:pPr>
            <w:r>
              <w:rPr>
                <w:rFonts w:hint="eastAsia" w:ascii="宋体" w:hAnsi="宋体"/>
                <w:b/>
                <w:bCs/>
                <w:sz w:val="18"/>
                <w:szCs w:val="18"/>
                <w:highlight w:val="none"/>
              </w:rPr>
              <w:t>机构名称</w:t>
            </w:r>
          </w:p>
        </w:tc>
        <w:tc>
          <w:tcPr>
            <w:tcW w:w="6389" w:type="dxa"/>
            <w:gridSpan w:val="3"/>
            <w:shd w:val="solid" w:color="FFFFFF" w:fill="FFFFFF"/>
            <w:vAlign w:val="center"/>
          </w:tcPr>
          <w:p>
            <w:pPr>
              <w:spacing w:line="360" w:lineRule="auto"/>
              <w:jc w:val="left"/>
              <w:rPr>
                <w:rFonts w:ascii="宋体" w:hAnsi="宋体"/>
                <w:bCs/>
                <w:sz w:val="18"/>
                <w:szCs w:val="18"/>
                <w:highlight w:val="none"/>
              </w:rPr>
            </w:pPr>
            <w:r>
              <w:rPr>
                <w:rFonts w:hint="eastAsia" w:ascii="宋体" w:hAnsi="宋体"/>
                <w:bCs/>
                <w:sz w:val="18"/>
                <w:szCs w:val="18"/>
                <w:highlight w:val="none"/>
              </w:rPr>
              <w:t>渤银理财有限责任公司</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375" w:hRule="atLeast"/>
          <w:jc w:val="center"/>
        </w:trPr>
        <w:tc>
          <w:tcPr>
            <w:tcW w:w="1142" w:type="dxa"/>
            <w:vMerge w:val="continue"/>
            <w:tcBorders>
              <w:bottom w:val="single" w:color="auto" w:sz="12" w:space="0"/>
            </w:tcBorders>
            <w:shd w:val="solid" w:color="FFFFFF" w:fill="FFFFFF"/>
            <w:vAlign w:val="center"/>
          </w:tcPr>
          <w:p>
            <w:pPr>
              <w:spacing w:line="360" w:lineRule="auto"/>
              <w:jc w:val="left"/>
              <w:rPr>
                <w:rFonts w:ascii="宋体" w:hAnsi="宋体"/>
                <w:b/>
                <w:bCs/>
                <w:sz w:val="18"/>
                <w:szCs w:val="18"/>
                <w:highlight w:val="none"/>
              </w:rPr>
            </w:pPr>
          </w:p>
        </w:tc>
        <w:tc>
          <w:tcPr>
            <w:tcW w:w="1690" w:type="dxa"/>
            <w:gridSpan w:val="2"/>
            <w:tcBorders>
              <w:bottom w:val="single" w:color="auto" w:sz="12" w:space="0"/>
            </w:tcBorders>
            <w:shd w:val="solid" w:color="FFFFFF" w:fill="FFFFFF"/>
            <w:vAlign w:val="center"/>
          </w:tcPr>
          <w:p>
            <w:pPr>
              <w:spacing w:line="360" w:lineRule="auto"/>
              <w:jc w:val="left"/>
              <w:rPr>
                <w:rFonts w:ascii="宋体" w:hAnsi="宋体"/>
                <w:b/>
                <w:bCs/>
                <w:sz w:val="18"/>
                <w:szCs w:val="18"/>
                <w:highlight w:val="none"/>
              </w:rPr>
            </w:pPr>
            <w:r>
              <w:rPr>
                <w:rFonts w:hint="eastAsia" w:ascii="宋体" w:hAnsi="宋体"/>
                <w:b/>
                <w:bCs/>
                <w:sz w:val="18"/>
                <w:szCs w:val="18"/>
                <w:highlight w:val="none"/>
              </w:rPr>
              <w:t>机构简介</w:t>
            </w:r>
          </w:p>
        </w:tc>
        <w:tc>
          <w:tcPr>
            <w:tcW w:w="6389" w:type="dxa"/>
            <w:gridSpan w:val="3"/>
            <w:tcBorders>
              <w:bottom w:val="single" w:color="auto" w:sz="12" w:space="0"/>
            </w:tcBorders>
            <w:shd w:val="solid" w:color="FFFFFF" w:fill="FFFFFF"/>
            <w:vAlign w:val="center"/>
          </w:tcPr>
          <w:p>
            <w:pPr>
              <w:spacing w:line="360" w:lineRule="auto"/>
              <w:jc w:val="left"/>
              <w:rPr>
                <w:rFonts w:ascii="宋体" w:hAnsi="宋体"/>
                <w:sz w:val="18"/>
                <w:szCs w:val="18"/>
                <w:highlight w:val="none"/>
              </w:rPr>
            </w:pPr>
            <w:r>
              <w:rPr>
                <w:rFonts w:hint="eastAsia" w:ascii="宋体" w:hAnsi="宋体"/>
                <w:bCs/>
                <w:sz w:val="18"/>
                <w:szCs w:val="18"/>
                <w:highlight w:val="none"/>
              </w:rPr>
              <w:t>本公司系根据原中国银保监会批准设立的由渤海银行股份有限公司全资控股的银行理财子公司。公司名称：中文为“渤银理财有限责任公司”。公司成立于2022年</w:t>
            </w:r>
            <w:r>
              <w:rPr>
                <w:rFonts w:ascii="宋体" w:hAnsi="宋体"/>
                <w:bCs/>
                <w:sz w:val="18"/>
                <w:szCs w:val="18"/>
                <w:highlight w:val="none"/>
              </w:rPr>
              <w:t>，公司注册资本为</w:t>
            </w:r>
            <w:r>
              <w:rPr>
                <w:rFonts w:hint="eastAsia" w:ascii="宋体" w:hAnsi="宋体"/>
                <w:bCs/>
                <w:sz w:val="18"/>
                <w:szCs w:val="18"/>
                <w:highlight w:val="none"/>
              </w:rPr>
              <w:t>2</w:t>
            </w:r>
            <w:r>
              <w:rPr>
                <w:rFonts w:ascii="宋体" w:hAnsi="宋体"/>
                <w:bCs/>
                <w:sz w:val="18"/>
                <w:szCs w:val="18"/>
                <w:highlight w:val="none"/>
              </w:rPr>
              <w:t>0亿元人民币，全部由</w:t>
            </w:r>
            <w:r>
              <w:rPr>
                <w:rFonts w:hint="eastAsia" w:ascii="宋体" w:hAnsi="宋体"/>
                <w:bCs/>
                <w:sz w:val="18"/>
                <w:szCs w:val="18"/>
                <w:highlight w:val="none"/>
              </w:rPr>
              <w:t>渤海</w:t>
            </w:r>
            <w:r>
              <w:rPr>
                <w:rFonts w:ascii="宋体" w:hAnsi="宋体"/>
                <w:bCs/>
                <w:sz w:val="18"/>
                <w:szCs w:val="18"/>
                <w:highlight w:val="none"/>
              </w:rPr>
              <w:t>银行股份有限公司以货币资金认</w:t>
            </w:r>
            <w:r>
              <w:rPr>
                <w:rFonts w:hint="eastAsia" w:ascii="宋体" w:hAnsi="宋体"/>
                <w:bCs/>
                <w:sz w:val="18"/>
                <w:szCs w:val="18"/>
                <w:highlight w:val="none"/>
              </w:rPr>
              <w:t>缴</w:t>
            </w:r>
            <w:r>
              <w:rPr>
                <w:rFonts w:ascii="宋体" w:hAnsi="宋体"/>
                <w:bCs/>
                <w:sz w:val="18"/>
                <w:szCs w:val="18"/>
                <w:highlight w:val="none"/>
              </w:rPr>
              <w:t>并一次性足额</w:t>
            </w:r>
            <w:r>
              <w:rPr>
                <w:rFonts w:hint="eastAsia" w:ascii="宋体" w:hAnsi="宋体"/>
                <w:bCs/>
                <w:sz w:val="18"/>
                <w:szCs w:val="18"/>
                <w:highlight w:val="none"/>
              </w:rPr>
              <w:t>实缴</w:t>
            </w:r>
            <w:r>
              <w:rPr>
                <w:rFonts w:ascii="宋体" w:hAnsi="宋体"/>
                <w:bCs/>
                <w:sz w:val="18"/>
                <w:szCs w:val="18"/>
                <w:highlight w:val="none"/>
              </w:rPr>
              <w:t>。公司注册地为</w:t>
            </w:r>
            <w:r>
              <w:rPr>
                <w:rFonts w:hint="eastAsia" w:ascii="宋体" w:hAnsi="宋体"/>
                <w:bCs/>
                <w:sz w:val="18"/>
                <w:szCs w:val="18"/>
                <w:highlight w:val="none"/>
              </w:rPr>
              <w:t>天津市</w:t>
            </w:r>
            <w:r>
              <w:rPr>
                <w:rFonts w:ascii="宋体" w:hAnsi="宋体"/>
                <w:bCs/>
                <w:sz w:val="18"/>
                <w:szCs w:val="18"/>
                <w:highlight w:val="none"/>
              </w:rPr>
              <w:t>。公司主要</w:t>
            </w:r>
            <w:r>
              <w:rPr>
                <w:rFonts w:hint="eastAsia" w:ascii="宋体" w:hAnsi="宋体"/>
                <w:bCs/>
                <w:sz w:val="18"/>
                <w:szCs w:val="18"/>
                <w:highlight w:val="none"/>
              </w:rPr>
              <w:t>业务范围为：面向不特定社会公众公开发行理财产品，对受托的投资者财产进行投资和管理；面向合格投资者非公开发行理财产品，对受托的投资者财产进行投资和管理；理财顾问和咨询服务；经国务院银行业监督管理机构批准的其他业务等。</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170" w:hRule="exact"/>
          <w:jc w:val="center"/>
        </w:trPr>
        <w:tc>
          <w:tcPr>
            <w:tcW w:w="9221" w:type="dxa"/>
            <w:gridSpan w:val="6"/>
            <w:shd w:val="pct10" w:color="FFFFFF" w:fill="A5A5A5"/>
            <w:vAlign w:val="center"/>
          </w:tcPr>
          <w:p>
            <w:pPr>
              <w:spacing w:line="360" w:lineRule="auto"/>
              <w:jc w:val="left"/>
              <w:rPr>
                <w:rFonts w:ascii="宋体" w:hAnsi="宋体"/>
                <w:bCs/>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291" w:hRule="atLeast"/>
          <w:jc w:val="center"/>
        </w:trPr>
        <w:tc>
          <w:tcPr>
            <w:tcW w:w="1142" w:type="dxa"/>
            <w:vMerge w:val="restart"/>
            <w:shd w:val="solid" w:color="FFFFFF" w:fill="FFFFFF"/>
            <w:vAlign w:val="center"/>
          </w:tcPr>
          <w:p>
            <w:pPr>
              <w:spacing w:line="360" w:lineRule="auto"/>
              <w:jc w:val="left"/>
              <w:rPr>
                <w:rFonts w:ascii="宋体" w:hAnsi="宋体"/>
                <w:b/>
                <w:bCs/>
                <w:sz w:val="18"/>
                <w:szCs w:val="18"/>
                <w:highlight w:val="none"/>
              </w:rPr>
            </w:pPr>
            <w:r>
              <w:rPr>
                <w:rFonts w:hint="eastAsia" w:ascii="宋体" w:hAnsi="宋体"/>
                <w:b/>
                <w:bCs/>
                <w:sz w:val="18"/>
                <w:szCs w:val="18"/>
                <w:highlight w:val="none"/>
              </w:rPr>
              <w:t>理财产品信息</w:t>
            </w:r>
          </w:p>
        </w:tc>
        <w:tc>
          <w:tcPr>
            <w:tcW w:w="1690" w:type="dxa"/>
            <w:gridSpan w:val="2"/>
            <w:shd w:val="solid" w:color="FFFFFF" w:fill="FFFFFF"/>
          </w:tcPr>
          <w:p>
            <w:pPr>
              <w:spacing w:line="360" w:lineRule="auto"/>
              <w:jc w:val="left"/>
              <w:rPr>
                <w:rFonts w:ascii="宋体" w:hAnsi="宋体"/>
                <w:b/>
                <w:bCs/>
                <w:sz w:val="18"/>
                <w:szCs w:val="18"/>
                <w:highlight w:val="none"/>
              </w:rPr>
            </w:pPr>
            <w:r>
              <w:rPr>
                <w:rFonts w:hint="eastAsia" w:hAnsi="宋体"/>
                <w:sz w:val="18"/>
                <w:szCs w:val="18"/>
                <w:highlight w:val="none"/>
              </w:rPr>
              <w:t>★</w:t>
            </w:r>
            <w:r>
              <w:rPr>
                <w:rFonts w:hint="eastAsia" w:ascii="宋体" w:hAnsi="宋体"/>
                <w:b/>
                <w:bCs/>
                <w:sz w:val="18"/>
                <w:szCs w:val="18"/>
                <w:highlight w:val="none"/>
              </w:rPr>
              <w:t>理财产品名称</w:t>
            </w:r>
          </w:p>
        </w:tc>
        <w:tc>
          <w:tcPr>
            <w:tcW w:w="6389" w:type="dxa"/>
            <w:gridSpan w:val="3"/>
            <w:shd w:val="solid" w:color="FFFFFF" w:fill="FFFFFF"/>
          </w:tcPr>
          <w:p>
            <w:pPr>
              <w:spacing w:line="360" w:lineRule="auto"/>
              <w:jc w:val="left"/>
              <w:rPr>
                <w:rFonts w:ascii="宋体" w:hAnsi="宋体"/>
                <w:bCs/>
                <w:sz w:val="18"/>
                <w:szCs w:val="18"/>
                <w:highlight w:val="none"/>
              </w:rPr>
            </w:pPr>
            <w:r>
              <w:rPr>
                <w:rFonts w:hint="eastAsia" w:ascii="宋体" w:hAnsi="宋体"/>
                <w:bCs/>
                <w:sz w:val="18"/>
                <w:szCs w:val="18"/>
                <w:highlight w:val="none"/>
              </w:rPr>
              <w:t>【</w:t>
            </w:r>
            <w:r>
              <w:rPr>
                <w:rFonts w:hint="eastAsia" w:ascii="宋体" w:hAnsi="宋体"/>
                <w:bCs/>
                <w:sz w:val="18"/>
                <w:szCs w:val="18"/>
                <w:highlight w:val="none"/>
                <w:lang w:val="en-US" w:eastAsia="zh-CN"/>
              </w:rPr>
              <w:t>渤银理财财收有略系列固定收益类九个月封闭式理财产品2026年7号</w:t>
            </w:r>
            <w:r>
              <w:rPr>
                <w:rFonts w:hint="eastAsia" w:ascii="宋体" w:hAnsi="宋体"/>
                <w:bCs/>
                <w:sz w:val="18"/>
                <w:szCs w:val="18"/>
                <w:highlight w:val="none"/>
              </w:rPr>
              <w:t>】</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291" w:hRule="atLeast"/>
          <w:jc w:val="center"/>
        </w:trPr>
        <w:tc>
          <w:tcPr>
            <w:tcW w:w="1142" w:type="dxa"/>
            <w:vMerge w:val="continue"/>
            <w:shd w:val="solid" w:color="FFFFFF" w:fill="FFFFFF"/>
            <w:vAlign w:val="center"/>
          </w:tcPr>
          <w:p>
            <w:pPr>
              <w:spacing w:line="360" w:lineRule="auto"/>
              <w:jc w:val="left"/>
              <w:rPr>
                <w:rFonts w:ascii="宋体" w:hAnsi="宋体"/>
                <w:b/>
                <w:bCs/>
                <w:sz w:val="18"/>
                <w:szCs w:val="18"/>
                <w:highlight w:val="none"/>
              </w:rPr>
            </w:pPr>
          </w:p>
        </w:tc>
        <w:tc>
          <w:tcPr>
            <w:tcW w:w="1690" w:type="dxa"/>
            <w:gridSpan w:val="2"/>
            <w:shd w:val="solid" w:color="FFFFFF" w:fill="FFFFFF"/>
          </w:tcPr>
          <w:p>
            <w:pPr>
              <w:spacing w:line="360" w:lineRule="auto"/>
              <w:jc w:val="left"/>
              <w:rPr>
                <w:rFonts w:ascii="宋体" w:hAnsi="宋体"/>
                <w:b/>
                <w:bCs/>
                <w:sz w:val="18"/>
                <w:szCs w:val="18"/>
                <w:highlight w:val="none"/>
              </w:rPr>
            </w:pPr>
            <w:r>
              <w:rPr>
                <w:rFonts w:hint="eastAsia" w:hAnsi="宋体"/>
                <w:sz w:val="18"/>
                <w:szCs w:val="18"/>
                <w:highlight w:val="none"/>
              </w:rPr>
              <w:t>★理财信息</w:t>
            </w:r>
            <w:r>
              <w:rPr>
                <w:rFonts w:hint="eastAsia" w:ascii="宋体" w:hAnsi="宋体"/>
                <w:b/>
                <w:bCs/>
                <w:sz w:val="18"/>
                <w:szCs w:val="18"/>
                <w:highlight w:val="none"/>
              </w:rPr>
              <w:t>登记系统编码</w:t>
            </w:r>
          </w:p>
        </w:tc>
        <w:tc>
          <w:tcPr>
            <w:tcW w:w="6389" w:type="dxa"/>
            <w:gridSpan w:val="3"/>
            <w:shd w:val="solid" w:color="FFFFFF" w:fill="FFFFFF"/>
          </w:tcPr>
          <w:p>
            <w:pPr>
              <w:spacing w:line="360" w:lineRule="auto"/>
              <w:jc w:val="left"/>
              <w:rPr>
                <w:rFonts w:ascii="宋体" w:hAnsi="宋体"/>
                <w:bCs/>
                <w:sz w:val="18"/>
                <w:szCs w:val="18"/>
                <w:highlight w:val="none"/>
              </w:rPr>
            </w:pPr>
            <w:r>
              <w:rPr>
                <w:rFonts w:hint="eastAsia" w:ascii="宋体" w:hAnsi="宋体"/>
                <w:bCs/>
                <w:sz w:val="18"/>
                <w:szCs w:val="18"/>
                <w:highlight w:val="none"/>
              </w:rPr>
              <w:t>【</w:t>
            </w:r>
            <w:r>
              <w:rPr>
                <w:rFonts w:hint="eastAsia" w:ascii="宋体" w:hAnsi="宋体"/>
                <w:bCs/>
                <w:sz w:val="18"/>
                <w:szCs w:val="18"/>
                <w:highlight w:val="none"/>
                <w:lang w:val="en-US" w:eastAsia="zh-CN"/>
              </w:rPr>
              <w:t>Z7008426000065</w:t>
            </w:r>
            <w:r>
              <w:rPr>
                <w:rFonts w:hint="eastAsia" w:ascii="宋体" w:hAnsi="宋体"/>
                <w:bCs/>
                <w:sz w:val="18"/>
                <w:szCs w:val="18"/>
                <w:highlight w:val="none"/>
              </w:rPr>
              <w:t>】注：投资者可依据理财信息登记系统编码在中国理财网查询产品信息</w:t>
            </w:r>
            <w:r>
              <w:rPr>
                <w:highlight w:val="none"/>
              </w:rPr>
              <w:fldChar w:fldCharType="begin"/>
            </w:r>
            <w:r>
              <w:rPr>
                <w:highlight w:val="none"/>
              </w:rPr>
              <w:instrText xml:space="preserve"> HYPERLINK "http://www.chinawealth.com.cn" </w:instrText>
            </w:r>
            <w:r>
              <w:rPr>
                <w:highlight w:val="none"/>
              </w:rPr>
              <w:fldChar w:fldCharType="separate"/>
            </w:r>
            <w:r>
              <w:rPr>
                <w:rFonts w:ascii="宋体" w:hAnsi="宋体"/>
                <w:bCs/>
                <w:sz w:val="18"/>
                <w:szCs w:val="18"/>
                <w:highlight w:val="none"/>
              </w:rPr>
              <w:t>www.chinawealth.com.cn</w:t>
            </w:r>
            <w:r>
              <w:rPr>
                <w:rFonts w:ascii="宋体" w:hAnsi="宋体"/>
                <w:bCs/>
                <w:sz w:val="18"/>
                <w:szCs w:val="18"/>
                <w:highlight w:val="none"/>
              </w:rPr>
              <w:fldChar w:fldCharType="end"/>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90" w:hRule="atLeast"/>
          <w:jc w:val="center"/>
        </w:trPr>
        <w:tc>
          <w:tcPr>
            <w:tcW w:w="1142" w:type="dxa"/>
            <w:vMerge w:val="continue"/>
            <w:shd w:val="solid" w:color="FFFFFF" w:fill="FFFFFF"/>
            <w:vAlign w:val="center"/>
          </w:tcPr>
          <w:p>
            <w:pPr>
              <w:spacing w:line="360" w:lineRule="auto"/>
              <w:jc w:val="left"/>
              <w:rPr>
                <w:rFonts w:ascii="宋体" w:hAnsi="宋体"/>
                <w:b/>
                <w:bCs/>
                <w:sz w:val="18"/>
                <w:szCs w:val="18"/>
                <w:highlight w:val="none"/>
              </w:rPr>
            </w:pPr>
          </w:p>
        </w:tc>
        <w:tc>
          <w:tcPr>
            <w:tcW w:w="1690" w:type="dxa"/>
            <w:gridSpan w:val="2"/>
            <w:shd w:val="solid" w:color="FFFFFF" w:fill="FFFFFF"/>
            <w:vAlign w:val="center"/>
          </w:tcPr>
          <w:p>
            <w:pPr>
              <w:spacing w:line="360" w:lineRule="auto"/>
              <w:jc w:val="left"/>
              <w:rPr>
                <w:rFonts w:ascii="宋体" w:hAnsi="宋体"/>
                <w:b/>
                <w:bCs/>
                <w:sz w:val="18"/>
                <w:szCs w:val="18"/>
                <w:highlight w:val="none"/>
              </w:rPr>
            </w:pPr>
            <w:r>
              <w:rPr>
                <w:rFonts w:hint="eastAsia" w:hAnsi="宋体"/>
                <w:sz w:val="18"/>
                <w:szCs w:val="18"/>
                <w:highlight w:val="none"/>
              </w:rPr>
              <w:t>★</w:t>
            </w:r>
            <w:r>
              <w:rPr>
                <w:rFonts w:hint="eastAsia" w:ascii="宋体" w:hAnsi="宋体"/>
                <w:b/>
                <w:bCs/>
                <w:sz w:val="18"/>
                <w:szCs w:val="18"/>
                <w:highlight w:val="none"/>
              </w:rPr>
              <w:t>产品</w:t>
            </w:r>
            <w:r>
              <w:rPr>
                <w:rFonts w:ascii="宋体" w:hAnsi="宋体"/>
                <w:b/>
                <w:bCs/>
                <w:sz w:val="18"/>
                <w:szCs w:val="18"/>
                <w:highlight w:val="none"/>
              </w:rPr>
              <w:t>代码</w:t>
            </w:r>
          </w:p>
        </w:tc>
        <w:tc>
          <w:tcPr>
            <w:tcW w:w="6389" w:type="dxa"/>
            <w:gridSpan w:val="3"/>
            <w:shd w:val="solid" w:color="FFFFFF" w:fill="FFFFFF"/>
            <w:vAlign w:val="center"/>
          </w:tcPr>
          <w:p>
            <w:pPr>
              <w:spacing w:line="360" w:lineRule="auto"/>
              <w:jc w:val="left"/>
              <w:rPr>
                <w:rFonts w:ascii="宋体" w:hAnsi="宋体"/>
                <w:bCs/>
                <w:sz w:val="18"/>
                <w:szCs w:val="18"/>
                <w:highlight w:val="none"/>
              </w:rPr>
            </w:pPr>
            <w:r>
              <w:rPr>
                <w:rFonts w:ascii="宋体" w:hAnsi="宋体"/>
                <w:bCs/>
                <w:color w:val="000000"/>
                <w:sz w:val="18"/>
                <w:szCs w:val="18"/>
                <w:highlight w:val="none"/>
              </w:rPr>
              <w:t>【</w:t>
            </w:r>
            <w:r>
              <w:rPr>
                <w:rFonts w:hint="eastAsia" w:ascii="宋体" w:hAnsi="宋体"/>
                <w:bCs/>
                <w:color w:val="000000"/>
                <w:sz w:val="18"/>
                <w:szCs w:val="18"/>
                <w:highlight w:val="none"/>
                <w:lang w:val="en-US" w:eastAsia="zh-CN"/>
              </w:rPr>
              <w:t>CSFB9M26007</w:t>
            </w:r>
            <w:r>
              <w:rPr>
                <w:rFonts w:ascii="宋体" w:hAnsi="宋体"/>
                <w:bCs/>
                <w:color w:val="000000"/>
                <w:sz w:val="18"/>
                <w:szCs w:val="18"/>
                <w:highlight w:val="none"/>
              </w:rPr>
              <w:t>】</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170" w:hRule="exact"/>
          <w:jc w:val="center"/>
        </w:trPr>
        <w:tc>
          <w:tcPr>
            <w:tcW w:w="9221" w:type="dxa"/>
            <w:gridSpan w:val="6"/>
            <w:shd w:val="pct10" w:color="FFFFFF" w:fill="A5A5A5"/>
            <w:vAlign w:val="center"/>
          </w:tcPr>
          <w:p>
            <w:pPr>
              <w:spacing w:line="360" w:lineRule="auto"/>
              <w:jc w:val="left"/>
              <w:rPr>
                <w:rFonts w:ascii="宋体" w:hAnsi="宋体"/>
                <w:b/>
                <w:bCs/>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826" w:hRule="atLeast"/>
          <w:jc w:val="center"/>
        </w:trPr>
        <w:tc>
          <w:tcPr>
            <w:tcW w:w="1142" w:type="dxa"/>
            <w:shd w:val="solid" w:color="FFFFFF" w:fill="FFFFFF"/>
            <w:vAlign w:val="center"/>
          </w:tcPr>
          <w:p>
            <w:pPr>
              <w:pStyle w:val="4"/>
              <w:pBdr>
                <w:bottom w:val="none" w:color="auto" w:sz="0" w:space="0"/>
              </w:pBdr>
              <w:tabs>
                <w:tab w:val="clear" w:pos="4153"/>
                <w:tab w:val="clear" w:pos="8306"/>
              </w:tabs>
              <w:snapToGrid/>
              <w:spacing w:line="360" w:lineRule="auto"/>
              <w:rPr>
                <w:rFonts w:ascii="宋体" w:hAnsi="宋体"/>
                <w:b/>
                <w:szCs w:val="18"/>
                <w:highlight w:val="none"/>
              </w:rPr>
            </w:pPr>
            <w:r>
              <w:rPr>
                <w:rFonts w:hint="eastAsia" w:ascii="宋体" w:hAnsi="宋体"/>
                <w:b/>
                <w:szCs w:val="18"/>
                <w:highlight w:val="none"/>
              </w:rPr>
              <w:t>理财产品指定账户信息</w:t>
            </w:r>
          </w:p>
        </w:tc>
        <w:tc>
          <w:tcPr>
            <w:tcW w:w="8079" w:type="dxa"/>
            <w:gridSpan w:val="5"/>
            <w:shd w:val="solid" w:color="FFFFFF" w:fill="FFFFFF"/>
            <w:vAlign w:val="center"/>
          </w:tcPr>
          <w:p>
            <w:pPr>
              <w:pStyle w:val="4"/>
              <w:pBdr>
                <w:bottom w:val="none" w:color="auto" w:sz="0" w:space="0"/>
              </w:pBdr>
              <w:tabs>
                <w:tab w:val="clear" w:pos="4153"/>
                <w:tab w:val="clear" w:pos="8306"/>
              </w:tabs>
              <w:snapToGrid/>
              <w:spacing w:line="360" w:lineRule="auto"/>
              <w:jc w:val="left"/>
              <w:rPr>
                <w:rFonts w:ascii="宋体" w:hAnsi="宋体"/>
                <w:b/>
                <w:szCs w:val="18"/>
                <w:highlight w:val="none"/>
              </w:rPr>
            </w:pPr>
            <w:r>
              <w:rPr>
                <w:rFonts w:hint="eastAsia" w:ascii="宋体" w:hAnsi="宋体"/>
                <w:szCs w:val="18"/>
                <w:highlight w:val="none"/>
              </w:rPr>
              <w:t>投资者</w:t>
            </w:r>
            <w:r>
              <w:rPr>
                <w:rFonts w:ascii="宋体" w:hAnsi="宋体"/>
                <w:szCs w:val="18"/>
                <w:highlight w:val="none"/>
              </w:rPr>
              <w:t>在</w:t>
            </w:r>
            <w:r>
              <w:rPr>
                <w:rFonts w:hint="eastAsia" w:ascii="宋体" w:hAnsi="宋体"/>
                <w:szCs w:val="18"/>
                <w:highlight w:val="none"/>
              </w:rPr>
              <w:t>销售服务机构</w:t>
            </w:r>
            <w:r>
              <w:rPr>
                <w:rFonts w:ascii="宋体" w:hAnsi="宋体"/>
                <w:szCs w:val="18"/>
                <w:highlight w:val="none"/>
              </w:rPr>
              <w:t>开立</w:t>
            </w:r>
            <w:r>
              <w:rPr>
                <w:rFonts w:hint="eastAsia" w:ascii="宋体" w:hAnsi="宋体"/>
                <w:szCs w:val="18"/>
                <w:highlight w:val="none"/>
              </w:rPr>
              <w:t>/留存的理财卡结算账户</w:t>
            </w:r>
            <w:r>
              <w:rPr>
                <w:rFonts w:hint="eastAsia" w:ascii="宋体" w:hAnsi="宋体"/>
                <w:spacing w:val="-6"/>
                <w:szCs w:val="18"/>
                <w:highlight w:val="none"/>
              </w:rPr>
              <w:t>或存折结算账户（</w:t>
            </w:r>
            <w:r>
              <w:rPr>
                <w:rFonts w:hint="eastAsia" w:ascii="宋体" w:hAnsi="宋体"/>
                <w:szCs w:val="18"/>
                <w:highlight w:val="none"/>
              </w:rPr>
              <w:t>以下简称“指定账户”），</w:t>
            </w:r>
            <w:r>
              <w:rPr>
                <w:rFonts w:ascii="宋体" w:hAnsi="宋体"/>
                <w:szCs w:val="18"/>
                <w:highlight w:val="none"/>
              </w:rPr>
              <w:t>用于</w:t>
            </w:r>
            <w:r>
              <w:rPr>
                <w:rFonts w:hint="eastAsia" w:ascii="宋体" w:hAnsi="宋体"/>
                <w:szCs w:val="18"/>
                <w:highlight w:val="none"/>
              </w:rPr>
              <w:t>本产品的</w:t>
            </w:r>
            <w:r>
              <w:rPr>
                <w:rFonts w:ascii="宋体" w:hAnsi="宋体"/>
                <w:szCs w:val="18"/>
                <w:highlight w:val="none"/>
              </w:rPr>
              <w:t>资金划转及</w:t>
            </w:r>
            <w:r>
              <w:rPr>
                <w:rFonts w:hint="eastAsia" w:ascii="宋体" w:hAnsi="宋体"/>
                <w:szCs w:val="18"/>
                <w:highlight w:val="none"/>
              </w:rPr>
              <w:t>产品分配，账号：</w:t>
            </w:r>
            <w:r>
              <w:rPr>
                <w:rFonts w:ascii="宋体" w:hAnsi="宋体"/>
                <w:szCs w:val="18"/>
                <w:highlight w:val="none"/>
                <w:u w:val="single"/>
              </w:rPr>
              <w:t xml:space="preserve">　                     </w:t>
            </w:r>
            <w:r>
              <w:rPr>
                <w:rFonts w:hint="eastAsia" w:ascii="宋体" w:hAnsi="宋体"/>
                <w:szCs w:val="18"/>
                <w:highlight w:val="none"/>
              </w:rPr>
              <w:t>。</w:t>
            </w:r>
          </w:p>
        </w:tc>
      </w:tr>
    </w:tbl>
    <w:p>
      <w:pPr>
        <w:widowControl/>
        <w:spacing w:line="360" w:lineRule="auto"/>
        <w:jc w:val="left"/>
        <w:rPr>
          <w:bCs/>
          <w:sz w:val="32"/>
          <w:highlight w:val="none"/>
        </w:rPr>
      </w:pPr>
      <w:r>
        <w:rPr>
          <w:rFonts w:hint="eastAsia"/>
          <w:bCs/>
          <w:sz w:val="32"/>
          <w:highlight w:val="none"/>
        </w:rPr>
        <w:t xml:space="preserve"> </w:t>
      </w:r>
    </w:p>
    <w:p>
      <w:pPr>
        <w:tabs>
          <w:tab w:val="left" w:pos="8070"/>
          <w:tab w:val="right" w:pos="8306"/>
        </w:tabs>
        <w:autoSpaceDE w:val="0"/>
        <w:autoSpaceDN w:val="0"/>
        <w:adjustRightInd w:val="0"/>
        <w:snapToGrid w:val="0"/>
        <w:spacing w:line="360" w:lineRule="auto"/>
        <w:rPr>
          <w:rFonts w:ascii="宋体" w:hAnsi="宋体" w:cs="仿宋_GB2312"/>
          <w:b/>
          <w:kern w:val="0"/>
          <w:sz w:val="18"/>
          <w:szCs w:val="18"/>
          <w:highlight w:val="none"/>
        </w:rPr>
        <w:sectPr>
          <w:headerReference r:id="rId3" w:type="default"/>
          <w:footerReference r:id="rId4" w:type="default"/>
          <w:pgSz w:w="11906" w:h="16838"/>
          <w:pgMar w:top="1440" w:right="1800" w:bottom="1440" w:left="1800" w:header="567" w:footer="992" w:gutter="0"/>
          <w:pgNumType w:start="0"/>
          <w:cols w:space="720" w:num="1"/>
          <w:titlePg/>
          <w:docGrid w:type="lines" w:linePitch="312" w:charSpace="0"/>
        </w:sectPr>
      </w:pPr>
    </w:p>
    <w:p>
      <w:pPr>
        <w:pStyle w:val="10"/>
        <w:snapToGrid w:val="0"/>
        <w:spacing w:line="480" w:lineRule="auto"/>
        <w:ind w:firstLine="361" w:firstLineChars="200"/>
        <w:rPr>
          <w:rFonts w:hAnsi="宋体"/>
          <w:b/>
          <w:color w:val="auto"/>
          <w:sz w:val="18"/>
          <w:szCs w:val="18"/>
          <w:highlight w:val="none"/>
        </w:rPr>
      </w:pPr>
      <w:r>
        <w:rPr>
          <w:rFonts w:hint="eastAsia" w:hAnsi="宋体"/>
          <w:b/>
          <w:color w:val="auto"/>
          <w:sz w:val="18"/>
          <w:szCs w:val="18"/>
          <w:highlight w:val="none"/>
        </w:rPr>
        <w:t>尊敬的投资者：</w:t>
      </w:r>
    </w:p>
    <w:p>
      <w:pPr>
        <w:pStyle w:val="10"/>
        <w:snapToGrid w:val="0"/>
        <w:spacing w:before="312" w:beforeLines="100" w:after="312" w:afterLines="100" w:line="360" w:lineRule="auto"/>
        <w:ind w:firstLine="360" w:firstLineChars="200"/>
        <w:rPr>
          <w:rFonts w:hAnsi="宋体"/>
          <w:bCs/>
          <w:color w:val="auto"/>
          <w:sz w:val="18"/>
          <w:szCs w:val="18"/>
          <w:highlight w:val="none"/>
        </w:rPr>
      </w:pPr>
      <w:r>
        <w:rPr>
          <w:rFonts w:hint="eastAsia" w:hAnsi="宋体"/>
          <w:bCs/>
          <w:color w:val="auto"/>
          <w:sz w:val="18"/>
          <w:szCs w:val="18"/>
          <w:highlight w:val="none"/>
        </w:rPr>
        <w:t>您（作为投资者）为自愿购买本</w:t>
      </w:r>
      <w:r>
        <w:rPr>
          <w:rFonts w:hAnsi="宋体"/>
          <w:bCs/>
          <w:color w:val="auto"/>
          <w:sz w:val="18"/>
          <w:szCs w:val="18"/>
          <w:highlight w:val="none"/>
        </w:rPr>
        <w:t>理财产品管理人</w:t>
      </w:r>
      <w:r>
        <w:rPr>
          <w:rFonts w:hint="eastAsia" w:hAnsi="宋体"/>
          <w:bCs/>
          <w:color w:val="auto"/>
          <w:sz w:val="18"/>
          <w:szCs w:val="18"/>
          <w:highlight w:val="none"/>
        </w:rPr>
        <w:t>管理</w:t>
      </w:r>
      <w:r>
        <w:rPr>
          <w:rFonts w:hAnsi="宋体"/>
          <w:bCs/>
          <w:color w:val="auto"/>
          <w:sz w:val="18"/>
          <w:szCs w:val="18"/>
          <w:highlight w:val="none"/>
        </w:rPr>
        <w:t>的</w:t>
      </w:r>
      <w:r>
        <w:rPr>
          <w:rFonts w:hint="eastAsia" w:hAnsi="宋体"/>
          <w:bCs/>
          <w:color w:val="auto"/>
          <w:sz w:val="18"/>
          <w:szCs w:val="18"/>
          <w:highlight w:val="none"/>
        </w:rPr>
        <w:t>理财产品</w:t>
      </w:r>
      <w:r>
        <w:rPr>
          <w:rFonts w:hAnsi="宋体"/>
          <w:bCs/>
          <w:color w:val="auto"/>
          <w:sz w:val="18"/>
          <w:szCs w:val="18"/>
          <w:highlight w:val="none"/>
        </w:rPr>
        <w:t>，</w:t>
      </w:r>
      <w:r>
        <w:rPr>
          <w:rFonts w:hint="eastAsia" w:hAnsi="宋体"/>
          <w:bCs/>
          <w:color w:val="auto"/>
          <w:sz w:val="18"/>
          <w:szCs w:val="18"/>
          <w:highlight w:val="none"/>
        </w:rPr>
        <w:t>双方经友好协商，本着平等自愿、诚实信用的原则，达成协议如下：</w:t>
      </w:r>
    </w:p>
    <w:bookmarkEnd w:id="10"/>
    <w:bookmarkEnd w:id="11"/>
    <w:bookmarkEnd w:id="12"/>
    <w:bookmarkEnd w:id="13"/>
    <w:p>
      <w:pPr>
        <w:pStyle w:val="2"/>
        <w:adjustRightInd w:val="0"/>
        <w:snapToGrid w:val="0"/>
        <w:spacing w:before="0" w:after="0" w:line="480" w:lineRule="auto"/>
        <w:ind w:firstLine="602" w:firstLineChars="200"/>
        <w:jc w:val="center"/>
        <w:rPr>
          <w:rFonts w:ascii="Times New Roman"/>
          <w:color w:val="auto"/>
          <w:sz w:val="30"/>
          <w:highlight w:val="none"/>
        </w:rPr>
      </w:pPr>
      <w:bookmarkStart w:id="14" w:name="_Toc15517"/>
      <w:bookmarkStart w:id="15" w:name="_Toc32639"/>
      <w:bookmarkStart w:id="16" w:name="_Toc4867"/>
      <w:bookmarkStart w:id="17" w:name="_Toc123112229"/>
      <w:bookmarkStart w:id="18" w:name="_Toc26897"/>
      <w:bookmarkStart w:id="19" w:name="_Toc141703880"/>
      <w:bookmarkStart w:id="20" w:name="_Toc123701389"/>
      <w:bookmarkStart w:id="21" w:name="_Toc123112268"/>
      <w:bookmarkStart w:id="22" w:name="_Toc8727"/>
      <w:bookmarkStart w:id="23" w:name="_Toc4966"/>
      <w:bookmarkStart w:id="24" w:name="_Toc6306"/>
      <w:bookmarkStart w:id="25" w:name="_Toc30935"/>
      <w:bookmarkStart w:id="26" w:name="_Toc29629"/>
      <w:bookmarkStart w:id="27" w:name="_Toc23386"/>
      <w:bookmarkStart w:id="28" w:name="_Toc139991730"/>
      <w:bookmarkStart w:id="29" w:name="_Toc95897036"/>
      <w:bookmarkStart w:id="30" w:name="_Toc88482730"/>
      <w:bookmarkStart w:id="31" w:name="_Toc74065738"/>
      <w:bookmarkStart w:id="32" w:name="_Toc233456271"/>
      <w:r>
        <w:rPr>
          <w:rFonts w:hint="eastAsia" w:ascii="Times New Roman"/>
          <w:color w:val="auto"/>
          <w:sz w:val="30"/>
          <w:highlight w:val="none"/>
        </w:rPr>
        <w:t>第一条</w:t>
      </w:r>
      <w:r>
        <w:rPr>
          <w:rFonts w:ascii="Times New Roman"/>
          <w:color w:val="auto"/>
          <w:sz w:val="30"/>
          <w:highlight w:val="none"/>
        </w:rPr>
        <w:t xml:space="preserve">  </w:t>
      </w:r>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Start w:id="33" w:name="_Toc24860"/>
      <w:bookmarkStart w:id="34" w:name="_Toc6617"/>
      <w:bookmarkStart w:id="35" w:name="_Toc21301"/>
      <w:bookmarkStart w:id="36" w:name="_Toc22864"/>
      <w:bookmarkStart w:id="37" w:name="_Toc15067"/>
      <w:bookmarkStart w:id="38" w:name="_Toc2465"/>
      <w:bookmarkStart w:id="39" w:name="_Toc258829399"/>
      <w:bookmarkStart w:id="40" w:name="_Toc19592"/>
      <w:bookmarkStart w:id="41" w:name="_Toc3224"/>
      <w:bookmarkStart w:id="42" w:name="_Toc13020"/>
      <w:bookmarkStart w:id="43" w:name="_Toc819"/>
      <w:r>
        <w:rPr>
          <w:rFonts w:hint="eastAsia" w:ascii="Times New Roman"/>
          <w:color w:val="auto"/>
          <w:sz w:val="30"/>
          <w:highlight w:val="none"/>
        </w:rPr>
        <w:t>前言</w:t>
      </w:r>
      <w:bookmarkEnd w:id="29"/>
      <w:bookmarkEnd w:id="30"/>
    </w:p>
    <w:p>
      <w:pPr>
        <w:pStyle w:val="10"/>
        <w:snapToGrid w:val="0"/>
        <w:spacing w:line="360" w:lineRule="auto"/>
        <w:ind w:firstLine="361" w:firstLineChars="200"/>
        <w:rPr>
          <w:rFonts w:hAnsi="宋体"/>
          <w:b/>
          <w:bCs/>
          <w:color w:val="auto"/>
          <w:sz w:val="18"/>
          <w:szCs w:val="18"/>
          <w:highlight w:val="none"/>
        </w:rPr>
      </w:pPr>
      <w:r>
        <w:rPr>
          <w:rFonts w:hint="eastAsia" w:hAnsi="宋体"/>
          <w:b/>
          <w:bCs/>
          <w:color w:val="auto"/>
          <w:sz w:val="18"/>
          <w:szCs w:val="18"/>
          <w:highlight w:val="none"/>
        </w:rPr>
        <w:t>（一）订立本投资协议书的目的、依据和原则</w:t>
      </w:r>
    </w:p>
    <w:p>
      <w:pPr>
        <w:pStyle w:val="10"/>
        <w:snapToGrid w:val="0"/>
        <w:spacing w:line="360" w:lineRule="auto"/>
        <w:ind w:firstLine="360" w:firstLineChars="200"/>
        <w:rPr>
          <w:rFonts w:hAnsi="宋体"/>
          <w:bCs/>
          <w:color w:val="auto"/>
          <w:sz w:val="18"/>
          <w:szCs w:val="18"/>
          <w:highlight w:val="none"/>
        </w:rPr>
      </w:pPr>
      <w:r>
        <w:rPr>
          <w:rFonts w:hAnsi="宋体"/>
          <w:bCs/>
          <w:color w:val="auto"/>
          <w:sz w:val="18"/>
          <w:szCs w:val="18"/>
          <w:highlight w:val="none"/>
        </w:rPr>
        <w:t>1</w:t>
      </w:r>
      <w:r>
        <w:rPr>
          <w:rFonts w:hint="eastAsia" w:hAnsi="宋体"/>
          <w:bCs/>
          <w:color w:val="auto"/>
          <w:sz w:val="18"/>
          <w:szCs w:val="18"/>
          <w:highlight w:val="none"/>
        </w:rPr>
        <w:t>、订立本投资协议书的目的是保护投资者合法权益，明确投资协议书当事人的权利义务，规范理财产品运作。</w:t>
      </w:r>
    </w:p>
    <w:p>
      <w:pPr>
        <w:pStyle w:val="10"/>
        <w:snapToGrid w:val="0"/>
        <w:spacing w:line="360" w:lineRule="auto"/>
        <w:ind w:firstLine="360" w:firstLineChars="200"/>
        <w:rPr>
          <w:rFonts w:hAnsi="宋体"/>
          <w:bCs/>
          <w:color w:val="auto"/>
          <w:sz w:val="18"/>
          <w:szCs w:val="18"/>
          <w:highlight w:val="none"/>
        </w:rPr>
      </w:pPr>
      <w:r>
        <w:rPr>
          <w:rFonts w:hAnsi="宋体"/>
          <w:bCs/>
          <w:color w:val="auto"/>
          <w:sz w:val="18"/>
          <w:szCs w:val="18"/>
          <w:highlight w:val="none"/>
        </w:rPr>
        <w:t>2</w:t>
      </w:r>
      <w:r>
        <w:rPr>
          <w:rFonts w:hint="eastAsia" w:hAnsi="宋体"/>
          <w:bCs/>
          <w:color w:val="auto"/>
          <w:sz w:val="18"/>
          <w:szCs w:val="18"/>
          <w:highlight w:val="none"/>
        </w:rPr>
        <w:t>、订立本投资协议书的依据是《中华人民共和国民法典》等法律法规、《关于规范金融机构资产管理业务的指导意见》（银发</w:t>
      </w:r>
      <w:r>
        <w:rPr>
          <w:rFonts w:hAnsi="宋体"/>
          <w:bCs/>
          <w:color w:val="auto"/>
          <w:sz w:val="18"/>
          <w:szCs w:val="18"/>
          <w:highlight w:val="none"/>
        </w:rPr>
        <w:t>[2018]106</w:t>
      </w:r>
      <w:r>
        <w:rPr>
          <w:rFonts w:hint="eastAsia" w:hAnsi="宋体"/>
          <w:bCs/>
          <w:color w:val="auto"/>
          <w:sz w:val="18"/>
          <w:szCs w:val="18"/>
          <w:highlight w:val="none"/>
        </w:rPr>
        <w:t>号）、《商业银行理财业务监督管理办法》（银保监会令</w:t>
      </w:r>
      <w:r>
        <w:rPr>
          <w:rFonts w:hAnsi="宋体"/>
          <w:bCs/>
          <w:color w:val="auto"/>
          <w:sz w:val="18"/>
          <w:szCs w:val="18"/>
          <w:highlight w:val="none"/>
        </w:rPr>
        <w:t xml:space="preserve"> </w:t>
      </w:r>
      <w:r>
        <w:rPr>
          <w:rFonts w:hint="eastAsia" w:hAnsi="宋体"/>
          <w:bCs/>
          <w:color w:val="auto"/>
          <w:sz w:val="18"/>
          <w:szCs w:val="18"/>
          <w:highlight w:val="none"/>
        </w:rPr>
        <w:t>2018年第</w:t>
      </w:r>
      <w:r>
        <w:rPr>
          <w:rFonts w:hAnsi="宋体"/>
          <w:bCs/>
          <w:color w:val="auto"/>
          <w:sz w:val="18"/>
          <w:szCs w:val="18"/>
          <w:highlight w:val="none"/>
        </w:rPr>
        <w:t>6</w:t>
      </w:r>
      <w:r>
        <w:rPr>
          <w:rFonts w:hint="eastAsia" w:hAnsi="宋体"/>
          <w:bCs/>
          <w:color w:val="auto"/>
          <w:sz w:val="18"/>
          <w:szCs w:val="18"/>
          <w:highlight w:val="none"/>
        </w:rPr>
        <w:t>号）、</w:t>
      </w:r>
      <w:bookmarkStart w:id="44" w:name="_Toc59965743"/>
      <w:r>
        <w:rPr>
          <w:rFonts w:hint="eastAsia" w:hAnsi="宋体"/>
          <w:bCs/>
          <w:color w:val="auto"/>
          <w:sz w:val="18"/>
          <w:szCs w:val="18"/>
          <w:highlight w:val="none"/>
        </w:rPr>
        <w:t>《商业银行理财子公司管理办法》</w:t>
      </w:r>
      <w:bookmarkEnd w:id="44"/>
      <w:r>
        <w:rPr>
          <w:rFonts w:hint="eastAsia" w:hAnsi="宋体"/>
          <w:bCs/>
          <w:color w:val="auto"/>
          <w:sz w:val="18"/>
          <w:szCs w:val="18"/>
          <w:highlight w:val="none"/>
        </w:rPr>
        <w:t>（银保监会令2018年第7号）、《理财公司理财产品销售管理暂行办法》（银保监会令2021年第4号）等监管规定及其他有关规定。</w:t>
      </w:r>
    </w:p>
    <w:p>
      <w:pPr>
        <w:pStyle w:val="10"/>
        <w:snapToGrid w:val="0"/>
        <w:spacing w:line="360" w:lineRule="auto"/>
        <w:ind w:firstLine="360" w:firstLineChars="200"/>
        <w:rPr>
          <w:rFonts w:hAnsi="宋体"/>
          <w:bCs/>
          <w:color w:val="auto"/>
          <w:sz w:val="18"/>
          <w:szCs w:val="18"/>
          <w:highlight w:val="none"/>
        </w:rPr>
      </w:pPr>
      <w:r>
        <w:rPr>
          <w:rFonts w:hAnsi="宋体"/>
          <w:bCs/>
          <w:color w:val="auto"/>
          <w:sz w:val="18"/>
          <w:szCs w:val="18"/>
          <w:highlight w:val="none"/>
        </w:rPr>
        <w:t>3</w:t>
      </w:r>
      <w:r>
        <w:rPr>
          <w:rFonts w:hint="eastAsia" w:hAnsi="宋体"/>
          <w:bCs/>
          <w:color w:val="auto"/>
          <w:sz w:val="18"/>
          <w:szCs w:val="18"/>
          <w:highlight w:val="none"/>
        </w:rPr>
        <w:t>、订立本投资协议书的原则是平等自愿、诚实信用、充分保护投资者合法权益。</w:t>
      </w:r>
    </w:p>
    <w:p>
      <w:pPr>
        <w:pStyle w:val="10"/>
        <w:snapToGrid w:val="0"/>
        <w:spacing w:line="360" w:lineRule="auto"/>
        <w:ind w:firstLine="360" w:firstLineChars="200"/>
        <w:rPr>
          <w:rFonts w:hAnsi="宋体"/>
          <w:bCs/>
          <w:color w:val="auto"/>
          <w:sz w:val="18"/>
          <w:szCs w:val="18"/>
          <w:highlight w:val="none"/>
        </w:rPr>
      </w:pPr>
      <w:r>
        <w:rPr>
          <w:rFonts w:hint="eastAsia" w:hAnsi="宋体"/>
          <w:bCs/>
          <w:color w:val="auto"/>
          <w:sz w:val="18"/>
          <w:szCs w:val="18"/>
          <w:highlight w:val="none"/>
        </w:rPr>
        <w:t>（二）投资协议书是规定投资协议书当事人之间权利义务关系的基本法律文件，其他与理财产品相关的涉及投资协议书当事人之间权利义务关系的任何文件或表述，如与投资协议书有冲突，均以投资协议书为准。投资协议书当事人按照法律法规、监管规定及其他有关规定以及投资协议书约定享有权利、承担义务。</w:t>
      </w:r>
    </w:p>
    <w:p>
      <w:pPr>
        <w:pStyle w:val="10"/>
        <w:snapToGrid w:val="0"/>
        <w:spacing w:after="312" w:afterLines="100" w:line="360" w:lineRule="auto"/>
        <w:ind w:firstLine="360" w:firstLineChars="200"/>
        <w:rPr>
          <w:rFonts w:hAnsi="宋体"/>
          <w:bCs/>
          <w:color w:val="auto"/>
          <w:sz w:val="18"/>
          <w:szCs w:val="18"/>
          <w:highlight w:val="none"/>
        </w:rPr>
      </w:pPr>
      <w:r>
        <w:rPr>
          <w:rFonts w:hint="eastAsia" w:hAnsi="宋体"/>
          <w:bCs/>
          <w:color w:val="auto"/>
          <w:sz w:val="18"/>
          <w:szCs w:val="18"/>
          <w:highlight w:val="none"/>
        </w:rPr>
        <w:t>投资协议书的当事人包括产品管理人和产品份额持有人。理财产品投资者自依本投资协议书取得理财产品份额，即成为理财产品份额持有人和本投资协议书的当事人，其持有理财产品份额的行为本身即表明其对投资协议书的承认和接受。</w:t>
      </w:r>
    </w:p>
    <w:bookmarkEnd w:id="31"/>
    <w:p>
      <w:pPr>
        <w:pStyle w:val="2"/>
        <w:adjustRightInd w:val="0"/>
        <w:snapToGrid w:val="0"/>
        <w:spacing w:before="0" w:after="0" w:line="480" w:lineRule="auto"/>
        <w:ind w:firstLine="602" w:firstLineChars="200"/>
        <w:jc w:val="center"/>
        <w:rPr>
          <w:rFonts w:ascii="Times New Roman"/>
          <w:color w:val="auto"/>
          <w:sz w:val="30"/>
          <w:highlight w:val="none"/>
        </w:rPr>
      </w:pPr>
      <w:bookmarkStart w:id="45" w:name="_Toc88482731"/>
      <w:bookmarkStart w:id="46" w:name="_Toc95897037"/>
      <w:bookmarkStart w:id="47" w:name="_Toc74065739"/>
      <w:r>
        <w:rPr>
          <w:rFonts w:hint="eastAsia" w:ascii="Times New Roman"/>
          <w:color w:val="auto"/>
          <w:sz w:val="30"/>
          <w:highlight w:val="none"/>
        </w:rPr>
        <w:t>第二条  双方权利义务</w:t>
      </w:r>
      <w:bookmarkEnd w:id="45"/>
      <w:bookmarkEnd w:id="46"/>
    </w:p>
    <w:p>
      <w:pPr>
        <w:pStyle w:val="10"/>
        <w:snapToGrid w:val="0"/>
        <w:spacing w:line="360" w:lineRule="auto"/>
        <w:ind w:firstLine="360" w:firstLineChars="200"/>
        <w:outlineLvl w:val="1"/>
        <w:rPr>
          <w:rFonts w:hAnsi="宋体"/>
          <w:bCs/>
          <w:color w:val="auto"/>
          <w:sz w:val="18"/>
          <w:szCs w:val="18"/>
          <w:highlight w:val="none"/>
        </w:rPr>
      </w:pPr>
      <w:r>
        <w:rPr>
          <w:rFonts w:hint="eastAsia" w:hAnsi="宋体"/>
          <w:bCs/>
          <w:color w:val="auto"/>
          <w:sz w:val="18"/>
          <w:szCs w:val="18"/>
          <w:highlight w:val="none"/>
        </w:rPr>
        <w:t>（一）投资者权利与义务</w:t>
      </w:r>
    </w:p>
    <w:p>
      <w:pPr>
        <w:pStyle w:val="5"/>
        <w:adjustRightInd w:val="0"/>
        <w:snapToGrid w:val="0"/>
        <w:spacing w:before="0" w:beforeAutospacing="0" w:after="0" w:afterAutospacing="0" w:line="360" w:lineRule="auto"/>
        <w:ind w:firstLine="360" w:firstLineChars="200"/>
        <w:jc w:val="both"/>
        <w:rPr>
          <w:rFonts w:ascii="黑体" w:hAnsi="黑体" w:eastAsia="黑体"/>
          <w:bCs/>
          <w:sz w:val="18"/>
          <w:szCs w:val="18"/>
          <w:highlight w:val="none"/>
        </w:rPr>
      </w:pPr>
      <w:r>
        <w:rPr>
          <w:rFonts w:hint="eastAsia" w:ascii="黑体" w:hAnsi="黑体" w:eastAsia="黑体"/>
          <w:bCs/>
          <w:sz w:val="18"/>
          <w:szCs w:val="18"/>
          <w:highlight w:val="none"/>
        </w:rPr>
        <w:t>1.★投资者声明：投资者签署本协议符合对投资者具有约束力的法律法规等相关规定，不存在法律法规、有权机关或主管机关禁止或限制购买理财产品的各种情形，其购买理财产品的行为亦未违反任何限制性规定。投资者具有完全适当的资格与能力订立、接收及履行本协议以及以其为一方当事人的任何有关文件。投资者签署和履行本协议系其真实意思表示。投资者已经取得签订和履行本协议所需的一切有关批准、许可、备案或者登记。若投资者为个人投资者的，投资者确认其为具有完全民事行为能力的个人；若投资者为机构投资者的，投资者确认已经按照其章程或者其它内部管理文件的要求取得合法、有效的授权。否则，由此导致的后果应由投资者自行承担，并赔偿因此给产品管理人带来的损失。</w:t>
      </w:r>
    </w:p>
    <w:p>
      <w:pPr>
        <w:pStyle w:val="10"/>
        <w:snapToGrid w:val="0"/>
        <w:spacing w:line="360" w:lineRule="auto"/>
        <w:ind w:firstLine="360" w:firstLineChars="200"/>
        <w:rPr>
          <w:rFonts w:hAnsi="宋体"/>
          <w:bCs/>
          <w:color w:val="auto"/>
          <w:sz w:val="18"/>
          <w:szCs w:val="18"/>
          <w:highlight w:val="none"/>
        </w:rPr>
      </w:pPr>
      <w:r>
        <w:rPr>
          <w:rFonts w:hint="eastAsia" w:hAnsi="宋体"/>
          <w:bCs/>
          <w:color w:val="auto"/>
          <w:sz w:val="18"/>
          <w:szCs w:val="18"/>
          <w:highlight w:val="none"/>
        </w:rPr>
        <w:t>2.投资者购买本理财产品的资金为投资者有权处分的合法资金，投资者保证不使用贷款、发行债券等筹集的非自有资金投资理财产品。投资者保证投资本理财产品不存在违反监管要求的产品嵌套，以及以投资本理财产品规避投资范围、杠杆约束等监管要求等违规行为。</w:t>
      </w:r>
    </w:p>
    <w:p>
      <w:pPr>
        <w:pStyle w:val="5"/>
        <w:adjustRightInd w:val="0"/>
        <w:snapToGrid w:val="0"/>
        <w:spacing w:before="0" w:beforeAutospacing="0" w:after="0" w:afterAutospacing="0" w:line="360" w:lineRule="auto"/>
        <w:ind w:firstLine="360" w:firstLineChars="200"/>
        <w:jc w:val="both"/>
        <w:rPr>
          <w:rFonts w:ascii="黑体" w:hAnsi="黑体" w:eastAsia="黑体"/>
          <w:bCs/>
          <w:sz w:val="18"/>
          <w:szCs w:val="18"/>
          <w:highlight w:val="none"/>
        </w:rPr>
      </w:pPr>
      <w:r>
        <w:rPr>
          <w:rFonts w:hint="eastAsia" w:ascii="黑体" w:hAnsi="黑体" w:eastAsia="黑体"/>
          <w:bCs/>
          <w:sz w:val="18"/>
          <w:szCs w:val="18"/>
          <w:highlight w:val="none"/>
        </w:rPr>
        <w:t>3.★投资者保证熟悉理财产品类型特征及不同销售渠道的相关规定，了解理财产品直销与代销的相关区别。</w:t>
      </w:r>
    </w:p>
    <w:p>
      <w:pPr>
        <w:pStyle w:val="10"/>
        <w:snapToGrid w:val="0"/>
        <w:spacing w:line="360" w:lineRule="auto"/>
        <w:ind w:firstLine="360" w:firstLineChars="200"/>
        <w:rPr>
          <w:rFonts w:hAnsi="宋体"/>
          <w:bCs/>
          <w:color w:val="auto"/>
          <w:sz w:val="18"/>
          <w:szCs w:val="18"/>
          <w:highlight w:val="none"/>
        </w:rPr>
      </w:pPr>
      <w:r>
        <w:rPr>
          <w:rFonts w:hint="eastAsia" w:hAnsi="宋体"/>
          <w:bCs/>
          <w:color w:val="auto"/>
          <w:sz w:val="18"/>
          <w:szCs w:val="18"/>
          <w:highlight w:val="none"/>
        </w:rPr>
        <w:t>4.投资者应配合产品管理人或销售服务机构为识别合格投资者等目的进行的尽职调查及接受对其投资风险承受能力进行的测评。</w:t>
      </w:r>
    </w:p>
    <w:p>
      <w:pPr>
        <w:pStyle w:val="5"/>
        <w:adjustRightInd w:val="0"/>
        <w:snapToGrid w:val="0"/>
        <w:spacing w:before="0" w:beforeAutospacing="0" w:after="0" w:afterAutospacing="0" w:line="360" w:lineRule="auto"/>
        <w:ind w:firstLine="360" w:firstLineChars="200"/>
        <w:jc w:val="both"/>
        <w:rPr>
          <w:rFonts w:ascii="黑体" w:hAnsi="黑体" w:eastAsia="黑体"/>
          <w:bCs/>
          <w:sz w:val="18"/>
          <w:szCs w:val="18"/>
          <w:highlight w:val="none"/>
        </w:rPr>
      </w:pPr>
      <w:r>
        <w:rPr>
          <w:rFonts w:hint="eastAsia" w:ascii="黑体" w:hAnsi="黑体" w:eastAsia="黑体"/>
          <w:bCs/>
          <w:sz w:val="18"/>
          <w:szCs w:val="18"/>
          <w:highlight w:val="none"/>
        </w:rPr>
        <w:t>5.★投资者承诺所提供的所有资料真实、完整、合法、有效,如有变更,投资者应及时到产品管理人或销售服务机构办理变更手续。否则，由此导致的后果应由投资者自行承担，产品管理人对此不承担相应责任。</w:t>
      </w:r>
    </w:p>
    <w:p>
      <w:pPr>
        <w:pStyle w:val="10"/>
        <w:snapToGrid w:val="0"/>
        <w:spacing w:line="360" w:lineRule="auto"/>
        <w:ind w:firstLine="360" w:firstLineChars="200"/>
        <w:rPr>
          <w:rFonts w:hAnsi="宋体"/>
          <w:bCs/>
          <w:color w:val="auto"/>
          <w:sz w:val="18"/>
          <w:szCs w:val="18"/>
          <w:highlight w:val="none"/>
        </w:rPr>
      </w:pPr>
      <w:r>
        <w:rPr>
          <w:rFonts w:hint="eastAsia" w:hAnsi="宋体"/>
          <w:bCs/>
          <w:color w:val="auto"/>
          <w:sz w:val="18"/>
          <w:szCs w:val="18"/>
          <w:highlight w:val="none"/>
        </w:rPr>
        <w:t>投资者同意并授权产品管理人有权根据投资者所勾选的业务申请类型，并根据业务办理需要、反洗钱工作以及非居民金融账户涉税信息尽职调查等需要，在业务过程中自行或由销售服务机构</w:t>
      </w:r>
      <w:r>
        <w:rPr>
          <w:rFonts w:hint="eastAsia" w:hAnsi="宋体"/>
          <w:bCs/>
          <w:sz w:val="18"/>
          <w:szCs w:val="18"/>
          <w:highlight w:val="none"/>
        </w:rPr>
        <w:t>或由产品管理人通过</w:t>
      </w:r>
      <w:r>
        <w:rPr>
          <w:rFonts w:hint="eastAsia" w:hAnsi="宋体"/>
          <w:bCs/>
          <w:color w:val="auto"/>
          <w:sz w:val="18"/>
          <w:szCs w:val="18"/>
          <w:highlight w:val="none"/>
        </w:rPr>
        <w:t>销售服务机构查询、收集、传输、加工、保存和使用投资者及其授权办理业务人员、法定代表人、受益所有人</w:t>
      </w:r>
      <w:r>
        <w:rPr>
          <w:rFonts w:hint="eastAsia" w:hAnsi="宋体"/>
          <w:bCs/>
          <w:sz w:val="18"/>
          <w:szCs w:val="18"/>
          <w:highlight w:val="none"/>
        </w:rPr>
        <w:t>（应当与投资者向市场监督管理部门备案的相关信息保持一致）</w:t>
      </w:r>
      <w:r>
        <w:rPr>
          <w:rFonts w:hint="eastAsia" w:hAnsi="宋体"/>
          <w:bCs/>
          <w:color w:val="auto"/>
          <w:sz w:val="18"/>
          <w:szCs w:val="18"/>
          <w:highlight w:val="none"/>
        </w:rPr>
        <w:t>、代理人等金融信息（包括投资者开户留存的有效身份证件或者其他身份证明文件信息、金融交易信息、数据信息、金融账户信息、信用信息、衍生信息和其他资料），投资者应当充分配合产品管理人及销售服务机构的上述需要，并同时授权销售服务机构、产品管理人可向销售服务机构、产品管理人、产品托管人、监管机构、自律组织、理财登记备案机构、金融交易对手方、理财快速赎回服务提供方提供、留存前述信息。</w:t>
      </w:r>
    </w:p>
    <w:p>
      <w:pPr>
        <w:pStyle w:val="10"/>
        <w:snapToGrid w:val="0"/>
        <w:spacing w:line="360" w:lineRule="auto"/>
        <w:ind w:firstLine="360" w:firstLineChars="200"/>
        <w:rPr>
          <w:rFonts w:hAnsi="宋体"/>
          <w:bCs/>
          <w:color w:val="auto"/>
          <w:sz w:val="18"/>
          <w:szCs w:val="18"/>
          <w:highlight w:val="none"/>
        </w:rPr>
      </w:pPr>
      <w:bookmarkStart w:id="48" w:name="_Hlk183098717"/>
      <w:r>
        <w:rPr>
          <w:rFonts w:hint="eastAsia" w:hAnsi="宋体"/>
          <w:bCs/>
          <w:color w:val="auto"/>
          <w:sz w:val="18"/>
          <w:szCs w:val="18"/>
          <w:highlight w:val="none"/>
        </w:rPr>
        <w:t>投资者应当按照</w:t>
      </w:r>
      <w:bookmarkStart w:id="49" w:name="_Hlk183098889"/>
      <w:r>
        <w:rPr>
          <w:rFonts w:hint="eastAsia" w:hAnsi="宋体"/>
          <w:bCs/>
          <w:color w:val="auto"/>
          <w:sz w:val="18"/>
          <w:szCs w:val="18"/>
          <w:highlight w:val="none"/>
        </w:rPr>
        <w:t>《中华人民共和国反洗钱法》《受益所有人信息管理办法》（中国人民银行 国家市场监督管理总局令〔2024〕第3号）、《受益所有人信息备案指南（第一版）》</w:t>
      </w:r>
      <w:bookmarkEnd w:id="49"/>
      <w:r>
        <w:rPr>
          <w:rFonts w:hint="eastAsia" w:hAnsi="宋体"/>
          <w:bCs/>
          <w:color w:val="auto"/>
          <w:sz w:val="18"/>
          <w:szCs w:val="18"/>
          <w:highlight w:val="none"/>
        </w:rPr>
        <w:t>等的规定，真实、准确、完整地向销售服务机构、产品管理人、产品托管人、监管机构提供其受益所有人相关信息，并投资者承诺其提供的相关信息应当与其向</w:t>
      </w:r>
      <w:r>
        <w:rPr>
          <w:rFonts w:hint="eastAsia" w:hAnsi="宋体"/>
          <w:bCs/>
          <w:sz w:val="18"/>
          <w:szCs w:val="18"/>
          <w:highlight w:val="none"/>
        </w:rPr>
        <w:t>市场监督管理部门备案的相关信息保持一致。</w:t>
      </w:r>
      <w:bookmarkEnd w:id="48"/>
    </w:p>
    <w:p>
      <w:pPr>
        <w:pStyle w:val="10"/>
        <w:snapToGrid w:val="0"/>
        <w:spacing w:line="360" w:lineRule="auto"/>
        <w:ind w:firstLine="360" w:firstLineChars="200"/>
        <w:rPr>
          <w:rFonts w:hAnsi="宋体"/>
          <w:bCs/>
          <w:color w:val="auto"/>
          <w:sz w:val="18"/>
          <w:szCs w:val="18"/>
          <w:highlight w:val="none"/>
        </w:rPr>
      </w:pPr>
      <w:r>
        <w:rPr>
          <w:rFonts w:hint="eastAsia" w:hAnsi="宋体"/>
          <w:bCs/>
          <w:color w:val="auto"/>
          <w:sz w:val="18"/>
          <w:szCs w:val="18"/>
          <w:highlight w:val="none"/>
        </w:rPr>
        <w:t>投资者签署本理财产品销售文件即视为已经同意管理人在前述范围内向相关方提供投资者信息。</w:t>
      </w:r>
    </w:p>
    <w:p>
      <w:pPr>
        <w:pStyle w:val="10"/>
        <w:snapToGrid w:val="0"/>
        <w:spacing w:line="360" w:lineRule="auto"/>
        <w:ind w:firstLine="360" w:firstLineChars="200"/>
        <w:rPr>
          <w:rFonts w:hAnsi="宋体"/>
          <w:bCs/>
          <w:color w:val="auto"/>
          <w:sz w:val="18"/>
          <w:szCs w:val="18"/>
          <w:highlight w:val="none"/>
        </w:rPr>
      </w:pPr>
      <w:r>
        <w:rPr>
          <w:rFonts w:hint="eastAsia" w:hAnsi="宋体"/>
          <w:bCs/>
          <w:color w:val="auto"/>
          <w:sz w:val="18"/>
          <w:szCs w:val="18"/>
          <w:highlight w:val="none"/>
        </w:rPr>
        <w:t>6.投资者保证遵守国家反洗钱法律、法规及相关政策要求，不从事涉及洗钱、恐怖融资、逃税、逃废债务、套取现金等违法违规活动，积极配合产品管理人和销售服务机构根据反洗钱、反恐怖融资、制裁合规、反电信网络诈骗等合规管理及非居民金融账户涉税信息尽职调查等相关法律法规要求开展投资者身份识别、交易记录保存、投资者身份及交易背景尽职调查、风险评估和管理、大额和可疑交易报告等各项反洗钱和反恐怖融资工作，并按产品管理人或销售服务机构要求提供相关证明材料。投资者保证，</w:t>
      </w:r>
      <w:bookmarkStart w:id="50" w:name="_Hlk183099692"/>
      <w:r>
        <w:rPr>
          <w:rFonts w:hint="eastAsia" w:hAnsi="宋体"/>
          <w:bCs/>
          <w:color w:val="auto"/>
          <w:sz w:val="18"/>
          <w:szCs w:val="18"/>
          <w:highlight w:val="none"/>
        </w:rPr>
        <w:t>投资者及其关联方（主要指企业投资者的授权办理人、法定代表人/负责人、董事、控股股东、实际控制人、受益所有人、代理人等直接或间接关联方，下同）不属于联合国及有关国际组织、中国以及相关国家和地区、地区性组织/机构发布的制裁名单，不位于被上述国际组织、国家、组织/机构制裁的国家和地区；不属于联合国安理会及其他国际组织、国家和地区以及中国人民银行、中国公安部等中国有权机关发布的洗钱和恐怖活动组织及人员名单；不位于上述国际组织、国家和地区发布的洗钱及恐怖融资高风险国家和地区；不属于反洗钱特别预防措施名单中的对象（以上统称为“</w:t>
      </w:r>
      <w:bookmarkStart w:id="51" w:name="_Hlk183099638"/>
      <w:r>
        <w:rPr>
          <w:rFonts w:hint="eastAsia" w:hAnsi="宋体"/>
          <w:bCs/>
          <w:color w:val="auto"/>
          <w:sz w:val="18"/>
          <w:szCs w:val="18"/>
          <w:highlight w:val="none"/>
        </w:rPr>
        <w:t>反恐怖融资、制裁及反洗钱特别预防措施名单</w:t>
      </w:r>
      <w:bookmarkEnd w:id="51"/>
      <w:r>
        <w:rPr>
          <w:rFonts w:hint="eastAsia" w:hAnsi="宋体"/>
          <w:bCs/>
          <w:color w:val="auto"/>
          <w:sz w:val="18"/>
          <w:szCs w:val="18"/>
          <w:highlight w:val="none"/>
        </w:rPr>
        <w:t>”）</w:t>
      </w:r>
      <w:bookmarkEnd w:id="50"/>
      <w:r>
        <w:rPr>
          <w:rFonts w:hint="eastAsia" w:hAnsi="宋体"/>
          <w:bCs/>
          <w:color w:val="auto"/>
          <w:sz w:val="18"/>
          <w:szCs w:val="18"/>
          <w:highlight w:val="none"/>
        </w:rPr>
        <w:t>。</w:t>
      </w:r>
    </w:p>
    <w:p>
      <w:pPr>
        <w:pStyle w:val="10"/>
        <w:snapToGrid w:val="0"/>
        <w:spacing w:line="360" w:lineRule="auto"/>
        <w:ind w:firstLine="361" w:firstLineChars="200"/>
        <w:rPr>
          <w:rFonts w:hAnsi="宋体"/>
          <w:b/>
          <w:color w:val="auto"/>
          <w:sz w:val="18"/>
          <w:szCs w:val="18"/>
          <w:highlight w:val="none"/>
        </w:rPr>
      </w:pPr>
      <w:r>
        <w:rPr>
          <w:rFonts w:hint="eastAsia" w:hAnsi="宋体"/>
          <w:b/>
          <w:color w:val="auto"/>
          <w:sz w:val="18"/>
          <w:szCs w:val="18"/>
          <w:highlight w:val="none"/>
        </w:rPr>
        <w:t>投资者明确知悉，如根据法律法规或监管要求，投资者未能满足产品管理人的客户尽职调查、大额和可疑交易监测及报告、反洗钱、反恐怖融资及制裁名单筛查等措施的配合义务时（包括但不限于未及时提供与更新身份资料等），或遇高风险情形、事件或其他根据法律法规或产品管理人内控要求需采取相应措施的其他情形，产品管理人自身或产品管理人为配合销售服务机构、产品托管人、监管机构的风控要求可以对投资者采取包括但不限于拒绝或暂停接受认购申请、拒绝或暂停接受申购申请、暂停接受赎回申请、冻结份额、</w:t>
      </w:r>
      <w:bookmarkStart w:id="52" w:name="_Hlk183096475"/>
      <w:r>
        <w:rPr>
          <w:rFonts w:hint="eastAsia" w:hAnsi="宋体"/>
          <w:b/>
          <w:color w:val="auto"/>
          <w:sz w:val="18"/>
          <w:szCs w:val="18"/>
          <w:highlight w:val="none"/>
        </w:rPr>
        <w:t>并</w:t>
      </w:r>
      <w:bookmarkStart w:id="53" w:name="_Hlk183096763"/>
      <w:r>
        <w:rPr>
          <w:rFonts w:hint="eastAsia" w:hAnsi="宋体"/>
          <w:b/>
          <w:color w:val="auto"/>
          <w:sz w:val="18"/>
          <w:szCs w:val="18"/>
          <w:highlight w:val="none"/>
        </w:rPr>
        <w:t>根据风险严重程度</w:t>
      </w:r>
      <w:bookmarkEnd w:id="52"/>
      <w:bookmarkEnd w:id="53"/>
      <w:r>
        <w:rPr>
          <w:rFonts w:hint="eastAsia" w:hAnsi="宋体"/>
          <w:b/>
          <w:color w:val="auto"/>
          <w:sz w:val="18"/>
          <w:szCs w:val="18"/>
          <w:highlight w:val="none"/>
        </w:rPr>
        <w:t>提前终止理财产品销售文件等交易限制措施，由此产生的任何损失及责任需由投资者自行承担。</w:t>
      </w:r>
    </w:p>
    <w:p>
      <w:pPr>
        <w:pStyle w:val="10"/>
        <w:snapToGrid w:val="0"/>
        <w:spacing w:line="360" w:lineRule="auto"/>
        <w:ind w:firstLine="360" w:firstLineChars="200"/>
        <w:rPr>
          <w:rFonts w:ascii="黑体" w:hAnsi="黑体" w:eastAsia="黑体" w:cs="黑体"/>
          <w:bCs/>
          <w:color w:val="auto"/>
          <w:sz w:val="18"/>
          <w:szCs w:val="18"/>
          <w:highlight w:val="none"/>
        </w:rPr>
      </w:pPr>
      <w:r>
        <w:rPr>
          <w:rFonts w:hint="eastAsia" w:ascii="黑体" w:hAnsi="黑体" w:eastAsia="黑体" w:cs="黑体"/>
          <w:bCs/>
          <w:color w:val="auto"/>
          <w:sz w:val="18"/>
          <w:szCs w:val="18"/>
          <w:highlight w:val="none"/>
        </w:rPr>
        <w:t>7.</w:t>
      </w:r>
      <w:bookmarkStart w:id="54" w:name="_Hlk183096281"/>
      <w:r>
        <w:rPr>
          <w:rFonts w:hint="eastAsia" w:hAnsi="宋体"/>
          <w:bCs/>
          <w:color w:val="auto"/>
          <w:sz w:val="18"/>
          <w:szCs w:val="18"/>
          <w:highlight w:val="none"/>
        </w:rPr>
        <w:t>投资者承诺自身及其相关主体（包括但不限于代理人、受其指使的组织和人员、其直接或者间接控制的组织，下同）遵守反洗钱特别预防措施，配合销售服务机构、产品管理人、产品托管人、监管机构等履行反洗钱特别预防措施的相关要求。如投资者及其相关主体对销售服务机构、产品管理人、产品托管人、监管机构等履行反洗钱特别预防措施存在异议的，可以通过法律法规规定的方式进行处理。</w:t>
      </w:r>
      <w:bookmarkEnd w:id="54"/>
    </w:p>
    <w:p>
      <w:pPr>
        <w:pStyle w:val="10"/>
        <w:snapToGrid w:val="0"/>
        <w:spacing w:line="360" w:lineRule="auto"/>
        <w:ind w:firstLine="360" w:firstLineChars="200"/>
        <w:rPr>
          <w:rFonts w:ascii="黑体" w:hAnsi="黑体" w:eastAsia="黑体" w:cs="黑体"/>
          <w:bCs/>
          <w:color w:val="auto"/>
          <w:sz w:val="18"/>
          <w:szCs w:val="18"/>
          <w:highlight w:val="none"/>
        </w:rPr>
      </w:pPr>
      <w:r>
        <w:rPr>
          <w:rFonts w:hint="eastAsia" w:ascii="黑体" w:hAnsi="黑体" w:eastAsia="黑体" w:cs="黑体"/>
          <w:bCs/>
          <w:color w:val="auto"/>
          <w:sz w:val="18"/>
          <w:szCs w:val="18"/>
          <w:highlight w:val="none"/>
        </w:rPr>
        <w:t>8.★投资者自愿通过销售服务机构购买产品管理人发行管理的本产品，接受产品管理人提供的投资理财服务。投资者已仔细阅读本产品《风险揭示书》，已充分知悉本产品风险等级，并确定投资本产品，投资者承诺由此产生的相关风险由投资者承担。</w:t>
      </w:r>
    </w:p>
    <w:p>
      <w:pPr>
        <w:pStyle w:val="5"/>
        <w:adjustRightInd w:val="0"/>
        <w:snapToGrid w:val="0"/>
        <w:spacing w:before="0" w:beforeAutospacing="0" w:after="0" w:afterAutospacing="0" w:line="360" w:lineRule="auto"/>
        <w:ind w:firstLine="360" w:firstLineChars="200"/>
        <w:jc w:val="both"/>
        <w:rPr>
          <w:rFonts w:ascii="黑体" w:hAnsi="黑体" w:eastAsia="黑体"/>
          <w:bCs/>
          <w:sz w:val="18"/>
          <w:szCs w:val="18"/>
          <w:highlight w:val="none"/>
        </w:rPr>
      </w:pPr>
      <w:r>
        <w:rPr>
          <w:rFonts w:hint="eastAsia" w:ascii="黑体" w:hAnsi="黑体" w:eastAsia="黑体"/>
          <w:bCs/>
          <w:sz w:val="18"/>
          <w:szCs w:val="18"/>
          <w:highlight w:val="none"/>
        </w:rPr>
        <w:t>9.★投资者应按产品管理人要求开立理财产品指定账户（以下简称“指定账户”），用于本产品的理财资金划转及理财产品利益分配，投资者承诺持有本产品期间指定账户不做销户。</w:t>
      </w:r>
    </w:p>
    <w:p>
      <w:pPr>
        <w:pStyle w:val="5"/>
        <w:adjustRightInd w:val="0"/>
        <w:snapToGrid w:val="0"/>
        <w:spacing w:before="0" w:beforeAutospacing="0" w:after="0" w:afterAutospacing="0" w:line="360" w:lineRule="auto"/>
        <w:ind w:firstLine="360" w:firstLineChars="200"/>
        <w:jc w:val="both"/>
        <w:rPr>
          <w:rFonts w:ascii="黑体" w:hAnsi="黑体" w:eastAsia="黑体"/>
          <w:bCs/>
          <w:sz w:val="18"/>
          <w:szCs w:val="18"/>
          <w:highlight w:val="none"/>
        </w:rPr>
      </w:pPr>
      <w:r>
        <w:rPr>
          <w:rFonts w:hint="eastAsia" w:ascii="黑体" w:hAnsi="黑体" w:eastAsia="黑体"/>
          <w:bCs/>
          <w:sz w:val="18"/>
          <w:szCs w:val="18"/>
          <w:highlight w:val="none"/>
        </w:rPr>
        <w:t>10.★投资者在购买本产品时，应同时在约定的时间结点前向指定账户存入足额理财资金，并同意授权产品管理人或销售服务机构于相应的资金归集日将投资者指定账户内相应的理财资金划转至产品管理人理财账户。对此产品管理人无需另行征得投资者同意或给予通知，无需在划款时以电话等方式与投资者进行最后确认。对于风险较高或投资者单笔购买金额较大的理财产品，如投资者授权产品管理人或销售服务机构于相应的资金归集日将投资者指定账户内相应的理财资金划转至产品管理人理财账户，则产品管理人无需另行征得投资者同意或给予通知，无需在划款时以电话等方式与投资者进行最后确认。由于投资者未存入理财资金或理财资金不足或未在约定的时间前购买本产品而导致交易失败的，产品管理人不承担相应责任。</w:t>
      </w:r>
    </w:p>
    <w:p>
      <w:pPr>
        <w:pStyle w:val="5"/>
        <w:adjustRightInd w:val="0"/>
        <w:snapToGrid w:val="0"/>
        <w:spacing w:before="0" w:beforeAutospacing="0" w:after="0" w:afterAutospacing="0" w:line="360" w:lineRule="auto"/>
        <w:ind w:firstLine="360" w:firstLineChars="200"/>
        <w:jc w:val="both"/>
        <w:rPr>
          <w:rFonts w:ascii="黑体" w:hAnsi="黑体" w:eastAsia="黑体"/>
          <w:bCs/>
          <w:sz w:val="18"/>
          <w:szCs w:val="18"/>
          <w:highlight w:val="none"/>
        </w:rPr>
      </w:pPr>
      <w:r>
        <w:rPr>
          <w:rFonts w:hint="eastAsia" w:ascii="黑体" w:hAnsi="黑体" w:eastAsia="黑体"/>
          <w:bCs/>
          <w:sz w:val="18"/>
          <w:szCs w:val="18"/>
          <w:highlight w:val="none"/>
        </w:rPr>
        <w:t>11.★未经产品管理人同意，投资者不得以本产品项下的任何权利、利益、权益（包括单独和整体）为投资者和任何第三人的债务设定担保或其他权益。若投资者以本产品在渤海银行股份有限公司办理质押贷款业务时，则无需产品管理人同意。</w:t>
      </w:r>
    </w:p>
    <w:p>
      <w:pPr>
        <w:pStyle w:val="5"/>
        <w:adjustRightInd w:val="0"/>
        <w:snapToGrid w:val="0"/>
        <w:spacing w:before="0" w:beforeAutospacing="0" w:after="0" w:afterAutospacing="0" w:line="360" w:lineRule="auto"/>
        <w:ind w:firstLine="360" w:firstLineChars="200"/>
        <w:jc w:val="both"/>
        <w:rPr>
          <w:rFonts w:ascii="黑体" w:hAnsi="黑体" w:eastAsia="黑体"/>
          <w:bCs/>
          <w:sz w:val="18"/>
          <w:szCs w:val="18"/>
          <w:highlight w:val="none"/>
        </w:rPr>
      </w:pPr>
      <w:r>
        <w:rPr>
          <w:rFonts w:hint="eastAsia" w:ascii="黑体" w:hAnsi="黑体" w:eastAsia="黑体"/>
          <w:bCs/>
          <w:sz w:val="18"/>
          <w:szCs w:val="18"/>
          <w:highlight w:val="none"/>
        </w:rPr>
        <w:t>12.★未经产品管理人同意，投资者不得向任何第三人转让、赠与《理财产品说明书》或《理财产品说明书》项下的任何权利、利益、权益（包括单独和整体）。若投资者使用渤海银行股份有限公司提供的服务开展前述行为时，则无需产品管理人同意。</w:t>
      </w:r>
    </w:p>
    <w:p>
      <w:pPr>
        <w:pStyle w:val="10"/>
        <w:snapToGrid w:val="0"/>
        <w:spacing w:line="360" w:lineRule="auto"/>
        <w:ind w:firstLine="360" w:firstLineChars="200"/>
        <w:rPr>
          <w:rFonts w:hAnsi="宋体"/>
          <w:bCs/>
          <w:color w:val="auto"/>
          <w:sz w:val="18"/>
          <w:szCs w:val="18"/>
          <w:highlight w:val="none"/>
        </w:rPr>
      </w:pPr>
      <w:r>
        <w:rPr>
          <w:rFonts w:hint="eastAsia" w:hAnsi="宋体"/>
          <w:bCs/>
          <w:color w:val="auto"/>
          <w:sz w:val="18"/>
          <w:szCs w:val="18"/>
          <w:highlight w:val="none"/>
        </w:rPr>
        <w:t>13.其他在本产品所对应理财产品销售文件中约定的投资者的权利与义务。</w:t>
      </w:r>
    </w:p>
    <w:p>
      <w:pPr>
        <w:tabs>
          <w:tab w:val="left" w:pos="704"/>
          <w:tab w:val="left" w:pos="1995"/>
        </w:tabs>
        <w:autoSpaceDE w:val="0"/>
        <w:autoSpaceDN w:val="0"/>
        <w:adjustRightInd w:val="0"/>
        <w:snapToGrid w:val="0"/>
        <w:spacing w:line="360" w:lineRule="auto"/>
        <w:ind w:left="360" w:firstLine="361" w:firstLineChars="200"/>
        <w:outlineLvl w:val="1"/>
        <w:rPr>
          <w:rFonts w:ascii="宋体" w:hAnsi="宋体"/>
          <w:b/>
          <w:sz w:val="18"/>
          <w:szCs w:val="18"/>
          <w:highlight w:val="none"/>
        </w:rPr>
      </w:pPr>
      <w:r>
        <w:rPr>
          <w:rFonts w:hint="eastAsia" w:ascii="宋体" w:hAnsi="宋体"/>
          <w:b/>
          <w:sz w:val="18"/>
          <w:szCs w:val="18"/>
          <w:highlight w:val="none"/>
        </w:rPr>
        <w:t>（二）产品管理人权利与义务</w:t>
      </w:r>
    </w:p>
    <w:p>
      <w:pPr>
        <w:pStyle w:val="10"/>
        <w:snapToGrid w:val="0"/>
        <w:spacing w:line="360" w:lineRule="auto"/>
        <w:ind w:firstLine="360" w:firstLineChars="200"/>
        <w:rPr>
          <w:rFonts w:hAnsi="宋体"/>
          <w:bCs/>
          <w:color w:val="auto"/>
          <w:sz w:val="18"/>
          <w:szCs w:val="18"/>
          <w:highlight w:val="none"/>
        </w:rPr>
      </w:pPr>
      <w:r>
        <w:rPr>
          <w:rFonts w:hint="eastAsia" w:hAnsi="宋体"/>
          <w:bCs/>
          <w:color w:val="auto"/>
          <w:sz w:val="18"/>
          <w:szCs w:val="18"/>
          <w:highlight w:val="none"/>
        </w:rPr>
        <w:t>1.产品管理人在受托运用理财资金进行投资时，应履行诚实信用、谨慎勤勉的义务，管理理财产品资金，依法保护投资者的财产权益。</w:t>
      </w:r>
    </w:p>
    <w:p>
      <w:pPr>
        <w:pStyle w:val="10"/>
        <w:snapToGrid w:val="0"/>
        <w:spacing w:line="360" w:lineRule="auto"/>
        <w:ind w:firstLine="360" w:firstLineChars="200"/>
        <w:rPr>
          <w:rFonts w:hAnsi="宋体"/>
          <w:bCs/>
          <w:color w:val="auto"/>
          <w:sz w:val="18"/>
          <w:szCs w:val="18"/>
          <w:highlight w:val="none"/>
        </w:rPr>
      </w:pPr>
      <w:r>
        <w:rPr>
          <w:rFonts w:hint="eastAsia" w:hAnsi="宋体"/>
          <w:bCs/>
          <w:color w:val="auto"/>
          <w:sz w:val="18"/>
          <w:szCs w:val="18"/>
          <w:highlight w:val="none"/>
        </w:rPr>
        <w:t>2.在投资者持有本产品期间，产品管理人有权收取理财产品相关费用，具体费用项目、收费标准和收费方式等详见《理财产品说明书》。</w:t>
      </w:r>
    </w:p>
    <w:p>
      <w:pPr>
        <w:pStyle w:val="10"/>
        <w:snapToGrid w:val="0"/>
        <w:spacing w:line="360" w:lineRule="auto"/>
        <w:ind w:firstLine="360" w:firstLineChars="200"/>
        <w:rPr>
          <w:rFonts w:hAnsi="宋体"/>
          <w:bCs/>
          <w:color w:val="auto"/>
          <w:sz w:val="18"/>
          <w:szCs w:val="18"/>
          <w:highlight w:val="none"/>
        </w:rPr>
      </w:pPr>
      <w:r>
        <w:rPr>
          <w:rFonts w:hint="eastAsia" w:hAnsi="宋体"/>
          <w:bCs/>
          <w:color w:val="auto"/>
          <w:sz w:val="18"/>
          <w:szCs w:val="18"/>
          <w:highlight w:val="none"/>
        </w:rPr>
        <w:t>3.产品管理人应按照约定披露产品相关信息。</w:t>
      </w:r>
    </w:p>
    <w:p>
      <w:pPr>
        <w:pStyle w:val="10"/>
        <w:snapToGrid w:val="0"/>
        <w:spacing w:line="360" w:lineRule="auto"/>
        <w:ind w:firstLine="360" w:firstLineChars="200"/>
        <w:rPr>
          <w:rFonts w:hAnsi="宋体"/>
          <w:bCs/>
          <w:color w:val="auto"/>
          <w:sz w:val="18"/>
          <w:szCs w:val="18"/>
          <w:highlight w:val="none"/>
        </w:rPr>
      </w:pPr>
      <w:r>
        <w:rPr>
          <w:rFonts w:hint="eastAsia" w:hAnsi="宋体"/>
          <w:bCs/>
          <w:color w:val="auto"/>
          <w:sz w:val="18"/>
          <w:szCs w:val="18"/>
          <w:highlight w:val="none"/>
        </w:rPr>
        <w:t>4.产品管理人及/或销售服务机构按照《理财产品说明书》约定向投资者进行理财产品份额的利益分配并将对应资金划入投资者约定账户后, 即视为产品管理人已向投资者完成利益分配和资金的清算分配。因投资者约定账户冻结、挂失、换卡、销户、长期不动户等原因造成账户变更或异常, 投资者应及时到产品管理人及/或销售服务机构办理变更手续。</w:t>
      </w:r>
      <w:r>
        <w:rPr>
          <w:rFonts w:hint="eastAsia" w:hAnsi="宋体"/>
          <w:b/>
          <w:bCs w:val="0"/>
          <w:color w:val="auto"/>
          <w:sz w:val="18"/>
          <w:szCs w:val="18"/>
          <w:highlight w:val="none"/>
        </w:rPr>
        <w:t>如因投资者未及时办理变更手续而造成产品管理人及/或销售服务机构无法向投资者进行正常利益分配和资金清算分配, 由此导致投资者损失的由投资者自行承担, 产品管理人不承担责任。</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highlight w:val="none"/>
        </w:rPr>
      </w:pPr>
      <w:r>
        <w:rPr>
          <w:rFonts w:ascii="黑体" w:hAnsi="黑体" w:eastAsia="黑体"/>
          <w:sz w:val="18"/>
          <w:szCs w:val="18"/>
          <w:highlight w:val="none"/>
        </w:rPr>
        <w:t>5.</w:t>
      </w:r>
      <w:r>
        <w:rPr>
          <w:rFonts w:hint="eastAsia" w:ascii="黑体" w:hAnsi="黑体" w:eastAsia="黑体"/>
          <w:sz w:val="18"/>
          <w:szCs w:val="18"/>
          <w:highlight w:val="none"/>
        </w:rPr>
        <w:t>★产品管理人将严格履行投资者信息保密义务。除法律法规及监管规范另有规定或者投资者同意披露外，产品管理人不得向任何组织、个人提供或泄漏与投资者有关的资料和信息。</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highlight w:val="none"/>
        </w:rPr>
      </w:pPr>
      <w:r>
        <w:rPr>
          <w:rFonts w:hint="eastAsia" w:ascii="黑体" w:hAnsi="黑体" w:eastAsia="黑体"/>
          <w:sz w:val="18"/>
          <w:szCs w:val="18"/>
          <w:highlight w:val="none"/>
        </w:rPr>
        <w:t>产品管理人将按照《个人信息保护法》等法律法规规定，遵循合法、正当、必要和诚信的原则，以收集、存储、使用、传输、提供等方式处理投资者信息。</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highlight w:val="none"/>
        </w:rPr>
      </w:pPr>
      <w:r>
        <w:rPr>
          <w:rFonts w:hint="eastAsia" w:ascii="黑体" w:hAnsi="黑体" w:eastAsia="黑体"/>
          <w:sz w:val="18"/>
          <w:szCs w:val="18"/>
          <w:highlight w:val="none"/>
        </w:rPr>
        <w:t>根据法律法规、监管规定和自律组织要求，本产品的投资合作机构（包括但不限于本产品所投资的信托计划、资管计划、基金的受托人或管理人、相关投资顾问等，下同）有可能需要向监管机构、自律组织等报送投资者信息，产品管理人将应投资合作机构的申请，在必要范围内向投资合作机构、监管机构或自律组织提供相关信息，并要求上述信息接收方按照法律法规规定履行投资者信息保密义务。</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highlight w:val="none"/>
        </w:rPr>
      </w:pPr>
      <w:r>
        <w:rPr>
          <w:rFonts w:hint="eastAsia" w:ascii="黑体" w:hAnsi="黑体" w:eastAsia="黑体"/>
          <w:sz w:val="18"/>
          <w:szCs w:val="18"/>
          <w:highlight w:val="none"/>
        </w:rPr>
        <w:t>因理财产品管理运作的需要，产品管理人、销售服务机构可购买、使用、租用专业信息服务供应商提供的信息系统、数据服务（如数据传输系统、客服系统、登记系统、CA认证服务、可信时间戳服务等）。在使用上述系统的过程中，理财产品及投资者部分信息可能会被暂时采集并存储在信息服务供应商的服务器上、或由其工作人员进行维护。产品管理人将要求信息服务供应商、销售服务机构履行保密义务。投资者签署本理财产品销售文件即视为知悉并同意上述情况。</w:t>
      </w:r>
    </w:p>
    <w:p>
      <w:pPr>
        <w:pStyle w:val="10"/>
        <w:snapToGrid w:val="0"/>
        <w:spacing w:line="360" w:lineRule="auto"/>
        <w:ind w:firstLine="360" w:firstLineChars="200"/>
        <w:rPr>
          <w:rFonts w:hAnsi="宋体"/>
          <w:bCs/>
          <w:color w:val="auto"/>
          <w:sz w:val="18"/>
          <w:szCs w:val="18"/>
          <w:highlight w:val="none"/>
        </w:rPr>
      </w:pPr>
      <w:r>
        <w:rPr>
          <w:rFonts w:hint="eastAsia" w:hAnsi="宋体"/>
          <w:bCs/>
          <w:color w:val="auto"/>
          <w:sz w:val="18"/>
          <w:szCs w:val="18"/>
          <w:highlight w:val="none"/>
        </w:rPr>
        <w:t xml:space="preserve">6.在理财产品投资过程中发生任何争议，有权以管理人的名义代表理财产品进行维权，行使包括但不限于提起诉讼/仲裁、申请保全/执行等权利，由此产生的费用由理财产品承担。 </w:t>
      </w:r>
    </w:p>
    <w:p>
      <w:pPr>
        <w:pStyle w:val="10"/>
        <w:snapToGrid w:val="0"/>
        <w:spacing w:line="360" w:lineRule="auto"/>
        <w:ind w:firstLine="360" w:firstLineChars="200"/>
        <w:rPr>
          <w:rFonts w:hAnsi="宋体"/>
          <w:bCs/>
          <w:color w:val="auto"/>
          <w:sz w:val="18"/>
          <w:szCs w:val="18"/>
          <w:highlight w:val="none"/>
        </w:rPr>
      </w:pPr>
      <w:r>
        <w:rPr>
          <w:rFonts w:hint="eastAsia" w:hAnsi="宋体"/>
          <w:bCs/>
          <w:color w:val="auto"/>
          <w:sz w:val="18"/>
          <w:szCs w:val="18"/>
          <w:highlight w:val="none"/>
        </w:rPr>
        <w:t>7.产品管理人全权负责理财产品资金的运用和理财产品资产的管理, 有权参加与理财产品所投资资产相关的所有会议, 并对相关事项进行表决；产品管理人有权代表投资者利益, 按照法律法规和监管部门相关规定对理财产品投资产生的风险资产进行多种方式的处置, 包括但不限于转让、重组、债转股、资产证券化、委外催收、抵债资产收取与处置、破产重整等。</w:t>
      </w:r>
    </w:p>
    <w:p>
      <w:pPr>
        <w:tabs>
          <w:tab w:val="left" w:pos="704"/>
          <w:tab w:val="left" w:pos="1995"/>
        </w:tabs>
        <w:autoSpaceDE w:val="0"/>
        <w:autoSpaceDN w:val="0"/>
        <w:adjustRightInd w:val="0"/>
        <w:snapToGrid w:val="0"/>
        <w:spacing w:line="360" w:lineRule="auto"/>
        <w:ind w:firstLine="360" w:firstLineChars="200"/>
        <w:rPr>
          <w:rFonts w:ascii="宋体" w:hAnsi="宋体"/>
          <w:b/>
          <w:bCs/>
          <w:sz w:val="18"/>
          <w:szCs w:val="18"/>
          <w:highlight w:val="none"/>
        </w:rPr>
      </w:pPr>
      <w:r>
        <w:rPr>
          <w:rFonts w:ascii="宋体" w:hAnsi="宋体"/>
          <w:sz w:val="18"/>
          <w:szCs w:val="18"/>
          <w:highlight w:val="none"/>
        </w:rPr>
        <w:t>8.</w:t>
      </w:r>
      <w:r>
        <w:rPr>
          <w:rFonts w:hint="eastAsia" w:ascii="黑体" w:hAnsi="黑体" w:eastAsia="黑体"/>
          <w:sz w:val="18"/>
          <w:szCs w:val="18"/>
          <w:highlight w:val="none"/>
        </w:rPr>
        <w:t>★</w:t>
      </w:r>
      <w:r>
        <w:rPr>
          <w:rFonts w:hint="eastAsia" w:ascii="宋体" w:hAnsi="宋体"/>
          <w:sz w:val="18"/>
          <w:szCs w:val="18"/>
          <w:highlight w:val="none"/>
        </w:rPr>
        <w:t>产品管理人或销售服务机构发现投资者未能根据法律法规或监管的要求满足管理人的客户尽职调查、大额和可疑交易监测及报告、反恐怖融资及制裁名单筛查等措施的配合义务（包括但不限于未及时提供与更新身份资料等），或当投资者出现较高风险情形、本理财产品洗钱风险等级调整导致客户风险与产品洗钱风险等级不能匹配等情形发生，并且投资者无法采取有效措施降低该等风险情形的，</w:t>
      </w:r>
      <w:r>
        <w:rPr>
          <w:rFonts w:hint="eastAsia" w:ascii="黑体" w:hAnsi="黑体" w:eastAsia="黑体"/>
          <w:sz w:val="18"/>
          <w:szCs w:val="18"/>
          <w:highlight w:val="none"/>
        </w:rPr>
        <w:t>产品管理人自身或产品管理人为配合销售服务机构、产品托管人、监管机构的风控要求有权采取拒绝或暂停接受投资者的认购申请、拒绝或暂停接受申购申请、暂停接受赎回申请、冻结份额等风险措施。</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highlight w:val="none"/>
        </w:rPr>
      </w:pPr>
      <w:r>
        <w:rPr>
          <w:rFonts w:hint="eastAsia" w:ascii="宋体" w:hAnsi="宋体"/>
          <w:sz w:val="18"/>
          <w:szCs w:val="18"/>
          <w:highlight w:val="none"/>
        </w:rPr>
        <w:t>如产品管理人或销售服务机构发现或有合理理由怀疑投资者或其资金存在洗钱、恐怖融资、逃税等嫌疑</w:t>
      </w:r>
      <w:bookmarkStart w:id="55" w:name="_Hlk183099250"/>
      <w:r>
        <w:rPr>
          <w:rFonts w:hint="eastAsia" w:ascii="宋体" w:hAnsi="宋体"/>
          <w:sz w:val="18"/>
          <w:szCs w:val="18"/>
          <w:highlight w:val="none"/>
        </w:rPr>
        <w:t>或涉及反恐怖融资、制裁及反洗钱特别预防措施名单的</w:t>
      </w:r>
      <w:bookmarkEnd w:id="55"/>
      <w:r>
        <w:rPr>
          <w:rFonts w:hint="eastAsia" w:ascii="宋体" w:hAnsi="宋体"/>
          <w:sz w:val="18"/>
          <w:szCs w:val="18"/>
          <w:highlight w:val="none"/>
        </w:rPr>
        <w:t>,</w:t>
      </w:r>
      <w:r>
        <w:rPr>
          <w:rFonts w:hint="eastAsia" w:ascii="黑体" w:hAnsi="黑体" w:eastAsia="黑体"/>
          <w:sz w:val="18"/>
          <w:szCs w:val="18"/>
          <w:highlight w:val="none"/>
        </w:rPr>
        <w:t>产品管理人有权根据风险严重程度提前终止理财产品销售文件，造成投资者损失的，产品管理人不承担责任。</w:t>
      </w:r>
    </w:p>
    <w:p>
      <w:pPr>
        <w:tabs>
          <w:tab w:val="left" w:pos="704"/>
          <w:tab w:val="left" w:pos="1995"/>
        </w:tabs>
        <w:autoSpaceDE w:val="0"/>
        <w:autoSpaceDN w:val="0"/>
        <w:adjustRightInd w:val="0"/>
        <w:snapToGrid w:val="0"/>
        <w:spacing w:line="360" w:lineRule="auto"/>
        <w:ind w:firstLine="360" w:firstLineChars="200"/>
        <w:rPr>
          <w:rFonts w:ascii="宋体" w:hAnsi="宋体"/>
          <w:sz w:val="18"/>
          <w:szCs w:val="18"/>
          <w:highlight w:val="none"/>
        </w:rPr>
      </w:pPr>
      <w:r>
        <w:rPr>
          <w:rFonts w:ascii="宋体" w:hAnsi="宋体"/>
          <w:sz w:val="18"/>
          <w:szCs w:val="18"/>
          <w:highlight w:val="none"/>
        </w:rPr>
        <w:t>9.</w:t>
      </w:r>
      <w:r>
        <w:rPr>
          <w:rFonts w:hint="eastAsia" w:ascii="宋体" w:hAnsi="宋体"/>
          <w:sz w:val="18"/>
          <w:szCs w:val="18"/>
          <w:highlight w:val="none"/>
        </w:rPr>
        <w:t>产品管理人不承担对第三人支付本产品项下投资者清算产品后分配金额以及相关权益的责任，法律法规另有规定的除外。</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highlight w:val="none"/>
        </w:rPr>
      </w:pPr>
      <w:r>
        <w:rPr>
          <w:rFonts w:ascii="宋体" w:hAnsi="宋体"/>
          <w:sz w:val="18"/>
          <w:szCs w:val="18"/>
          <w:highlight w:val="none"/>
        </w:rPr>
        <w:t>10.</w:t>
      </w:r>
      <w:r>
        <w:rPr>
          <w:rFonts w:hint="eastAsia" w:ascii="黑体" w:hAnsi="黑体" w:eastAsia="黑体"/>
          <w:sz w:val="18"/>
          <w:szCs w:val="18"/>
          <w:highlight w:val="none"/>
        </w:rPr>
        <w:t>★产品管理人在此特别披露：渤海银行股份有限公司（以下简称“渤海银行”）是产品管理人的关联方，若产品管理人聘请其担任本产品的代理销售服务机构</w:t>
      </w:r>
      <w:r>
        <w:rPr>
          <w:rFonts w:ascii="黑体" w:hAnsi="黑体" w:eastAsia="黑体"/>
          <w:sz w:val="18"/>
          <w:szCs w:val="18"/>
          <w:highlight w:val="none"/>
        </w:rPr>
        <w:t>或</w:t>
      </w:r>
      <w:r>
        <w:rPr>
          <w:rFonts w:hint="eastAsia" w:ascii="黑体" w:hAnsi="黑体" w:eastAsia="黑体"/>
          <w:sz w:val="18"/>
          <w:szCs w:val="18"/>
          <w:highlight w:val="none"/>
        </w:rPr>
        <w:t>产品托管人的，产品管理人应履行现行法律法规和监管规定所要求的必要程序。</w:t>
      </w:r>
      <w:r>
        <w:rPr>
          <w:rFonts w:ascii="黑体" w:hAnsi="黑体" w:eastAsia="黑体"/>
          <w:sz w:val="18"/>
          <w:szCs w:val="18"/>
          <w:highlight w:val="none"/>
        </w:rPr>
        <w:t xml:space="preserve"> </w:t>
      </w:r>
    </w:p>
    <w:p>
      <w:pPr>
        <w:tabs>
          <w:tab w:val="left" w:pos="704"/>
          <w:tab w:val="left" w:pos="1995"/>
        </w:tabs>
        <w:autoSpaceDE w:val="0"/>
        <w:autoSpaceDN w:val="0"/>
        <w:adjustRightInd w:val="0"/>
        <w:snapToGrid w:val="0"/>
        <w:spacing w:line="360" w:lineRule="auto"/>
        <w:ind w:firstLine="360" w:firstLineChars="200"/>
        <w:rPr>
          <w:rFonts w:ascii="宋体" w:hAnsi="宋体"/>
          <w:sz w:val="18"/>
          <w:szCs w:val="18"/>
          <w:highlight w:val="none"/>
        </w:rPr>
      </w:pPr>
      <w:r>
        <w:rPr>
          <w:rFonts w:ascii="宋体" w:hAnsi="宋体"/>
          <w:sz w:val="18"/>
          <w:szCs w:val="18"/>
          <w:highlight w:val="none"/>
        </w:rPr>
        <w:t>11.</w:t>
      </w:r>
      <w:r>
        <w:rPr>
          <w:rFonts w:hint="eastAsia" w:ascii="宋体" w:hAnsi="宋体"/>
          <w:sz w:val="18"/>
          <w:szCs w:val="18"/>
          <w:highlight w:val="none"/>
        </w:rPr>
        <w:t>产品管理人</w:t>
      </w:r>
      <w:r>
        <w:rPr>
          <w:rFonts w:ascii="宋体" w:hAnsi="宋体"/>
          <w:sz w:val="18"/>
          <w:szCs w:val="18"/>
          <w:highlight w:val="none"/>
        </w:rPr>
        <w:t>负责维护理财产品运作相关的自有</w:t>
      </w:r>
      <w:r>
        <w:rPr>
          <w:rFonts w:hint="eastAsia" w:ascii="宋体" w:hAnsi="宋体" w:cs="仿宋_GB2312"/>
          <w:kern w:val="0"/>
          <w:sz w:val="18"/>
          <w:szCs w:val="18"/>
          <w:highlight w:val="none"/>
        </w:rPr>
        <w:t>业务系统和技术设施</w:t>
      </w:r>
      <w:r>
        <w:rPr>
          <w:rFonts w:ascii="宋体" w:hAnsi="宋体"/>
          <w:sz w:val="18"/>
          <w:szCs w:val="18"/>
          <w:highlight w:val="none"/>
        </w:rPr>
        <w:t>。</w:t>
      </w:r>
    </w:p>
    <w:p>
      <w:pPr>
        <w:tabs>
          <w:tab w:val="left" w:pos="704"/>
          <w:tab w:val="left" w:pos="1995"/>
        </w:tabs>
        <w:autoSpaceDE w:val="0"/>
        <w:autoSpaceDN w:val="0"/>
        <w:adjustRightInd w:val="0"/>
        <w:snapToGrid w:val="0"/>
        <w:spacing w:line="360" w:lineRule="auto"/>
        <w:ind w:firstLine="360" w:firstLineChars="200"/>
        <w:rPr>
          <w:rFonts w:ascii="宋体" w:hAnsi="宋体"/>
          <w:sz w:val="18"/>
          <w:szCs w:val="18"/>
          <w:highlight w:val="none"/>
        </w:rPr>
      </w:pPr>
      <w:r>
        <w:rPr>
          <w:rFonts w:hint="eastAsia" w:ascii="宋体" w:hAnsi="宋体"/>
          <w:sz w:val="18"/>
          <w:szCs w:val="18"/>
          <w:highlight w:val="none"/>
        </w:rPr>
        <w:t>1</w:t>
      </w:r>
      <w:r>
        <w:rPr>
          <w:rFonts w:ascii="宋体" w:hAnsi="宋体"/>
          <w:sz w:val="18"/>
          <w:szCs w:val="18"/>
          <w:highlight w:val="none"/>
        </w:rPr>
        <w:t>2.</w:t>
      </w:r>
      <w:r>
        <w:rPr>
          <w:rFonts w:hint="eastAsia" w:ascii="宋体" w:hAnsi="宋体"/>
          <w:sz w:val="18"/>
          <w:szCs w:val="18"/>
          <w:highlight w:val="none"/>
        </w:rPr>
        <w:t>产品管理人有权根据符合条件的申请，受理并办理继承、捐赠、司法强制执行和经理财产品登记机构认可的其他情况下的非交易过户。</w:t>
      </w:r>
    </w:p>
    <w:p>
      <w:pPr>
        <w:tabs>
          <w:tab w:val="left" w:pos="704"/>
          <w:tab w:val="left" w:pos="1995"/>
        </w:tabs>
        <w:autoSpaceDE w:val="0"/>
        <w:autoSpaceDN w:val="0"/>
        <w:adjustRightInd w:val="0"/>
        <w:snapToGrid w:val="0"/>
        <w:spacing w:after="312" w:afterLines="100" w:line="360" w:lineRule="auto"/>
        <w:ind w:firstLine="360" w:firstLineChars="200"/>
        <w:rPr>
          <w:rFonts w:ascii="宋体" w:hAnsi="宋体"/>
          <w:sz w:val="18"/>
          <w:szCs w:val="18"/>
          <w:highlight w:val="none"/>
        </w:rPr>
      </w:pPr>
      <w:r>
        <w:rPr>
          <w:rFonts w:ascii="宋体" w:hAnsi="宋体"/>
          <w:sz w:val="18"/>
          <w:szCs w:val="18"/>
          <w:highlight w:val="none"/>
        </w:rPr>
        <w:t>13.其他在本产品所对应理财产品销售文件中约定的产品管理人的权利与义务。</w:t>
      </w:r>
      <w:bookmarkEnd w:id="32"/>
      <w:bookmarkEnd w:id="33"/>
      <w:bookmarkEnd w:id="34"/>
      <w:bookmarkEnd w:id="35"/>
      <w:bookmarkEnd w:id="36"/>
      <w:bookmarkEnd w:id="37"/>
      <w:bookmarkEnd w:id="38"/>
      <w:bookmarkEnd w:id="39"/>
      <w:bookmarkEnd w:id="40"/>
      <w:bookmarkEnd w:id="41"/>
      <w:bookmarkEnd w:id="42"/>
      <w:bookmarkEnd w:id="43"/>
      <w:bookmarkEnd w:id="47"/>
      <w:bookmarkStart w:id="56" w:name="_Toc88482732"/>
      <w:bookmarkStart w:id="57" w:name="_Toc95897038"/>
      <w:bookmarkStart w:id="58" w:name="_Toc13288"/>
      <w:bookmarkStart w:id="59" w:name="_Toc74065740"/>
      <w:bookmarkStart w:id="60" w:name="_Toc6149"/>
      <w:bookmarkStart w:id="61" w:name="_Toc18631"/>
      <w:bookmarkStart w:id="62" w:name="_Toc545"/>
      <w:bookmarkStart w:id="63" w:name="_Toc20627"/>
      <w:bookmarkStart w:id="64" w:name="_Toc6683"/>
      <w:bookmarkStart w:id="65" w:name="_Toc22708"/>
      <w:bookmarkStart w:id="66" w:name="_Toc24571"/>
      <w:bookmarkStart w:id="67" w:name="_Toc733"/>
      <w:bookmarkStart w:id="68" w:name="_Toc20318"/>
      <w:bookmarkStart w:id="69" w:name="_Toc258829400"/>
      <w:bookmarkStart w:id="70" w:name="_Toc233456272"/>
    </w:p>
    <w:p>
      <w:pPr>
        <w:pStyle w:val="2"/>
        <w:adjustRightInd w:val="0"/>
        <w:snapToGrid w:val="0"/>
        <w:spacing w:before="0" w:after="0" w:line="480" w:lineRule="auto"/>
        <w:ind w:firstLine="602" w:firstLineChars="200"/>
        <w:jc w:val="center"/>
        <w:rPr>
          <w:rFonts w:ascii="Times New Roman"/>
          <w:color w:val="auto"/>
          <w:sz w:val="30"/>
          <w:highlight w:val="none"/>
        </w:rPr>
      </w:pPr>
      <w:r>
        <w:rPr>
          <w:rFonts w:hint="eastAsia" w:ascii="Times New Roman"/>
          <w:color w:val="auto"/>
          <w:sz w:val="30"/>
          <w:highlight w:val="none"/>
        </w:rPr>
        <w:t>第三条</w:t>
      </w:r>
      <w:r>
        <w:rPr>
          <w:rFonts w:ascii="Times New Roman"/>
          <w:color w:val="auto"/>
          <w:sz w:val="30"/>
          <w:highlight w:val="none"/>
        </w:rPr>
        <w:t xml:space="preserve">  不可抗力</w:t>
      </w:r>
      <w:bookmarkEnd w:id="56"/>
      <w:bookmarkEnd w:id="57"/>
    </w:p>
    <w:bookmarkEnd w:id="58"/>
    <w:bookmarkEnd w:id="59"/>
    <w:bookmarkEnd w:id="60"/>
    <w:bookmarkEnd w:id="61"/>
    <w:bookmarkEnd w:id="62"/>
    <w:bookmarkEnd w:id="63"/>
    <w:bookmarkEnd w:id="64"/>
    <w:bookmarkEnd w:id="65"/>
    <w:bookmarkEnd w:id="66"/>
    <w:bookmarkEnd w:id="67"/>
    <w:bookmarkEnd w:id="68"/>
    <w:p>
      <w:pPr>
        <w:pStyle w:val="10"/>
        <w:snapToGrid w:val="0"/>
        <w:spacing w:after="312" w:afterLines="100" w:line="360" w:lineRule="auto"/>
        <w:ind w:firstLine="360" w:firstLineChars="200"/>
        <w:rPr>
          <w:rFonts w:hAnsi="宋体"/>
          <w:bCs/>
          <w:color w:val="auto"/>
          <w:sz w:val="18"/>
          <w:szCs w:val="18"/>
          <w:highlight w:val="none"/>
        </w:rPr>
      </w:pPr>
      <w:r>
        <w:rPr>
          <w:rFonts w:hint="eastAsia" w:hAnsi="宋体"/>
          <w:bCs/>
          <w:color w:val="auto"/>
          <w:sz w:val="18"/>
          <w:szCs w:val="18"/>
          <w:highlight w:val="none"/>
        </w:rPr>
        <w:t>（一）本协议中的不可抗力指遭受不可抗力事件一方不能预见、不能避免、不能克服的客观情况，包括但不限于洪水、地震及其他自然灾害、战争、骚乱、火灾、突发性公共卫生事件、政府征用或没收、法律法规变化、突发停电或其他突发事件、注册与过户登记机构非正常的暂停或终止业务、交易系统非正常暂停或停止交易、非产品管理人所引起或能控制的计算机系统、通讯系统、互联网系统、电力系统故障等情形。</w:t>
      </w:r>
    </w:p>
    <w:p>
      <w:pPr>
        <w:pStyle w:val="10"/>
        <w:snapToGrid w:val="0"/>
        <w:spacing w:line="360" w:lineRule="auto"/>
        <w:ind w:firstLine="360" w:firstLineChars="200"/>
        <w:rPr>
          <w:rFonts w:hAnsi="宋体"/>
          <w:bCs/>
          <w:color w:val="auto"/>
          <w:sz w:val="18"/>
          <w:szCs w:val="18"/>
          <w:highlight w:val="none"/>
        </w:rPr>
      </w:pPr>
      <w:r>
        <w:rPr>
          <w:rFonts w:hint="eastAsia" w:hAnsi="宋体"/>
          <w:bCs/>
          <w:color w:val="auto"/>
          <w:sz w:val="18"/>
          <w:szCs w:val="18"/>
          <w:highlight w:val="none"/>
        </w:rPr>
        <w:t>（二）对由不可抗力导致的交易中断、延误及由此造成的损失，产品管理人不承担相应责任，但产品管理人应在条件允许的情况下，采取必要的补救措施以减少不可抗力造成的损失。</w:t>
      </w:r>
    </w:p>
    <w:p>
      <w:pPr>
        <w:pStyle w:val="10"/>
        <w:snapToGrid w:val="0"/>
        <w:spacing w:line="480" w:lineRule="auto"/>
        <w:ind w:firstLine="360" w:firstLineChars="200"/>
        <w:rPr>
          <w:rFonts w:hAnsi="宋体"/>
          <w:bCs/>
          <w:color w:val="auto"/>
          <w:sz w:val="18"/>
          <w:szCs w:val="18"/>
          <w:highlight w:val="none"/>
        </w:rPr>
      </w:pPr>
    </w:p>
    <w:p>
      <w:pPr>
        <w:pStyle w:val="2"/>
        <w:adjustRightInd w:val="0"/>
        <w:snapToGrid w:val="0"/>
        <w:spacing w:before="0" w:after="0" w:line="480" w:lineRule="auto"/>
        <w:ind w:firstLine="602" w:firstLineChars="200"/>
        <w:jc w:val="center"/>
        <w:rPr>
          <w:rFonts w:ascii="Times New Roman"/>
          <w:color w:val="auto"/>
          <w:sz w:val="30"/>
          <w:highlight w:val="none"/>
        </w:rPr>
      </w:pPr>
      <w:bookmarkStart w:id="71" w:name="_Toc88482733"/>
      <w:bookmarkStart w:id="72" w:name="_Toc95897039"/>
      <w:r>
        <w:rPr>
          <w:rFonts w:hint="eastAsia" w:ascii="Times New Roman"/>
          <w:color w:val="auto"/>
          <w:sz w:val="30"/>
          <w:highlight w:val="none"/>
        </w:rPr>
        <w:t>第四条  违约责任</w:t>
      </w:r>
      <w:bookmarkEnd w:id="71"/>
      <w:bookmarkEnd w:id="72"/>
    </w:p>
    <w:p>
      <w:pPr>
        <w:pStyle w:val="10"/>
        <w:snapToGrid w:val="0"/>
        <w:spacing w:line="360" w:lineRule="auto"/>
        <w:ind w:firstLine="360" w:firstLineChars="200"/>
        <w:rPr>
          <w:rFonts w:hAnsi="宋体"/>
          <w:bCs/>
          <w:color w:val="auto"/>
          <w:sz w:val="18"/>
          <w:szCs w:val="18"/>
          <w:highlight w:val="none"/>
        </w:rPr>
      </w:pPr>
      <w:r>
        <w:rPr>
          <w:rFonts w:hint="eastAsia" w:hAnsi="宋体"/>
          <w:bCs/>
          <w:color w:val="auto"/>
          <w:sz w:val="18"/>
          <w:szCs w:val="18"/>
          <w:highlight w:val="none"/>
        </w:rPr>
        <w:t>（一）由于本协议一方当事人的过错，造成本协议不能履行或不能完全履行的，由有过错的一方承担违约责任；如双方同时负有过错，则应由双方各自按照过错程度承担责任。</w:t>
      </w:r>
    </w:p>
    <w:p>
      <w:pPr>
        <w:pStyle w:val="10"/>
        <w:snapToGrid w:val="0"/>
        <w:spacing w:line="360" w:lineRule="auto"/>
        <w:ind w:firstLine="360" w:firstLineChars="200"/>
        <w:rPr>
          <w:rFonts w:hAnsi="宋体"/>
          <w:bCs/>
          <w:color w:val="auto"/>
          <w:sz w:val="18"/>
          <w:szCs w:val="18"/>
          <w:highlight w:val="none"/>
        </w:rPr>
      </w:pPr>
      <w:r>
        <w:rPr>
          <w:rFonts w:hint="eastAsia" w:hAnsi="宋体"/>
          <w:bCs/>
          <w:color w:val="auto"/>
          <w:sz w:val="18"/>
          <w:szCs w:val="18"/>
          <w:highlight w:val="none"/>
        </w:rPr>
        <w:t>（二）双方同意，发生下列情况造成损失时，按以下约定承担责任：</w:t>
      </w:r>
    </w:p>
    <w:p>
      <w:pPr>
        <w:pStyle w:val="10"/>
        <w:snapToGrid w:val="0"/>
        <w:spacing w:line="360" w:lineRule="auto"/>
        <w:ind w:firstLine="360" w:firstLineChars="200"/>
        <w:rPr>
          <w:rFonts w:hAnsi="宋体"/>
          <w:bCs/>
          <w:color w:val="auto"/>
          <w:sz w:val="18"/>
          <w:szCs w:val="18"/>
          <w:highlight w:val="none"/>
        </w:rPr>
      </w:pPr>
      <w:r>
        <w:rPr>
          <w:rFonts w:hint="eastAsia" w:hAnsi="宋体"/>
          <w:bCs/>
          <w:color w:val="auto"/>
          <w:sz w:val="18"/>
          <w:szCs w:val="18"/>
          <w:highlight w:val="none"/>
        </w:rPr>
        <w:t>1.对由于国家有关法律、法规、规章、政策的变化，监管机构管理规则的修改、紧急措施的出台等原因而导致的相关风险及损失，双方当事人互不承担责任；</w:t>
      </w:r>
    </w:p>
    <w:p>
      <w:pPr>
        <w:pStyle w:val="10"/>
        <w:snapToGrid w:val="0"/>
        <w:spacing w:line="360" w:lineRule="auto"/>
        <w:ind w:firstLine="360" w:firstLineChars="200"/>
        <w:rPr>
          <w:rFonts w:hAnsi="宋体"/>
          <w:bCs/>
          <w:color w:val="auto"/>
          <w:sz w:val="18"/>
          <w:szCs w:val="18"/>
          <w:highlight w:val="none"/>
        </w:rPr>
      </w:pPr>
      <w:r>
        <w:rPr>
          <w:rFonts w:hint="eastAsia" w:hAnsi="宋体"/>
          <w:bCs/>
          <w:color w:val="auto"/>
          <w:sz w:val="18"/>
          <w:szCs w:val="18"/>
          <w:highlight w:val="none"/>
        </w:rPr>
        <w:t>2.本协议书中涉及的相关到期日或分配日如遇节假日，将顺延至下一个工作日，由此产生的风险及损失双方当事人互不承担责任；</w:t>
      </w:r>
    </w:p>
    <w:p>
      <w:pPr>
        <w:autoSpaceDE w:val="0"/>
        <w:autoSpaceDN w:val="0"/>
        <w:adjustRightInd w:val="0"/>
        <w:snapToGrid w:val="0"/>
        <w:spacing w:line="360" w:lineRule="auto"/>
        <w:ind w:firstLine="360" w:firstLineChars="200"/>
        <w:rPr>
          <w:rFonts w:ascii="黑体" w:hAnsi="黑体" w:eastAsia="黑体" w:cs="仿宋_GB2312"/>
          <w:kern w:val="0"/>
          <w:sz w:val="18"/>
          <w:szCs w:val="18"/>
          <w:highlight w:val="none"/>
        </w:rPr>
      </w:pPr>
      <w:r>
        <w:rPr>
          <w:rFonts w:ascii="黑体" w:hAnsi="黑体" w:eastAsia="黑体" w:cs="仿宋_GB2312"/>
          <w:kern w:val="0"/>
          <w:sz w:val="18"/>
          <w:szCs w:val="18"/>
          <w:highlight w:val="none"/>
        </w:rPr>
        <w:t>3.</w:t>
      </w:r>
      <w:r>
        <w:rPr>
          <w:rFonts w:hint="eastAsia" w:ascii="黑体" w:hAnsi="黑体" w:eastAsia="黑体" w:cs="仿宋_GB2312"/>
          <w:bCs/>
          <w:kern w:val="0"/>
          <w:sz w:val="18"/>
          <w:szCs w:val="18"/>
          <w:highlight w:val="none"/>
        </w:rPr>
        <w:t>★</w:t>
      </w:r>
      <w:r>
        <w:rPr>
          <w:rFonts w:hint="eastAsia" w:ascii="黑体" w:hAnsi="黑体" w:eastAsia="黑体" w:cs="仿宋_GB2312"/>
          <w:kern w:val="0"/>
          <w:sz w:val="18"/>
          <w:szCs w:val="18"/>
          <w:highlight w:val="none"/>
        </w:rPr>
        <w:t>如投资者违反本协议所做的声明和保证，或本产品投资者所涉及的资金被有权机关全部或部分冻结或者扣划，产品管理人有权提前终止本合同，且产品管理人不承担相应责任，如因此给产品管理人或产品其他投资者造成损失的，投资者应承担违约责任。</w:t>
      </w:r>
    </w:p>
    <w:p>
      <w:pPr>
        <w:autoSpaceDE w:val="0"/>
        <w:autoSpaceDN w:val="0"/>
        <w:adjustRightInd w:val="0"/>
        <w:snapToGrid w:val="0"/>
        <w:spacing w:line="480" w:lineRule="auto"/>
        <w:ind w:firstLine="360" w:firstLineChars="200"/>
        <w:rPr>
          <w:rFonts w:ascii="黑体" w:hAnsi="黑体" w:eastAsia="黑体" w:cs="仿宋_GB2312"/>
          <w:kern w:val="0"/>
          <w:sz w:val="18"/>
          <w:szCs w:val="18"/>
          <w:highlight w:val="none"/>
        </w:rPr>
      </w:pPr>
    </w:p>
    <w:p>
      <w:pPr>
        <w:pStyle w:val="2"/>
        <w:adjustRightInd w:val="0"/>
        <w:snapToGrid w:val="0"/>
        <w:spacing w:before="0" w:after="0" w:line="480" w:lineRule="auto"/>
        <w:ind w:firstLine="602" w:firstLineChars="200"/>
        <w:jc w:val="center"/>
        <w:rPr>
          <w:rFonts w:ascii="Times New Roman"/>
          <w:color w:val="auto"/>
          <w:sz w:val="30"/>
          <w:highlight w:val="none"/>
        </w:rPr>
      </w:pPr>
      <w:bookmarkStart w:id="73" w:name="_Toc95897040"/>
      <w:bookmarkStart w:id="74" w:name="_Toc88482734"/>
      <w:r>
        <w:rPr>
          <w:rFonts w:hint="eastAsia" w:ascii="Times New Roman"/>
          <w:color w:val="auto"/>
          <w:sz w:val="30"/>
          <w:highlight w:val="none"/>
        </w:rPr>
        <w:t>第五条  法律适用和争议解决</w:t>
      </w:r>
      <w:bookmarkEnd w:id="73"/>
      <w:bookmarkEnd w:id="74"/>
    </w:p>
    <w:p>
      <w:pPr>
        <w:pStyle w:val="10"/>
        <w:snapToGrid w:val="0"/>
        <w:spacing w:line="360" w:lineRule="auto"/>
        <w:ind w:firstLine="360" w:firstLineChars="200"/>
        <w:outlineLvl w:val="1"/>
        <w:rPr>
          <w:rFonts w:hAnsi="宋体"/>
          <w:bCs/>
          <w:color w:val="auto"/>
          <w:sz w:val="18"/>
          <w:szCs w:val="18"/>
          <w:highlight w:val="none"/>
        </w:rPr>
      </w:pPr>
      <w:r>
        <w:rPr>
          <w:rFonts w:hint="eastAsia" w:hAnsi="宋体"/>
          <w:bCs/>
          <w:color w:val="auto"/>
          <w:sz w:val="18"/>
          <w:szCs w:val="18"/>
          <w:highlight w:val="none"/>
        </w:rPr>
        <w:t>（一）法律适用</w:t>
      </w:r>
    </w:p>
    <w:p>
      <w:pPr>
        <w:pStyle w:val="10"/>
        <w:snapToGrid w:val="0"/>
        <w:spacing w:line="360" w:lineRule="auto"/>
        <w:ind w:firstLine="360" w:firstLineChars="200"/>
        <w:rPr>
          <w:rFonts w:hAnsi="宋体"/>
          <w:bCs/>
          <w:color w:val="auto"/>
          <w:sz w:val="18"/>
          <w:szCs w:val="18"/>
          <w:highlight w:val="none"/>
        </w:rPr>
      </w:pPr>
      <w:r>
        <w:rPr>
          <w:rFonts w:hint="eastAsia" w:hAnsi="宋体"/>
          <w:bCs/>
          <w:color w:val="auto"/>
          <w:sz w:val="18"/>
          <w:szCs w:val="18"/>
          <w:highlight w:val="none"/>
        </w:rPr>
        <w:t>本协议的订立、生效、履行、解除、解释及争议的解决等均适用中华人民共和国法律（为本协议之目的，不包括香港特别行政区、澳门特别行政区和台湾地区的法律）。</w:t>
      </w:r>
    </w:p>
    <w:p>
      <w:pPr>
        <w:adjustRightInd w:val="0"/>
        <w:snapToGrid w:val="0"/>
        <w:spacing w:line="360" w:lineRule="auto"/>
        <w:ind w:firstLine="360" w:firstLineChars="200"/>
        <w:outlineLvl w:val="1"/>
        <w:rPr>
          <w:rFonts w:ascii="黑体" w:hAnsi="黑体" w:eastAsia="黑体"/>
          <w:sz w:val="18"/>
          <w:szCs w:val="18"/>
          <w:highlight w:val="none"/>
        </w:rPr>
      </w:pPr>
      <w:r>
        <w:rPr>
          <w:rFonts w:hint="eastAsia" w:ascii="黑体" w:hAnsi="黑体" w:eastAsia="黑体"/>
          <w:sz w:val="18"/>
          <w:szCs w:val="18"/>
          <w:highlight w:val="none"/>
        </w:rPr>
        <w:t>（二）★争议解决</w:t>
      </w:r>
    </w:p>
    <w:p>
      <w:pPr>
        <w:adjustRightInd w:val="0"/>
        <w:snapToGrid w:val="0"/>
        <w:spacing w:line="360" w:lineRule="auto"/>
        <w:ind w:firstLine="360" w:firstLineChars="200"/>
        <w:rPr>
          <w:rFonts w:ascii="黑体" w:hAnsi="黑体" w:eastAsia="黑体"/>
          <w:color w:val="000000"/>
          <w:sz w:val="18"/>
          <w:szCs w:val="18"/>
          <w:highlight w:val="none"/>
        </w:rPr>
      </w:pPr>
      <w:r>
        <w:rPr>
          <w:rFonts w:hint="eastAsia" w:ascii="宋体" w:hAnsi="宋体"/>
          <w:bCs/>
          <w:kern w:val="0"/>
          <w:sz w:val="18"/>
          <w:szCs w:val="18"/>
          <w:highlight w:val="none"/>
        </w:rPr>
        <w:t>双方在本协议书的执行过程中发生的任何争议，应通过友好协商解决。如</w:t>
      </w:r>
      <w:r>
        <w:rPr>
          <w:rFonts w:hint="eastAsia" w:ascii="黑体" w:hAnsi="黑体" w:eastAsia="黑体"/>
          <w:color w:val="000000"/>
          <w:sz w:val="18"/>
          <w:szCs w:val="18"/>
          <w:highlight w:val="none"/>
        </w:rPr>
        <w:t>友好协商不成的，双方均同意以如下方式解决：向产品管理人住所地之人民法院提起诉讼。</w:t>
      </w:r>
    </w:p>
    <w:p>
      <w:pPr>
        <w:adjustRightInd w:val="0"/>
        <w:snapToGrid w:val="0"/>
        <w:spacing w:line="480" w:lineRule="auto"/>
        <w:ind w:firstLine="360" w:firstLineChars="200"/>
        <w:rPr>
          <w:rFonts w:ascii="黑体" w:hAnsi="黑体" w:eastAsia="黑体"/>
          <w:color w:val="000000"/>
          <w:sz w:val="18"/>
          <w:szCs w:val="18"/>
          <w:highlight w:val="none"/>
        </w:rPr>
      </w:pPr>
    </w:p>
    <w:p>
      <w:pPr>
        <w:pStyle w:val="2"/>
        <w:adjustRightInd w:val="0"/>
        <w:snapToGrid w:val="0"/>
        <w:spacing w:before="0" w:after="0" w:line="480" w:lineRule="auto"/>
        <w:ind w:firstLine="602" w:firstLineChars="200"/>
        <w:jc w:val="center"/>
        <w:rPr>
          <w:rFonts w:ascii="Times New Roman"/>
          <w:color w:val="auto"/>
          <w:sz w:val="30"/>
          <w:highlight w:val="none"/>
        </w:rPr>
      </w:pPr>
      <w:bookmarkStart w:id="75" w:name="_Toc95897041"/>
      <w:bookmarkStart w:id="76" w:name="_Toc88482735"/>
      <w:r>
        <w:rPr>
          <w:rFonts w:hint="eastAsia" w:ascii="Times New Roman"/>
          <w:color w:val="auto"/>
          <w:sz w:val="30"/>
          <w:highlight w:val="none"/>
        </w:rPr>
        <w:t>第六条  协议的签署和效力</w:t>
      </w:r>
      <w:bookmarkEnd w:id="75"/>
      <w:bookmarkEnd w:id="76"/>
    </w:p>
    <w:p>
      <w:pPr>
        <w:tabs>
          <w:tab w:val="left" w:pos="704"/>
          <w:tab w:val="left" w:pos="1995"/>
        </w:tabs>
        <w:autoSpaceDE w:val="0"/>
        <w:autoSpaceDN w:val="0"/>
        <w:adjustRightInd w:val="0"/>
        <w:snapToGrid w:val="0"/>
        <w:spacing w:line="360" w:lineRule="auto"/>
        <w:ind w:firstLine="360" w:firstLineChars="200"/>
        <w:outlineLvl w:val="1"/>
        <w:rPr>
          <w:rFonts w:ascii="黑体" w:hAnsi="黑体" w:eastAsia="黑体"/>
          <w:sz w:val="18"/>
          <w:szCs w:val="18"/>
          <w:highlight w:val="none"/>
        </w:rPr>
      </w:pPr>
      <w:r>
        <w:rPr>
          <w:rFonts w:hint="eastAsia" w:ascii="黑体" w:hAnsi="黑体" w:eastAsia="黑体"/>
          <w:sz w:val="18"/>
          <w:szCs w:val="18"/>
          <w:highlight w:val="none"/>
        </w:rPr>
        <w:t>（一）</w:t>
      </w:r>
      <w:r>
        <w:rPr>
          <w:rFonts w:hint="eastAsia" w:ascii="黑体" w:hAnsi="黑体" w:eastAsia="黑体" w:cs="仿宋_GB2312"/>
          <w:bCs/>
          <w:kern w:val="0"/>
          <w:sz w:val="18"/>
          <w:szCs w:val="18"/>
          <w:highlight w:val="none"/>
        </w:rPr>
        <w:t>★</w:t>
      </w:r>
      <w:r>
        <w:rPr>
          <w:rFonts w:hint="eastAsia" w:ascii="黑体" w:hAnsi="黑体" w:eastAsia="黑体"/>
          <w:sz w:val="18"/>
          <w:szCs w:val="18"/>
          <w:highlight w:val="none"/>
        </w:rPr>
        <w:t>协议的签署</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highlight w:val="none"/>
        </w:rPr>
      </w:pPr>
      <w:r>
        <w:rPr>
          <w:rFonts w:ascii="宋体" w:hAnsi="宋体"/>
          <w:sz w:val="18"/>
          <w:szCs w:val="18"/>
          <w:highlight w:val="none"/>
        </w:rPr>
        <w:t>1.</w:t>
      </w:r>
      <w:r>
        <w:rPr>
          <w:rFonts w:hint="eastAsia" w:ascii="宋体" w:hAnsi="宋体"/>
          <w:sz w:val="18"/>
          <w:szCs w:val="18"/>
          <w:highlight w:val="none"/>
        </w:rPr>
        <w:t>投资者若通过销售服务机构线下渠道购买本产品的</w:t>
      </w:r>
      <w:r>
        <w:rPr>
          <w:rFonts w:hint="eastAsia" w:ascii="黑体" w:hAnsi="黑体" w:eastAsia="黑体"/>
          <w:sz w:val="18"/>
          <w:szCs w:val="18"/>
          <w:highlight w:val="none"/>
        </w:rPr>
        <w:t>，本协议自投资者签字</w:t>
      </w:r>
      <w:r>
        <w:rPr>
          <w:rFonts w:ascii="黑体" w:hAnsi="黑体" w:eastAsia="黑体"/>
          <w:sz w:val="18"/>
          <w:szCs w:val="18"/>
          <w:highlight w:val="none"/>
        </w:rPr>
        <w:t>/盖章</w:t>
      </w:r>
      <w:r>
        <w:rPr>
          <w:rFonts w:hint="eastAsia" w:ascii="黑体" w:hAnsi="黑体" w:eastAsia="黑体"/>
          <w:sz w:val="18"/>
          <w:szCs w:val="18"/>
          <w:highlight w:val="none"/>
        </w:rPr>
        <w:t>（</w:t>
      </w:r>
      <w:r>
        <w:rPr>
          <w:rFonts w:hint="eastAsia" w:ascii="黑体" w:hAnsi="黑体" w:eastAsia="黑体" w:cs="仿宋_GB2312"/>
          <w:kern w:val="0"/>
          <w:sz w:val="18"/>
          <w:szCs w:val="18"/>
          <w:highlight w:val="none"/>
        </w:rPr>
        <w:t>个人投资者签字、机构投资者法定代表人或授权代理人签字或加盖名章并加盖公章或合同专用章</w:t>
      </w:r>
      <w:r>
        <w:rPr>
          <w:rFonts w:hint="eastAsia" w:ascii="黑体" w:hAnsi="黑体" w:eastAsia="黑体"/>
          <w:sz w:val="18"/>
          <w:szCs w:val="18"/>
          <w:highlight w:val="none"/>
        </w:rPr>
        <w:t>）</w:t>
      </w:r>
      <w:r>
        <w:rPr>
          <w:rFonts w:ascii="黑体" w:hAnsi="黑体" w:eastAsia="黑体"/>
          <w:sz w:val="18"/>
          <w:szCs w:val="18"/>
          <w:highlight w:val="none"/>
        </w:rPr>
        <w:t>后则为签署。</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highlight w:val="none"/>
        </w:rPr>
      </w:pPr>
      <w:r>
        <w:rPr>
          <w:rFonts w:ascii="宋体" w:hAnsi="宋体"/>
          <w:sz w:val="18"/>
          <w:szCs w:val="18"/>
          <w:highlight w:val="none"/>
        </w:rPr>
        <w:t>2.</w:t>
      </w:r>
      <w:r>
        <w:rPr>
          <w:rFonts w:hint="eastAsia" w:ascii="宋体" w:hAnsi="宋体"/>
          <w:sz w:val="18"/>
          <w:szCs w:val="18"/>
          <w:highlight w:val="none"/>
        </w:rPr>
        <w:t>投资者若通过销售服务机构线上渠道购买本产品的，</w:t>
      </w:r>
      <w:r>
        <w:rPr>
          <w:rFonts w:hint="eastAsia" w:ascii="黑体" w:hAnsi="黑体" w:eastAsia="黑体"/>
          <w:sz w:val="18"/>
          <w:szCs w:val="18"/>
          <w:highlight w:val="none"/>
        </w:rPr>
        <w:t>本协议自投资者在系统中点击确认则视为签署。</w:t>
      </w:r>
    </w:p>
    <w:p>
      <w:pPr>
        <w:tabs>
          <w:tab w:val="left" w:pos="704"/>
          <w:tab w:val="left" w:pos="1995"/>
        </w:tabs>
        <w:autoSpaceDE w:val="0"/>
        <w:autoSpaceDN w:val="0"/>
        <w:adjustRightInd w:val="0"/>
        <w:snapToGrid w:val="0"/>
        <w:spacing w:line="360" w:lineRule="auto"/>
        <w:ind w:firstLine="360" w:firstLineChars="200"/>
        <w:outlineLvl w:val="1"/>
        <w:rPr>
          <w:rFonts w:ascii="黑体" w:hAnsi="黑体" w:eastAsia="黑体"/>
          <w:sz w:val="18"/>
          <w:szCs w:val="18"/>
          <w:highlight w:val="none"/>
        </w:rPr>
      </w:pPr>
      <w:r>
        <w:rPr>
          <w:rFonts w:hint="eastAsia" w:ascii="黑体" w:hAnsi="黑体" w:eastAsia="黑体"/>
          <w:sz w:val="18"/>
          <w:szCs w:val="18"/>
          <w:highlight w:val="none"/>
        </w:rPr>
        <w:t>（二）</w:t>
      </w:r>
      <w:r>
        <w:rPr>
          <w:rFonts w:hint="eastAsia" w:ascii="黑体" w:hAnsi="黑体" w:eastAsia="黑体" w:cs="仿宋_GB2312"/>
          <w:bCs/>
          <w:kern w:val="0"/>
          <w:sz w:val="18"/>
          <w:szCs w:val="18"/>
          <w:highlight w:val="none"/>
        </w:rPr>
        <w:t>★</w:t>
      </w:r>
      <w:r>
        <w:rPr>
          <w:rFonts w:hint="eastAsia" w:ascii="黑体" w:hAnsi="黑体" w:eastAsia="黑体"/>
          <w:sz w:val="18"/>
          <w:szCs w:val="18"/>
          <w:highlight w:val="none"/>
        </w:rPr>
        <w:t>协议的效力</w:t>
      </w:r>
    </w:p>
    <w:p>
      <w:pPr>
        <w:autoSpaceDE w:val="0"/>
        <w:autoSpaceDN w:val="0"/>
        <w:adjustRightInd w:val="0"/>
        <w:snapToGrid w:val="0"/>
        <w:spacing w:line="360" w:lineRule="auto"/>
        <w:ind w:firstLine="360" w:firstLineChars="200"/>
        <w:rPr>
          <w:rFonts w:ascii="黑体" w:hAnsi="黑体" w:eastAsia="黑体" w:cs="仿宋_GB2312"/>
          <w:kern w:val="0"/>
          <w:sz w:val="18"/>
          <w:szCs w:val="18"/>
          <w:highlight w:val="none"/>
        </w:rPr>
      </w:pPr>
      <w:r>
        <w:rPr>
          <w:rFonts w:ascii="黑体" w:hAnsi="黑体" w:eastAsia="黑体" w:cs="仿宋_GB2312"/>
          <w:kern w:val="0"/>
          <w:sz w:val="18"/>
          <w:szCs w:val="18"/>
          <w:highlight w:val="none"/>
        </w:rPr>
        <w:t>1.投资者确认其已了解本产品所对应的理财产品销售文件的构成与相关内容，《</w:t>
      </w:r>
      <w:r>
        <w:rPr>
          <w:rFonts w:hint="eastAsia" w:ascii="黑体" w:hAnsi="黑体" w:eastAsia="黑体" w:cs="仿宋_GB2312"/>
          <w:kern w:val="0"/>
          <w:sz w:val="18"/>
          <w:szCs w:val="18"/>
          <w:highlight w:val="none"/>
        </w:rPr>
        <w:t>投资</w:t>
      </w:r>
      <w:r>
        <w:rPr>
          <w:rFonts w:ascii="黑体" w:hAnsi="黑体" w:eastAsia="黑体" w:cs="仿宋_GB2312"/>
          <w:kern w:val="0"/>
          <w:sz w:val="18"/>
          <w:szCs w:val="18"/>
          <w:highlight w:val="none"/>
        </w:rPr>
        <w:t>协议书》、《</w:t>
      </w:r>
      <w:r>
        <w:rPr>
          <w:rFonts w:hint="eastAsia" w:ascii="黑体" w:hAnsi="黑体" w:eastAsia="黑体" w:cs="仿宋_GB2312"/>
          <w:kern w:val="0"/>
          <w:sz w:val="18"/>
          <w:szCs w:val="18"/>
          <w:highlight w:val="none"/>
        </w:rPr>
        <w:t>理财</w:t>
      </w:r>
      <w:r>
        <w:rPr>
          <w:rFonts w:ascii="黑体" w:hAnsi="黑体" w:eastAsia="黑体" w:cs="仿宋_GB2312"/>
          <w:kern w:val="0"/>
          <w:sz w:val="18"/>
          <w:szCs w:val="18"/>
          <w:highlight w:val="none"/>
        </w:rPr>
        <w:t>产品说明书》、</w:t>
      </w:r>
      <w:r>
        <w:rPr>
          <w:rFonts w:hint="eastAsia" w:ascii="黑体" w:hAnsi="黑体" w:eastAsia="黑体" w:cs="仿宋_GB2312"/>
          <w:kern w:val="0"/>
          <w:sz w:val="18"/>
          <w:szCs w:val="18"/>
          <w:highlight w:val="none"/>
        </w:rPr>
        <w:t>《理财产品（代理）销售</w:t>
      </w:r>
      <w:r>
        <w:rPr>
          <w:rFonts w:ascii="黑体" w:hAnsi="黑体" w:eastAsia="黑体" w:cs="仿宋_GB2312"/>
          <w:kern w:val="0"/>
          <w:sz w:val="18"/>
          <w:szCs w:val="18"/>
          <w:highlight w:val="none"/>
        </w:rPr>
        <w:t>协议书</w:t>
      </w:r>
      <w:r>
        <w:rPr>
          <w:rFonts w:hint="eastAsia" w:ascii="黑体" w:hAnsi="黑体" w:eastAsia="黑体" w:cs="仿宋_GB2312"/>
          <w:kern w:val="0"/>
          <w:sz w:val="18"/>
          <w:szCs w:val="18"/>
          <w:highlight w:val="none"/>
        </w:rPr>
        <w:t>》、</w:t>
      </w:r>
      <w:r>
        <w:rPr>
          <w:rFonts w:ascii="黑体" w:hAnsi="黑体" w:eastAsia="黑体" w:cs="仿宋_GB2312"/>
          <w:kern w:val="0"/>
          <w:sz w:val="18"/>
          <w:szCs w:val="18"/>
          <w:highlight w:val="none"/>
        </w:rPr>
        <w:t>《风险揭示书》、《</w:t>
      </w:r>
      <w:r>
        <w:rPr>
          <w:rFonts w:hint="eastAsia" w:ascii="黑体" w:hAnsi="黑体" w:eastAsia="黑体" w:cs="仿宋_GB2312"/>
          <w:kern w:val="0"/>
          <w:sz w:val="18"/>
          <w:szCs w:val="18"/>
          <w:highlight w:val="none"/>
        </w:rPr>
        <w:t>投资者权益须知》等有关文件共同构成一份完整且不可分割的理财产品销售文件，具有同等效力。</w:t>
      </w:r>
    </w:p>
    <w:p>
      <w:pPr>
        <w:autoSpaceDE w:val="0"/>
        <w:autoSpaceDN w:val="0"/>
        <w:adjustRightInd w:val="0"/>
        <w:snapToGrid w:val="0"/>
        <w:spacing w:line="360" w:lineRule="auto"/>
        <w:ind w:firstLine="360" w:firstLineChars="200"/>
        <w:rPr>
          <w:rFonts w:ascii="黑体" w:hAnsi="黑体" w:eastAsia="黑体" w:cs="仿宋_GB2312"/>
          <w:kern w:val="0"/>
          <w:sz w:val="18"/>
          <w:szCs w:val="18"/>
          <w:highlight w:val="none"/>
        </w:rPr>
      </w:pPr>
      <w:r>
        <w:rPr>
          <w:rFonts w:ascii="黑体" w:hAnsi="黑体" w:eastAsia="黑体" w:cs="仿宋_GB2312"/>
          <w:kern w:val="0"/>
          <w:sz w:val="18"/>
          <w:szCs w:val="18"/>
          <w:highlight w:val="none"/>
        </w:rPr>
        <w:t>2.投资者签署本协议即视为投资者已经阅读并认可理财产品销售文件（包括但不限于《</w:t>
      </w:r>
      <w:r>
        <w:rPr>
          <w:rFonts w:hint="eastAsia" w:ascii="黑体" w:hAnsi="黑体" w:eastAsia="黑体" w:cs="仿宋_GB2312"/>
          <w:kern w:val="0"/>
          <w:sz w:val="18"/>
          <w:szCs w:val="18"/>
          <w:highlight w:val="none"/>
        </w:rPr>
        <w:t>投资</w:t>
      </w:r>
      <w:r>
        <w:rPr>
          <w:rFonts w:ascii="黑体" w:hAnsi="黑体" w:eastAsia="黑体" w:cs="仿宋_GB2312"/>
          <w:kern w:val="0"/>
          <w:sz w:val="18"/>
          <w:szCs w:val="18"/>
          <w:highlight w:val="none"/>
        </w:rPr>
        <w:t>协议书》、《</w:t>
      </w:r>
      <w:r>
        <w:rPr>
          <w:rFonts w:hint="eastAsia" w:ascii="黑体" w:hAnsi="黑体" w:eastAsia="黑体" w:cs="仿宋_GB2312"/>
          <w:kern w:val="0"/>
          <w:sz w:val="18"/>
          <w:szCs w:val="18"/>
          <w:highlight w:val="none"/>
        </w:rPr>
        <w:t>理财</w:t>
      </w:r>
      <w:r>
        <w:rPr>
          <w:rFonts w:ascii="黑体" w:hAnsi="黑体" w:eastAsia="黑体" w:cs="仿宋_GB2312"/>
          <w:kern w:val="0"/>
          <w:sz w:val="18"/>
          <w:szCs w:val="18"/>
          <w:highlight w:val="none"/>
        </w:rPr>
        <w:t>产品说明书》、</w:t>
      </w:r>
      <w:r>
        <w:rPr>
          <w:rFonts w:hint="eastAsia" w:ascii="黑体" w:hAnsi="黑体" w:eastAsia="黑体" w:cs="仿宋_GB2312"/>
          <w:kern w:val="0"/>
          <w:sz w:val="18"/>
          <w:szCs w:val="18"/>
          <w:highlight w:val="none"/>
        </w:rPr>
        <w:t>《理财产品（代理）销售</w:t>
      </w:r>
      <w:r>
        <w:rPr>
          <w:rFonts w:ascii="黑体" w:hAnsi="黑体" w:eastAsia="黑体" w:cs="仿宋_GB2312"/>
          <w:kern w:val="0"/>
          <w:sz w:val="18"/>
          <w:szCs w:val="18"/>
          <w:highlight w:val="none"/>
        </w:rPr>
        <w:t>协议书</w:t>
      </w:r>
      <w:r>
        <w:rPr>
          <w:rFonts w:hint="eastAsia" w:ascii="黑体" w:hAnsi="黑体" w:eastAsia="黑体" w:cs="仿宋_GB2312"/>
          <w:kern w:val="0"/>
          <w:sz w:val="18"/>
          <w:szCs w:val="18"/>
          <w:highlight w:val="none"/>
        </w:rPr>
        <w:t>》、</w:t>
      </w:r>
      <w:r>
        <w:rPr>
          <w:rFonts w:ascii="黑体" w:hAnsi="黑体" w:eastAsia="黑体" w:cs="仿宋_GB2312"/>
          <w:kern w:val="0"/>
          <w:sz w:val="18"/>
          <w:szCs w:val="18"/>
          <w:highlight w:val="none"/>
        </w:rPr>
        <w:t>《风险揭示书》、《</w:t>
      </w:r>
      <w:r>
        <w:rPr>
          <w:rFonts w:hint="eastAsia" w:ascii="黑体" w:hAnsi="黑体" w:eastAsia="黑体" w:cs="仿宋_GB2312"/>
          <w:kern w:val="0"/>
          <w:sz w:val="18"/>
          <w:szCs w:val="18"/>
          <w:highlight w:val="none"/>
        </w:rPr>
        <w:t>投资者权益须知》等文件）的全部内容，并已就投资于本产品做出独立的判断。</w:t>
      </w:r>
    </w:p>
    <w:p>
      <w:pPr>
        <w:tabs>
          <w:tab w:val="left" w:pos="704"/>
          <w:tab w:val="left" w:pos="1995"/>
        </w:tabs>
        <w:autoSpaceDE w:val="0"/>
        <w:autoSpaceDN w:val="0"/>
        <w:adjustRightInd w:val="0"/>
        <w:snapToGrid w:val="0"/>
        <w:spacing w:line="360" w:lineRule="auto"/>
        <w:ind w:firstLine="360" w:firstLineChars="200"/>
        <w:rPr>
          <w:rFonts w:ascii="宋体" w:hAnsi="宋体"/>
          <w:sz w:val="18"/>
          <w:szCs w:val="18"/>
          <w:highlight w:val="none"/>
        </w:rPr>
      </w:pPr>
      <w:r>
        <w:rPr>
          <w:rFonts w:hint="eastAsia" w:ascii="黑体" w:hAnsi="黑体" w:eastAsia="黑体"/>
          <w:sz w:val="18"/>
          <w:szCs w:val="18"/>
          <w:highlight w:val="none"/>
        </w:rPr>
        <w:t>3.本协议书具备独立性</w:t>
      </w:r>
      <w:r>
        <w:rPr>
          <w:rFonts w:hint="eastAsia" w:ascii="宋体" w:hAnsi="宋体"/>
          <w:sz w:val="18"/>
          <w:szCs w:val="18"/>
          <w:highlight w:val="none"/>
        </w:rPr>
        <w:t>。如投资者与产品管理人之间存在多份协议书，则各协议书之间相互独立，每一份协议书的效力及履行情况均独立于其他协议书。如果由于任何原因，使得本协议下的任何条款或内容成为无效或被依法撤销，本协议其他条款或内容的合法性、有效性和可执行性不受影响。</w:t>
      </w:r>
    </w:p>
    <w:p>
      <w:pPr>
        <w:autoSpaceDE w:val="0"/>
        <w:autoSpaceDN w:val="0"/>
        <w:adjustRightInd w:val="0"/>
        <w:snapToGrid w:val="0"/>
        <w:spacing w:line="360" w:lineRule="auto"/>
        <w:ind w:firstLine="360" w:firstLineChars="200"/>
        <w:rPr>
          <w:rFonts w:ascii="黑体" w:hAnsi="黑体" w:eastAsia="黑体" w:cs="仿宋_GB2312"/>
          <w:kern w:val="0"/>
          <w:sz w:val="18"/>
          <w:szCs w:val="18"/>
          <w:highlight w:val="none"/>
        </w:rPr>
      </w:pPr>
      <w:r>
        <w:rPr>
          <w:rFonts w:ascii="黑体" w:hAnsi="黑体" w:eastAsia="黑体" w:cs="仿宋_GB2312"/>
          <w:kern w:val="0"/>
          <w:sz w:val="18"/>
          <w:szCs w:val="18"/>
          <w:highlight w:val="none"/>
        </w:rPr>
        <w:t>4.</w:t>
      </w:r>
      <w:r>
        <w:rPr>
          <w:rFonts w:hint="eastAsia" w:ascii="黑体" w:hAnsi="黑体" w:eastAsia="黑体" w:cs="仿宋_GB2312"/>
          <w:kern w:val="0"/>
          <w:sz w:val="18"/>
          <w:szCs w:val="18"/>
          <w:highlight w:val="none"/>
        </w:rPr>
        <w:t>本协议自投资者签署之日起成立</w:t>
      </w:r>
      <w:r>
        <w:rPr>
          <w:rFonts w:ascii="黑体" w:hAnsi="黑体" w:eastAsia="黑体" w:cs="仿宋_GB2312"/>
          <w:kern w:val="0"/>
          <w:sz w:val="18"/>
          <w:szCs w:val="18"/>
          <w:highlight w:val="none"/>
        </w:rPr>
        <w:t>并</w:t>
      </w:r>
      <w:r>
        <w:rPr>
          <w:rFonts w:hint="eastAsia" w:ascii="黑体" w:hAnsi="黑体" w:eastAsia="黑体" w:cs="仿宋_GB2312"/>
          <w:kern w:val="0"/>
          <w:sz w:val="18"/>
          <w:szCs w:val="18"/>
          <w:highlight w:val="none"/>
        </w:rPr>
        <w:t>生效。</w:t>
      </w:r>
    </w:p>
    <w:p>
      <w:pPr>
        <w:autoSpaceDE w:val="0"/>
        <w:autoSpaceDN w:val="0"/>
        <w:adjustRightInd w:val="0"/>
        <w:snapToGrid w:val="0"/>
        <w:spacing w:line="480" w:lineRule="auto"/>
        <w:ind w:firstLine="360" w:firstLineChars="200"/>
        <w:rPr>
          <w:rFonts w:ascii="黑体" w:hAnsi="黑体" w:eastAsia="黑体" w:cs="仿宋_GB2312"/>
          <w:kern w:val="0"/>
          <w:sz w:val="18"/>
          <w:szCs w:val="18"/>
          <w:highlight w:val="none"/>
        </w:rPr>
      </w:pPr>
    </w:p>
    <w:p>
      <w:pPr>
        <w:pStyle w:val="2"/>
        <w:adjustRightInd w:val="0"/>
        <w:snapToGrid w:val="0"/>
        <w:spacing w:before="0" w:after="0" w:line="480" w:lineRule="auto"/>
        <w:ind w:firstLine="602" w:firstLineChars="200"/>
        <w:jc w:val="center"/>
        <w:rPr>
          <w:rFonts w:ascii="Times New Roman"/>
          <w:color w:val="auto"/>
          <w:sz w:val="30"/>
          <w:highlight w:val="none"/>
        </w:rPr>
      </w:pPr>
      <w:bookmarkStart w:id="77" w:name="_Toc95897042"/>
      <w:bookmarkStart w:id="78" w:name="_Toc77953869"/>
      <w:bookmarkStart w:id="79" w:name="_Toc88482736"/>
      <w:r>
        <w:rPr>
          <w:rFonts w:hint="eastAsia" w:ascii="Times New Roman"/>
          <w:color w:val="auto"/>
          <w:sz w:val="30"/>
          <w:highlight w:val="none"/>
        </w:rPr>
        <w:t>第七条  消费者权益保护</w:t>
      </w:r>
      <w:bookmarkEnd w:id="77"/>
      <w:bookmarkEnd w:id="78"/>
      <w:bookmarkEnd w:id="79"/>
      <w:r>
        <w:rPr>
          <w:rFonts w:hint="eastAsia" w:ascii="Times New Roman"/>
          <w:color w:val="auto"/>
          <w:sz w:val="30"/>
          <w:highlight w:val="none"/>
        </w:rPr>
        <w:t xml:space="preserve"> </w:t>
      </w:r>
    </w:p>
    <w:p>
      <w:pPr>
        <w:tabs>
          <w:tab w:val="left" w:pos="704"/>
          <w:tab w:val="left" w:pos="1995"/>
        </w:tabs>
        <w:autoSpaceDE w:val="0"/>
        <w:autoSpaceDN w:val="0"/>
        <w:adjustRightInd w:val="0"/>
        <w:snapToGrid w:val="0"/>
        <w:spacing w:line="360" w:lineRule="auto"/>
        <w:ind w:firstLine="360" w:firstLineChars="200"/>
        <w:outlineLvl w:val="1"/>
        <w:rPr>
          <w:rFonts w:ascii="黑体" w:hAnsi="黑体" w:eastAsia="黑体"/>
          <w:sz w:val="18"/>
          <w:szCs w:val="18"/>
          <w:highlight w:val="none"/>
        </w:rPr>
      </w:pPr>
      <w:r>
        <w:rPr>
          <w:rFonts w:hint="eastAsia" w:ascii="黑体" w:hAnsi="黑体" w:eastAsia="黑体"/>
          <w:sz w:val="18"/>
          <w:szCs w:val="18"/>
          <w:highlight w:val="none"/>
        </w:rPr>
        <w:t>（一）意见反馈</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highlight w:val="none"/>
        </w:rPr>
      </w:pPr>
      <w:r>
        <w:rPr>
          <w:rFonts w:hint="eastAsia" w:ascii="黑体" w:hAnsi="黑体" w:eastAsia="黑体"/>
          <w:sz w:val="18"/>
          <w:szCs w:val="18"/>
          <w:highlight w:val="none"/>
        </w:rPr>
        <w:t>投资者对本产品有任何意见或异议，可向产品管理人或销售服务机构反馈，产品管理人或销售服务机构将由专人接听、记录您的意见或建议，并由各方协商共同解决。</w:t>
      </w:r>
    </w:p>
    <w:p>
      <w:pPr>
        <w:tabs>
          <w:tab w:val="left" w:pos="704"/>
          <w:tab w:val="left" w:pos="1995"/>
        </w:tabs>
        <w:autoSpaceDE w:val="0"/>
        <w:autoSpaceDN w:val="0"/>
        <w:adjustRightInd w:val="0"/>
        <w:snapToGrid w:val="0"/>
        <w:spacing w:line="360" w:lineRule="auto"/>
        <w:ind w:firstLine="360" w:firstLineChars="200"/>
        <w:outlineLvl w:val="1"/>
        <w:rPr>
          <w:rFonts w:ascii="黑体" w:hAnsi="黑体" w:eastAsia="黑体"/>
          <w:sz w:val="18"/>
          <w:szCs w:val="18"/>
          <w:highlight w:val="none"/>
        </w:rPr>
      </w:pPr>
      <w:r>
        <w:rPr>
          <w:rFonts w:hint="eastAsia" w:ascii="黑体" w:hAnsi="黑体" w:eastAsia="黑体"/>
          <w:sz w:val="18"/>
          <w:szCs w:val="18"/>
          <w:highlight w:val="none"/>
        </w:rPr>
        <w:t>（二）联络方式</w:t>
      </w:r>
      <w:r>
        <w:rPr>
          <w:rFonts w:ascii="黑体" w:hAnsi="黑体" w:eastAsia="黑体"/>
          <w:sz w:val="18"/>
          <w:szCs w:val="18"/>
          <w:highlight w:val="none"/>
        </w:rPr>
        <w:t xml:space="preserve"> </w:t>
      </w:r>
    </w:p>
    <w:p>
      <w:pPr>
        <w:tabs>
          <w:tab w:val="left" w:pos="704"/>
          <w:tab w:val="left" w:pos="1995"/>
        </w:tabs>
        <w:autoSpaceDE w:val="0"/>
        <w:autoSpaceDN w:val="0"/>
        <w:adjustRightInd w:val="0"/>
        <w:snapToGrid w:val="0"/>
        <w:spacing w:line="360" w:lineRule="auto"/>
        <w:ind w:firstLine="360" w:firstLineChars="200"/>
        <w:outlineLvl w:val="2"/>
        <w:rPr>
          <w:rFonts w:ascii="黑体" w:hAnsi="黑体" w:eastAsia="黑体"/>
          <w:sz w:val="18"/>
          <w:szCs w:val="18"/>
          <w:highlight w:val="none"/>
        </w:rPr>
      </w:pPr>
      <w:bookmarkStart w:id="80" w:name="_Hlk64707831"/>
      <w:r>
        <w:rPr>
          <w:rFonts w:hint="eastAsia" w:ascii="黑体" w:hAnsi="黑体" w:eastAsia="黑体"/>
          <w:sz w:val="18"/>
          <w:szCs w:val="18"/>
          <w:highlight w:val="none"/>
        </w:rPr>
        <w:t>1、产品管理人：渤银理财有限责任公司</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highlight w:val="none"/>
        </w:rPr>
      </w:pPr>
      <w:r>
        <w:rPr>
          <w:rFonts w:hint="eastAsia" w:ascii="黑体" w:hAnsi="黑体" w:eastAsia="黑体"/>
          <w:sz w:val="18"/>
          <w:szCs w:val="18"/>
          <w:highlight w:val="none"/>
        </w:rPr>
        <w:t>客户服务热线：</w:t>
      </w:r>
      <w:bookmarkEnd w:id="80"/>
      <w:r>
        <w:rPr>
          <w:rFonts w:hint="eastAsia" w:ascii="黑体" w:hAnsi="黑体" w:eastAsia="黑体"/>
          <w:sz w:val="18"/>
          <w:szCs w:val="18"/>
          <w:highlight w:val="none"/>
        </w:rPr>
        <w:t>【</w:t>
      </w:r>
      <w:r>
        <w:rPr>
          <w:rFonts w:ascii="黑体" w:hAnsi="黑体" w:eastAsia="黑体"/>
          <w:sz w:val="18"/>
          <w:szCs w:val="18"/>
          <w:highlight w:val="none"/>
        </w:rPr>
        <w:t>022-58065621</w:t>
      </w:r>
      <w:r>
        <w:rPr>
          <w:rFonts w:hint="eastAsia" w:ascii="黑体" w:hAnsi="黑体" w:eastAsia="黑体"/>
          <w:sz w:val="18"/>
          <w:szCs w:val="18"/>
          <w:highlight w:val="none"/>
        </w:rPr>
        <w:t>】</w:t>
      </w:r>
    </w:p>
    <w:p>
      <w:pPr>
        <w:tabs>
          <w:tab w:val="left" w:pos="704"/>
          <w:tab w:val="left" w:pos="1995"/>
        </w:tabs>
        <w:autoSpaceDE w:val="0"/>
        <w:autoSpaceDN w:val="0"/>
        <w:adjustRightInd w:val="0"/>
        <w:snapToGrid w:val="0"/>
        <w:spacing w:line="360" w:lineRule="auto"/>
        <w:ind w:firstLine="360" w:firstLineChars="200"/>
        <w:outlineLvl w:val="2"/>
        <w:rPr>
          <w:rFonts w:ascii="黑体" w:hAnsi="黑体" w:eastAsia="黑体"/>
          <w:sz w:val="18"/>
          <w:szCs w:val="18"/>
          <w:highlight w:val="none"/>
        </w:rPr>
      </w:pPr>
      <w:r>
        <w:rPr>
          <w:rFonts w:hint="eastAsia" w:ascii="黑体" w:hAnsi="黑体" w:eastAsia="黑体"/>
          <w:sz w:val="18"/>
          <w:szCs w:val="18"/>
          <w:highlight w:val="none"/>
        </w:rPr>
        <w:t>2、销售服务机构</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highlight w:val="none"/>
        </w:rPr>
      </w:pPr>
      <w:r>
        <w:rPr>
          <w:rFonts w:hint="eastAsia" w:ascii="黑体" w:hAnsi="黑体" w:eastAsia="黑体"/>
          <w:sz w:val="18"/>
          <w:szCs w:val="18"/>
          <w:highlight w:val="none"/>
        </w:rPr>
        <w:t xml:space="preserve">销售服务机构的联络方式，具体以《理财产品（代理）销售协议书》、《投资者权益须知》等销售文件的内容为准。 </w:t>
      </w:r>
    </w:p>
    <w:p>
      <w:pPr>
        <w:widowControl/>
        <w:spacing w:line="360" w:lineRule="auto"/>
        <w:jc w:val="left"/>
        <w:rPr>
          <w:rFonts w:ascii="黑体" w:hAnsi="黑体" w:eastAsia="黑体" w:cs="仿宋_GB2312"/>
          <w:kern w:val="0"/>
          <w:sz w:val="18"/>
          <w:szCs w:val="18"/>
          <w:highlight w:val="none"/>
        </w:rPr>
      </w:pPr>
      <w:r>
        <w:rPr>
          <w:rFonts w:ascii="黑体" w:hAnsi="黑体" w:eastAsia="黑体" w:cs="仿宋_GB2312"/>
          <w:kern w:val="0"/>
          <w:sz w:val="18"/>
          <w:szCs w:val="18"/>
          <w:highlight w:val="none"/>
        </w:rPr>
        <w:br w:type="page"/>
      </w:r>
    </w:p>
    <w:p>
      <w:pPr>
        <w:autoSpaceDE w:val="0"/>
        <w:autoSpaceDN w:val="0"/>
        <w:adjustRightInd w:val="0"/>
        <w:snapToGrid w:val="0"/>
        <w:spacing w:line="360" w:lineRule="auto"/>
        <w:ind w:firstLine="360" w:firstLineChars="200"/>
        <w:rPr>
          <w:rFonts w:ascii="黑体" w:hAnsi="黑体" w:eastAsia="黑体" w:cs="仿宋_GB2312"/>
          <w:kern w:val="0"/>
          <w:sz w:val="18"/>
          <w:szCs w:val="18"/>
          <w:highlight w:val="none"/>
        </w:rPr>
      </w:pPr>
    </w:p>
    <w:bookmarkEnd w:id="69"/>
    <w:bookmarkEnd w:id="70"/>
    <w:tbl>
      <w:tblPr>
        <w:tblStyle w:val="6"/>
        <w:tblW w:w="8524" w:type="dxa"/>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675"/>
        <w:gridCol w:w="728"/>
        <w:gridCol w:w="123"/>
        <w:gridCol w:w="1011"/>
        <w:gridCol w:w="5987"/>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524" w:type="dxa"/>
            <w:gridSpan w:val="5"/>
          </w:tcPr>
          <w:p>
            <w:pPr>
              <w:autoSpaceDE w:val="0"/>
              <w:autoSpaceDN w:val="0"/>
              <w:adjustRightInd w:val="0"/>
              <w:snapToGrid w:val="0"/>
              <w:spacing w:line="360" w:lineRule="auto"/>
              <w:jc w:val="center"/>
              <w:rPr>
                <w:rFonts w:ascii="宋体" w:hAnsi="宋体"/>
                <w:b/>
                <w:sz w:val="18"/>
                <w:szCs w:val="18"/>
                <w:highlight w:val="none"/>
              </w:rPr>
            </w:pPr>
            <w:r>
              <w:rPr>
                <w:rFonts w:hint="eastAsia" w:ascii="宋体" w:hAnsi="宋体"/>
                <w:b/>
                <w:sz w:val="18"/>
                <w:szCs w:val="18"/>
                <w:highlight w:val="none"/>
              </w:rPr>
              <w:t>交易信息栏</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27" w:hRule="atLeast"/>
        </w:trPr>
        <w:tc>
          <w:tcPr>
            <w:tcW w:w="1403" w:type="dxa"/>
            <w:gridSpan w:val="2"/>
            <w:vAlign w:val="center"/>
          </w:tcPr>
          <w:p>
            <w:pPr>
              <w:autoSpaceDE w:val="0"/>
              <w:autoSpaceDN w:val="0"/>
              <w:adjustRightInd w:val="0"/>
              <w:snapToGrid w:val="0"/>
              <w:spacing w:line="360" w:lineRule="auto"/>
              <w:jc w:val="center"/>
              <w:rPr>
                <w:rFonts w:ascii="宋体" w:hAnsi="宋体"/>
                <w:b/>
                <w:sz w:val="18"/>
                <w:szCs w:val="18"/>
                <w:highlight w:val="none"/>
              </w:rPr>
            </w:pPr>
            <w:r>
              <w:rPr>
                <w:rFonts w:hint="eastAsia" w:ascii="宋体" w:hAnsi="宋体"/>
                <w:b/>
                <w:sz w:val="18"/>
                <w:szCs w:val="18"/>
                <w:highlight w:val="none"/>
              </w:rPr>
              <w:t>理财产品销售名称</w:t>
            </w:r>
          </w:p>
        </w:tc>
        <w:tc>
          <w:tcPr>
            <w:tcW w:w="7121" w:type="dxa"/>
            <w:gridSpan w:val="3"/>
            <w:vAlign w:val="center"/>
          </w:tcPr>
          <w:p>
            <w:pPr>
              <w:autoSpaceDE w:val="0"/>
              <w:autoSpaceDN w:val="0"/>
              <w:adjustRightInd w:val="0"/>
              <w:snapToGrid w:val="0"/>
              <w:spacing w:line="360" w:lineRule="auto"/>
              <w:jc w:val="left"/>
              <w:rPr>
                <w:rFonts w:ascii="宋体" w:hAnsi="宋体" w:cs="宋体"/>
                <w:b/>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27" w:hRule="atLeast"/>
        </w:trPr>
        <w:tc>
          <w:tcPr>
            <w:tcW w:w="1403" w:type="dxa"/>
            <w:gridSpan w:val="2"/>
            <w:vAlign w:val="center"/>
          </w:tcPr>
          <w:p>
            <w:pPr>
              <w:autoSpaceDE w:val="0"/>
              <w:autoSpaceDN w:val="0"/>
              <w:adjustRightInd w:val="0"/>
              <w:snapToGrid w:val="0"/>
              <w:spacing w:line="360" w:lineRule="auto"/>
              <w:jc w:val="center"/>
              <w:rPr>
                <w:rFonts w:ascii="宋体" w:hAnsi="宋体"/>
                <w:b/>
                <w:sz w:val="18"/>
                <w:szCs w:val="18"/>
                <w:highlight w:val="none"/>
              </w:rPr>
            </w:pPr>
            <w:r>
              <w:rPr>
                <w:rFonts w:hint="eastAsia" w:ascii="宋体" w:hAnsi="宋体"/>
                <w:b/>
                <w:sz w:val="18"/>
                <w:szCs w:val="18"/>
                <w:highlight w:val="none"/>
              </w:rPr>
              <w:t>销售代码</w:t>
            </w:r>
          </w:p>
        </w:tc>
        <w:tc>
          <w:tcPr>
            <w:tcW w:w="7121" w:type="dxa"/>
            <w:gridSpan w:val="3"/>
            <w:vAlign w:val="center"/>
          </w:tcPr>
          <w:p>
            <w:pPr>
              <w:autoSpaceDE w:val="0"/>
              <w:autoSpaceDN w:val="0"/>
              <w:adjustRightInd w:val="0"/>
              <w:snapToGrid w:val="0"/>
              <w:spacing w:line="360" w:lineRule="auto"/>
              <w:jc w:val="left"/>
              <w:rPr>
                <w:rFonts w:ascii="宋体" w:hAnsi="宋体" w:cs="宋体"/>
                <w:b/>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27" w:hRule="atLeast"/>
        </w:trPr>
        <w:tc>
          <w:tcPr>
            <w:tcW w:w="1403" w:type="dxa"/>
            <w:gridSpan w:val="2"/>
            <w:vMerge w:val="restart"/>
            <w:vAlign w:val="center"/>
          </w:tcPr>
          <w:p>
            <w:pPr>
              <w:autoSpaceDE w:val="0"/>
              <w:autoSpaceDN w:val="0"/>
              <w:adjustRightInd w:val="0"/>
              <w:snapToGrid w:val="0"/>
              <w:spacing w:line="360" w:lineRule="auto"/>
              <w:jc w:val="center"/>
              <w:rPr>
                <w:rFonts w:ascii="宋体" w:hAnsi="宋体"/>
                <w:b/>
                <w:sz w:val="18"/>
                <w:szCs w:val="18"/>
                <w:highlight w:val="none"/>
              </w:rPr>
            </w:pPr>
            <w:r>
              <w:rPr>
                <w:rFonts w:hint="eastAsia" w:ascii="宋体" w:hAnsi="宋体"/>
                <w:b/>
                <w:sz w:val="18"/>
                <w:szCs w:val="18"/>
                <w:highlight w:val="none"/>
              </w:rPr>
              <w:t>交易类型</w:t>
            </w:r>
          </w:p>
        </w:tc>
        <w:tc>
          <w:tcPr>
            <w:tcW w:w="1134" w:type="dxa"/>
            <w:gridSpan w:val="2"/>
            <w:vAlign w:val="center"/>
          </w:tcPr>
          <w:p>
            <w:pPr>
              <w:autoSpaceDE w:val="0"/>
              <w:autoSpaceDN w:val="0"/>
              <w:adjustRightInd w:val="0"/>
              <w:snapToGrid w:val="0"/>
              <w:spacing w:line="360" w:lineRule="auto"/>
              <w:jc w:val="center"/>
              <w:rPr>
                <w:rFonts w:ascii="宋体" w:hAnsi="宋体"/>
                <w:b/>
                <w:sz w:val="18"/>
                <w:szCs w:val="18"/>
                <w:highlight w:val="none"/>
              </w:rPr>
            </w:pPr>
            <w:r>
              <w:rPr>
                <w:rFonts w:hint="eastAsia" w:ascii="宋体" w:hAnsi="宋体"/>
                <w:b/>
                <w:bCs/>
                <w:sz w:val="18"/>
                <w:szCs w:val="18"/>
                <w:highlight w:val="none"/>
              </w:rPr>
              <w:t>认购</w:t>
            </w:r>
          </w:p>
        </w:tc>
        <w:tc>
          <w:tcPr>
            <w:tcW w:w="5987" w:type="dxa"/>
            <w:vAlign w:val="center"/>
          </w:tcPr>
          <w:p>
            <w:pPr>
              <w:autoSpaceDE w:val="0"/>
              <w:autoSpaceDN w:val="0"/>
              <w:adjustRightInd w:val="0"/>
              <w:snapToGrid w:val="0"/>
              <w:spacing w:line="360" w:lineRule="auto"/>
              <w:jc w:val="left"/>
              <w:rPr>
                <w:rFonts w:ascii="宋体" w:hAnsi="宋体" w:cs="宋体"/>
                <w:b/>
                <w:sz w:val="18"/>
                <w:szCs w:val="18"/>
                <w:highlight w:val="none"/>
              </w:rPr>
            </w:pPr>
            <w:r>
              <w:rPr>
                <w:rFonts w:ascii="宋体" w:hAnsi="宋体"/>
                <w:b/>
                <w:bCs/>
                <w:sz w:val="18"/>
                <w:szCs w:val="18"/>
                <w:highlight w:val="none"/>
              </w:rPr>
              <w:t>金额：</w:t>
            </w:r>
            <w:r>
              <w:rPr>
                <w:rFonts w:hint="eastAsia" w:ascii="宋体" w:hAnsi="宋体"/>
                <w:b/>
                <w:bCs/>
                <w:sz w:val="18"/>
                <w:szCs w:val="18"/>
                <w:highlight w:val="none"/>
              </w:rPr>
              <w:t>小写：</w:t>
            </w:r>
            <w:r>
              <w:rPr>
                <w:rFonts w:ascii="宋体" w:hAnsi="宋体"/>
                <w:b/>
                <w:bCs/>
                <w:sz w:val="18"/>
                <w:szCs w:val="18"/>
                <w:highlight w:val="none"/>
                <w:u w:val="single"/>
              </w:rPr>
              <w:t xml:space="preserve">　        </w:t>
            </w:r>
            <w:r>
              <w:rPr>
                <w:rFonts w:hint="eastAsia" w:ascii="宋体" w:hAnsi="宋体"/>
                <w:b/>
                <w:bCs/>
                <w:sz w:val="18"/>
                <w:szCs w:val="18"/>
                <w:highlight w:val="none"/>
                <w:u w:val="single"/>
              </w:rPr>
              <w:t xml:space="preserve">  </w:t>
            </w:r>
            <w:r>
              <w:rPr>
                <w:rFonts w:ascii="宋体" w:hAnsi="宋体"/>
                <w:b/>
                <w:bCs/>
                <w:sz w:val="18"/>
                <w:szCs w:val="18"/>
                <w:highlight w:val="none"/>
              </w:rPr>
              <w:t>，大写：</w:t>
            </w:r>
            <w:r>
              <w:rPr>
                <w:rFonts w:ascii="宋体" w:hAnsi="宋体"/>
                <w:b/>
                <w:bCs/>
                <w:sz w:val="18"/>
                <w:szCs w:val="18"/>
                <w:highlight w:val="none"/>
                <w:u w:val="single"/>
              </w:rPr>
              <w:t xml:space="preserve">　  </w:t>
            </w:r>
            <w:r>
              <w:rPr>
                <w:rFonts w:hint="eastAsia" w:ascii="宋体" w:hAnsi="宋体"/>
                <w:b/>
                <w:bCs/>
                <w:sz w:val="18"/>
                <w:szCs w:val="18"/>
                <w:highlight w:val="none"/>
                <w:u w:val="single"/>
              </w:rPr>
              <w:t xml:space="preserve">            </w:t>
            </w:r>
            <w:r>
              <w:rPr>
                <w:rFonts w:ascii="宋体" w:hAnsi="宋体"/>
                <w:b/>
                <w:bCs/>
                <w:sz w:val="18"/>
                <w:szCs w:val="18"/>
                <w:highlight w:val="none"/>
                <w:u w:val="single"/>
              </w:rPr>
              <w:t xml:space="preserve">      </w:t>
            </w:r>
            <w:r>
              <w:rPr>
                <w:rFonts w:hint="eastAsia" w:ascii="宋体" w:hAnsi="宋体"/>
                <w:b/>
                <w:bCs/>
                <w:sz w:val="18"/>
                <w:szCs w:val="18"/>
                <w:highlight w:val="none"/>
              </w:rPr>
              <w:t>元整。</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90" w:hRule="atLeast"/>
        </w:trPr>
        <w:tc>
          <w:tcPr>
            <w:tcW w:w="1403" w:type="dxa"/>
            <w:gridSpan w:val="2"/>
            <w:vMerge w:val="continue"/>
          </w:tcPr>
          <w:p>
            <w:pPr>
              <w:autoSpaceDE w:val="0"/>
              <w:autoSpaceDN w:val="0"/>
              <w:adjustRightInd w:val="0"/>
              <w:snapToGrid w:val="0"/>
              <w:spacing w:line="360" w:lineRule="auto"/>
              <w:jc w:val="center"/>
              <w:rPr>
                <w:rFonts w:ascii="宋体" w:hAnsi="宋体"/>
                <w:b/>
                <w:sz w:val="18"/>
                <w:szCs w:val="18"/>
                <w:highlight w:val="none"/>
              </w:rPr>
            </w:pPr>
          </w:p>
        </w:tc>
        <w:tc>
          <w:tcPr>
            <w:tcW w:w="1134" w:type="dxa"/>
            <w:gridSpan w:val="2"/>
            <w:vAlign w:val="center"/>
          </w:tcPr>
          <w:p>
            <w:pPr>
              <w:autoSpaceDE w:val="0"/>
              <w:autoSpaceDN w:val="0"/>
              <w:adjustRightInd w:val="0"/>
              <w:snapToGrid w:val="0"/>
              <w:spacing w:line="360" w:lineRule="auto"/>
              <w:jc w:val="center"/>
              <w:rPr>
                <w:rFonts w:ascii="宋体" w:hAnsi="宋体"/>
                <w:b/>
                <w:sz w:val="18"/>
                <w:szCs w:val="18"/>
                <w:highlight w:val="none"/>
              </w:rPr>
            </w:pPr>
            <w:r>
              <w:rPr>
                <w:rFonts w:hint="eastAsia" w:ascii="宋体" w:hAnsi="宋体"/>
                <w:b/>
                <w:bCs/>
                <w:sz w:val="18"/>
                <w:szCs w:val="18"/>
                <w:highlight w:val="none"/>
              </w:rPr>
              <w:t>申购</w:t>
            </w:r>
          </w:p>
        </w:tc>
        <w:tc>
          <w:tcPr>
            <w:tcW w:w="5987" w:type="dxa"/>
            <w:vAlign w:val="center"/>
          </w:tcPr>
          <w:p>
            <w:pPr>
              <w:autoSpaceDE w:val="0"/>
              <w:autoSpaceDN w:val="0"/>
              <w:adjustRightInd w:val="0"/>
              <w:snapToGrid w:val="0"/>
              <w:spacing w:line="360" w:lineRule="auto"/>
              <w:jc w:val="left"/>
              <w:rPr>
                <w:rFonts w:ascii="宋体" w:hAnsi="宋体" w:cs="宋体"/>
                <w:b/>
                <w:sz w:val="18"/>
                <w:szCs w:val="18"/>
                <w:highlight w:val="none"/>
              </w:rPr>
            </w:pPr>
            <w:r>
              <w:rPr>
                <w:rFonts w:ascii="宋体" w:hAnsi="宋体"/>
                <w:b/>
                <w:bCs/>
                <w:sz w:val="18"/>
                <w:szCs w:val="18"/>
                <w:highlight w:val="none"/>
              </w:rPr>
              <w:t>金额</w:t>
            </w:r>
            <w:r>
              <w:rPr>
                <w:rFonts w:hint="eastAsia" w:ascii="宋体" w:hAnsi="宋体"/>
                <w:b/>
                <w:bCs/>
                <w:sz w:val="18"/>
                <w:szCs w:val="18"/>
                <w:highlight w:val="none"/>
              </w:rPr>
              <w:t>：小写：</w:t>
            </w:r>
            <w:r>
              <w:rPr>
                <w:rFonts w:ascii="宋体" w:hAnsi="宋体"/>
                <w:b/>
                <w:bCs/>
                <w:sz w:val="18"/>
                <w:szCs w:val="18"/>
                <w:highlight w:val="none"/>
                <w:u w:val="single"/>
              </w:rPr>
              <w:t xml:space="preserve">　        </w:t>
            </w:r>
            <w:r>
              <w:rPr>
                <w:rFonts w:hint="eastAsia" w:ascii="宋体" w:hAnsi="宋体"/>
                <w:b/>
                <w:bCs/>
                <w:sz w:val="18"/>
                <w:szCs w:val="18"/>
                <w:highlight w:val="none"/>
                <w:u w:val="single"/>
              </w:rPr>
              <w:t xml:space="preserve">  </w:t>
            </w:r>
            <w:r>
              <w:rPr>
                <w:rFonts w:ascii="宋体" w:hAnsi="宋体"/>
                <w:b/>
                <w:bCs/>
                <w:sz w:val="18"/>
                <w:szCs w:val="18"/>
                <w:highlight w:val="none"/>
              </w:rPr>
              <w:t>，大写：</w:t>
            </w:r>
            <w:r>
              <w:rPr>
                <w:rFonts w:ascii="宋体" w:hAnsi="宋体"/>
                <w:b/>
                <w:bCs/>
                <w:sz w:val="18"/>
                <w:szCs w:val="18"/>
                <w:highlight w:val="none"/>
                <w:u w:val="single"/>
              </w:rPr>
              <w:t xml:space="preserve">　   </w:t>
            </w:r>
            <w:r>
              <w:rPr>
                <w:rFonts w:hint="eastAsia" w:ascii="宋体" w:hAnsi="宋体"/>
                <w:b/>
                <w:bCs/>
                <w:sz w:val="18"/>
                <w:szCs w:val="18"/>
                <w:highlight w:val="none"/>
                <w:u w:val="single"/>
              </w:rPr>
              <w:t xml:space="preserve">            </w:t>
            </w:r>
            <w:r>
              <w:rPr>
                <w:rFonts w:ascii="宋体" w:hAnsi="宋体"/>
                <w:b/>
                <w:bCs/>
                <w:sz w:val="18"/>
                <w:szCs w:val="18"/>
                <w:highlight w:val="none"/>
                <w:u w:val="single"/>
              </w:rPr>
              <w:t xml:space="preserve">     </w:t>
            </w:r>
            <w:r>
              <w:rPr>
                <w:rFonts w:hint="eastAsia" w:ascii="宋体" w:hAnsi="宋体"/>
                <w:b/>
                <w:bCs/>
                <w:sz w:val="18"/>
                <w:szCs w:val="18"/>
                <w:highlight w:val="none"/>
              </w:rPr>
              <w:t>元整。</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52" w:hRule="atLeast"/>
        </w:trPr>
        <w:tc>
          <w:tcPr>
            <w:tcW w:w="1403" w:type="dxa"/>
            <w:gridSpan w:val="2"/>
            <w:vMerge w:val="continue"/>
          </w:tcPr>
          <w:p>
            <w:pPr>
              <w:autoSpaceDE w:val="0"/>
              <w:autoSpaceDN w:val="0"/>
              <w:adjustRightInd w:val="0"/>
              <w:snapToGrid w:val="0"/>
              <w:spacing w:line="360" w:lineRule="auto"/>
              <w:jc w:val="center"/>
              <w:rPr>
                <w:rFonts w:ascii="宋体" w:hAnsi="宋体"/>
                <w:b/>
                <w:sz w:val="18"/>
                <w:szCs w:val="18"/>
                <w:highlight w:val="none"/>
              </w:rPr>
            </w:pPr>
          </w:p>
        </w:tc>
        <w:tc>
          <w:tcPr>
            <w:tcW w:w="1134" w:type="dxa"/>
            <w:gridSpan w:val="2"/>
            <w:vAlign w:val="center"/>
          </w:tcPr>
          <w:p>
            <w:pPr>
              <w:autoSpaceDE w:val="0"/>
              <w:autoSpaceDN w:val="0"/>
              <w:adjustRightInd w:val="0"/>
              <w:snapToGrid w:val="0"/>
              <w:spacing w:line="360" w:lineRule="auto"/>
              <w:jc w:val="center"/>
              <w:rPr>
                <w:rFonts w:ascii="宋体" w:hAnsi="宋体"/>
                <w:b/>
                <w:sz w:val="18"/>
                <w:szCs w:val="18"/>
                <w:highlight w:val="none"/>
              </w:rPr>
            </w:pPr>
            <w:r>
              <w:rPr>
                <w:rFonts w:hint="eastAsia" w:ascii="宋体" w:hAnsi="宋体"/>
                <w:b/>
                <w:bCs/>
                <w:sz w:val="18"/>
                <w:szCs w:val="18"/>
                <w:highlight w:val="none"/>
              </w:rPr>
              <w:t>赎回</w:t>
            </w:r>
          </w:p>
        </w:tc>
        <w:tc>
          <w:tcPr>
            <w:tcW w:w="5987" w:type="dxa"/>
            <w:vAlign w:val="center"/>
          </w:tcPr>
          <w:p>
            <w:pPr>
              <w:autoSpaceDE w:val="0"/>
              <w:autoSpaceDN w:val="0"/>
              <w:adjustRightInd w:val="0"/>
              <w:snapToGrid w:val="0"/>
              <w:spacing w:line="360" w:lineRule="auto"/>
              <w:rPr>
                <w:rFonts w:ascii="宋体" w:hAnsi="宋体" w:cs="宋体"/>
                <w:b/>
                <w:sz w:val="18"/>
                <w:szCs w:val="18"/>
                <w:highlight w:val="none"/>
              </w:rPr>
            </w:pPr>
            <w:r>
              <w:rPr>
                <w:rFonts w:ascii="宋体" w:hAnsi="宋体"/>
                <w:b/>
                <w:bCs/>
                <w:sz w:val="18"/>
                <w:szCs w:val="18"/>
                <w:highlight w:val="none"/>
              </w:rPr>
              <w:t>份额：</w:t>
            </w:r>
            <w:r>
              <w:rPr>
                <w:rFonts w:hint="eastAsia" w:ascii="宋体" w:hAnsi="宋体"/>
                <w:b/>
                <w:bCs/>
                <w:sz w:val="18"/>
                <w:szCs w:val="18"/>
                <w:highlight w:val="none"/>
              </w:rPr>
              <w:t>小写：</w:t>
            </w:r>
            <w:r>
              <w:rPr>
                <w:rFonts w:ascii="宋体" w:hAnsi="宋体"/>
                <w:b/>
                <w:bCs/>
                <w:sz w:val="18"/>
                <w:szCs w:val="18"/>
                <w:highlight w:val="none"/>
                <w:u w:val="single"/>
              </w:rPr>
              <w:t xml:space="preserve">　          </w:t>
            </w:r>
            <w:r>
              <w:rPr>
                <w:rFonts w:ascii="宋体" w:hAnsi="宋体"/>
                <w:b/>
                <w:bCs/>
                <w:sz w:val="18"/>
                <w:szCs w:val="18"/>
                <w:highlight w:val="none"/>
              </w:rPr>
              <w:t>，大写：</w:t>
            </w:r>
            <w:r>
              <w:rPr>
                <w:rFonts w:ascii="宋体" w:hAnsi="宋体"/>
                <w:b/>
                <w:bCs/>
                <w:sz w:val="18"/>
                <w:szCs w:val="18"/>
                <w:highlight w:val="none"/>
                <w:u w:val="single"/>
              </w:rPr>
              <w:t xml:space="preserve">　  </w:t>
            </w:r>
            <w:r>
              <w:rPr>
                <w:rFonts w:hint="eastAsia" w:ascii="宋体" w:hAnsi="宋体"/>
                <w:b/>
                <w:bCs/>
                <w:sz w:val="18"/>
                <w:szCs w:val="18"/>
                <w:highlight w:val="none"/>
                <w:u w:val="single"/>
              </w:rPr>
              <w:t xml:space="preserve">          </w:t>
            </w:r>
            <w:r>
              <w:rPr>
                <w:rFonts w:ascii="宋体" w:hAnsi="宋体"/>
                <w:b/>
                <w:bCs/>
                <w:sz w:val="18"/>
                <w:szCs w:val="18"/>
                <w:highlight w:val="none"/>
                <w:u w:val="single"/>
              </w:rPr>
              <w:t xml:space="preserve">        </w:t>
            </w:r>
            <w:r>
              <w:rPr>
                <w:rFonts w:hint="eastAsia" w:ascii="宋体" w:hAnsi="宋体"/>
                <w:b/>
                <w:bCs/>
                <w:sz w:val="18"/>
                <w:szCs w:val="18"/>
                <w:highlight w:val="none"/>
              </w:rPr>
              <w:t>份。</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41" w:hRule="atLeast"/>
        </w:trPr>
        <w:tc>
          <w:tcPr>
            <w:tcW w:w="1403" w:type="dxa"/>
            <w:gridSpan w:val="2"/>
            <w:vAlign w:val="center"/>
          </w:tcPr>
          <w:p>
            <w:pPr>
              <w:autoSpaceDE w:val="0"/>
              <w:autoSpaceDN w:val="0"/>
              <w:adjustRightInd w:val="0"/>
              <w:snapToGrid w:val="0"/>
              <w:spacing w:line="360" w:lineRule="auto"/>
              <w:jc w:val="center"/>
              <w:rPr>
                <w:rFonts w:ascii="宋体" w:hAnsi="宋体"/>
                <w:b/>
                <w:sz w:val="18"/>
                <w:szCs w:val="18"/>
                <w:highlight w:val="none"/>
              </w:rPr>
            </w:pPr>
            <w:r>
              <w:rPr>
                <w:rFonts w:hint="eastAsia" w:ascii="宋体" w:hAnsi="宋体"/>
                <w:b/>
                <w:sz w:val="18"/>
                <w:szCs w:val="18"/>
                <w:highlight w:val="none"/>
              </w:rPr>
              <w:t>交易时间</w:t>
            </w:r>
          </w:p>
        </w:tc>
        <w:tc>
          <w:tcPr>
            <w:tcW w:w="1134" w:type="dxa"/>
            <w:gridSpan w:val="2"/>
            <w:vAlign w:val="center"/>
          </w:tcPr>
          <w:p>
            <w:pPr>
              <w:autoSpaceDE w:val="0"/>
              <w:autoSpaceDN w:val="0"/>
              <w:adjustRightInd w:val="0"/>
              <w:snapToGrid w:val="0"/>
              <w:spacing w:line="360" w:lineRule="auto"/>
              <w:jc w:val="center"/>
              <w:rPr>
                <w:rFonts w:ascii="宋体" w:hAnsi="宋体"/>
                <w:b/>
                <w:sz w:val="18"/>
                <w:szCs w:val="18"/>
                <w:highlight w:val="none"/>
              </w:rPr>
            </w:pPr>
            <w:r>
              <w:rPr>
                <w:rFonts w:hint="eastAsia" w:ascii="宋体" w:hAnsi="宋体"/>
                <w:b/>
                <w:sz w:val="18"/>
                <w:szCs w:val="18"/>
                <w:highlight w:val="none"/>
              </w:rPr>
              <w:t>交易申请日</w:t>
            </w:r>
          </w:p>
        </w:tc>
        <w:tc>
          <w:tcPr>
            <w:tcW w:w="5987" w:type="dxa"/>
            <w:vAlign w:val="center"/>
          </w:tcPr>
          <w:p>
            <w:pPr>
              <w:autoSpaceDE w:val="0"/>
              <w:autoSpaceDN w:val="0"/>
              <w:adjustRightInd w:val="0"/>
              <w:snapToGrid w:val="0"/>
              <w:spacing w:line="360" w:lineRule="auto"/>
              <w:jc w:val="center"/>
              <w:rPr>
                <w:rFonts w:ascii="宋体" w:hAnsi="宋体"/>
                <w:b/>
                <w:sz w:val="18"/>
                <w:szCs w:val="18"/>
                <w:highlight w:val="none"/>
              </w:rPr>
            </w:pPr>
            <w:r>
              <w:rPr>
                <w:rFonts w:hint="eastAsia" w:ascii="宋体" w:hAnsi="宋体"/>
                <w:sz w:val="18"/>
                <w:szCs w:val="18"/>
                <w:highlight w:val="none"/>
              </w:rPr>
              <w:t xml:space="preserve">【 </w:t>
            </w:r>
            <w:r>
              <w:rPr>
                <w:rFonts w:ascii="宋体" w:hAnsi="宋体"/>
                <w:sz w:val="18"/>
                <w:szCs w:val="18"/>
                <w:highlight w:val="none"/>
              </w:rPr>
              <w:t>】年</w:t>
            </w:r>
            <w:r>
              <w:rPr>
                <w:rFonts w:hint="eastAsia" w:ascii="宋体" w:hAnsi="宋体"/>
                <w:sz w:val="18"/>
                <w:szCs w:val="18"/>
                <w:highlight w:val="none"/>
              </w:rPr>
              <w:t>【 】月【 】日</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41" w:hRule="atLeast"/>
        </w:trPr>
        <w:tc>
          <w:tcPr>
            <w:tcW w:w="1403" w:type="dxa"/>
            <w:gridSpan w:val="2"/>
            <w:vAlign w:val="center"/>
          </w:tcPr>
          <w:p>
            <w:pPr>
              <w:autoSpaceDE w:val="0"/>
              <w:autoSpaceDN w:val="0"/>
              <w:adjustRightInd w:val="0"/>
              <w:snapToGrid w:val="0"/>
              <w:spacing w:line="360" w:lineRule="auto"/>
              <w:jc w:val="center"/>
              <w:rPr>
                <w:rFonts w:hint="eastAsia" w:ascii="宋体" w:hAnsi="宋体"/>
                <w:b/>
                <w:sz w:val="18"/>
                <w:szCs w:val="18"/>
                <w:highlight w:val="none"/>
              </w:rPr>
            </w:pPr>
            <w:r>
              <w:rPr>
                <w:rFonts w:hint="eastAsia" w:ascii="宋体" w:hAnsi="宋体"/>
                <w:b/>
                <w:sz w:val="18"/>
                <w:szCs w:val="18"/>
                <w:highlight w:val="none"/>
              </w:rPr>
              <w:t>备注</w:t>
            </w:r>
          </w:p>
        </w:tc>
        <w:tc>
          <w:tcPr>
            <w:tcW w:w="7121" w:type="dxa"/>
            <w:gridSpan w:val="3"/>
            <w:vAlign w:val="center"/>
          </w:tcPr>
          <w:p>
            <w:pPr>
              <w:autoSpaceDE w:val="0"/>
              <w:autoSpaceDN w:val="0"/>
              <w:adjustRightInd w:val="0"/>
              <w:snapToGrid w:val="0"/>
              <w:spacing w:line="360" w:lineRule="auto"/>
              <w:jc w:val="both"/>
              <w:rPr>
                <w:rFonts w:hint="eastAsia" w:ascii="宋体" w:hAnsi="宋体"/>
                <w:sz w:val="18"/>
                <w:szCs w:val="18"/>
                <w:highlight w:val="none"/>
              </w:rPr>
            </w:pPr>
            <w:r>
              <w:rPr>
                <w:rFonts w:hint="eastAsia" w:ascii="宋体" w:hAnsi="宋体"/>
                <w:sz w:val="18"/>
                <w:szCs w:val="18"/>
                <w:highlight w:val="none"/>
              </w:rPr>
              <w:t>如投资者通过直销渠道认购理财产品的，相关交易信息需以经渤银理财有限责任公司确认后的《理财业务交易申请表》所载内容为准。</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29" w:hRule="atLeast"/>
        </w:trPr>
        <w:tc>
          <w:tcPr>
            <w:tcW w:w="8524" w:type="dxa"/>
            <w:gridSpan w:val="5"/>
            <w:vAlign w:val="center"/>
          </w:tcPr>
          <w:p>
            <w:pPr>
              <w:autoSpaceDE w:val="0"/>
              <w:autoSpaceDN w:val="0"/>
              <w:adjustRightInd w:val="0"/>
              <w:snapToGrid w:val="0"/>
              <w:spacing w:line="360" w:lineRule="auto"/>
              <w:jc w:val="center"/>
              <w:rPr>
                <w:rFonts w:ascii="宋体" w:hAnsi="宋体"/>
                <w:b/>
                <w:sz w:val="18"/>
                <w:szCs w:val="18"/>
                <w:highlight w:val="none"/>
              </w:rPr>
            </w:pPr>
            <w:r>
              <w:rPr>
                <w:rFonts w:hint="eastAsia" w:ascii="宋体" w:hAnsi="宋体"/>
                <w:b/>
                <w:sz w:val="18"/>
                <w:szCs w:val="18"/>
                <w:highlight w:val="none"/>
              </w:rPr>
              <w:t>签署栏</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675" w:type="dxa"/>
            <w:vAlign w:val="center"/>
          </w:tcPr>
          <w:p>
            <w:pPr>
              <w:tabs>
                <w:tab w:val="left" w:pos="8070"/>
                <w:tab w:val="right" w:pos="8306"/>
              </w:tabs>
              <w:autoSpaceDE w:val="0"/>
              <w:autoSpaceDN w:val="0"/>
              <w:adjustRightInd w:val="0"/>
              <w:snapToGrid w:val="0"/>
              <w:spacing w:line="360" w:lineRule="auto"/>
              <w:jc w:val="center"/>
              <w:rPr>
                <w:rFonts w:ascii="黑体" w:hAnsi="黑体" w:eastAsia="黑体"/>
                <w:sz w:val="18"/>
                <w:szCs w:val="18"/>
                <w:highlight w:val="none"/>
              </w:rPr>
            </w:pPr>
            <w:r>
              <w:rPr>
                <w:rFonts w:hint="eastAsia" w:ascii="黑体" w:hAnsi="黑体" w:eastAsia="黑体"/>
                <w:sz w:val="18"/>
                <w:szCs w:val="18"/>
                <w:highlight w:val="none"/>
              </w:rPr>
              <w:t>★</w:t>
            </w:r>
          </w:p>
          <w:p>
            <w:pPr>
              <w:tabs>
                <w:tab w:val="left" w:pos="8070"/>
                <w:tab w:val="right" w:pos="8306"/>
              </w:tabs>
              <w:autoSpaceDE w:val="0"/>
              <w:autoSpaceDN w:val="0"/>
              <w:adjustRightInd w:val="0"/>
              <w:snapToGrid w:val="0"/>
              <w:spacing w:line="360" w:lineRule="auto"/>
              <w:jc w:val="center"/>
              <w:rPr>
                <w:rFonts w:ascii="宋体" w:hAnsi="宋体" w:cs="宋体"/>
                <w:b/>
                <w:sz w:val="18"/>
                <w:szCs w:val="18"/>
                <w:highlight w:val="none"/>
              </w:rPr>
            </w:pPr>
            <w:r>
              <w:rPr>
                <w:rFonts w:hint="eastAsia" w:ascii="宋体" w:hAnsi="宋体"/>
                <w:b/>
                <w:sz w:val="18"/>
                <w:szCs w:val="18"/>
                <w:highlight w:val="none"/>
              </w:rPr>
              <w:t>签署声明</w:t>
            </w:r>
          </w:p>
        </w:tc>
        <w:tc>
          <w:tcPr>
            <w:tcW w:w="7849" w:type="dxa"/>
            <w:gridSpan w:val="4"/>
          </w:tcPr>
          <w:p>
            <w:pPr>
              <w:tabs>
                <w:tab w:val="left" w:pos="8070"/>
                <w:tab w:val="right" w:pos="8306"/>
              </w:tabs>
              <w:autoSpaceDE w:val="0"/>
              <w:autoSpaceDN w:val="0"/>
              <w:adjustRightInd w:val="0"/>
              <w:snapToGrid w:val="0"/>
              <w:spacing w:line="360" w:lineRule="auto"/>
              <w:rPr>
                <w:rFonts w:ascii="黑体" w:hAnsi="黑体" w:eastAsia="黑体"/>
                <w:sz w:val="18"/>
                <w:szCs w:val="18"/>
                <w:highlight w:val="none"/>
              </w:rPr>
            </w:pPr>
            <w:r>
              <w:rPr>
                <w:rFonts w:ascii="黑体" w:hAnsi="黑体" w:eastAsia="黑体"/>
                <w:sz w:val="18"/>
                <w:szCs w:val="18"/>
                <w:highlight w:val="none"/>
              </w:rPr>
              <w:t>1、在签署本《</w:t>
            </w:r>
            <w:r>
              <w:rPr>
                <w:rFonts w:hint="eastAsia" w:ascii="黑体" w:hAnsi="黑体" w:eastAsia="黑体"/>
                <w:sz w:val="18"/>
                <w:szCs w:val="18"/>
                <w:highlight w:val="none"/>
              </w:rPr>
              <w:t>投资</w:t>
            </w:r>
            <w:r>
              <w:rPr>
                <w:rFonts w:ascii="黑体" w:hAnsi="黑体" w:eastAsia="黑体"/>
                <w:sz w:val="18"/>
                <w:szCs w:val="18"/>
                <w:highlight w:val="none"/>
              </w:rPr>
              <w:t>协议书》以前，投资者已认真阅读理财产品销售文件（包括但不限于《</w:t>
            </w:r>
            <w:r>
              <w:rPr>
                <w:rFonts w:hint="eastAsia" w:ascii="黑体" w:hAnsi="黑体" w:eastAsia="黑体"/>
                <w:sz w:val="18"/>
                <w:szCs w:val="18"/>
                <w:highlight w:val="none"/>
              </w:rPr>
              <w:t>投资</w:t>
            </w:r>
            <w:r>
              <w:rPr>
                <w:rFonts w:ascii="黑体" w:hAnsi="黑体" w:eastAsia="黑体"/>
                <w:sz w:val="18"/>
                <w:szCs w:val="18"/>
                <w:highlight w:val="none"/>
              </w:rPr>
              <w:t>协议书》、</w:t>
            </w:r>
            <w:r>
              <w:rPr>
                <w:rFonts w:hint="eastAsia" w:ascii="黑体" w:hAnsi="黑体" w:eastAsia="黑体"/>
                <w:sz w:val="18"/>
                <w:szCs w:val="18"/>
                <w:highlight w:val="none"/>
              </w:rPr>
              <w:t>《理财产品说明书》</w:t>
            </w:r>
            <w:r>
              <w:rPr>
                <w:rFonts w:ascii="黑体" w:hAnsi="黑体" w:eastAsia="黑体"/>
                <w:sz w:val="18"/>
                <w:szCs w:val="18"/>
                <w:highlight w:val="none"/>
              </w:rPr>
              <w:t>、</w:t>
            </w:r>
            <w:r>
              <w:rPr>
                <w:rFonts w:hint="eastAsia" w:ascii="黑体" w:hAnsi="黑体" w:eastAsia="黑体"/>
                <w:sz w:val="18"/>
                <w:szCs w:val="18"/>
                <w:highlight w:val="none"/>
              </w:rPr>
              <w:t>《理财产品（代理）销售协议书》、</w:t>
            </w:r>
            <w:r>
              <w:rPr>
                <w:rFonts w:ascii="黑体" w:hAnsi="黑体" w:eastAsia="黑体"/>
                <w:sz w:val="18"/>
                <w:szCs w:val="18"/>
                <w:highlight w:val="none"/>
              </w:rPr>
              <w:t>《风险揭示书》、《投资者权益须知》等文件）的全部内容，</w:t>
            </w:r>
            <w:r>
              <w:rPr>
                <w:rFonts w:hint="eastAsia" w:ascii="黑体" w:hAnsi="黑体" w:eastAsia="黑体"/>
                <w:sz w:val="18"/>
                <w:szCs w:val="18"/>
                <w:highlight w:val="none"/>
              </w:rPr>
              <w:t>明确一份完整理财产品销售文件的构成与内容，明确本产品投资者与产品管理人之间构成信托法律关系，明确本产品作为资产管理产品应受到的法律法规及监管政策的规范与调整，愿意承担投资风险，产品管理人已提醒投资者注意对本协议各条款，特别是黑体字条款作全面、准确的理解，并应投资者要求做了相应条款的说明，投资者认同并接受本协议全部条款，对有关条款不存在任何疑问或异议，并对协议双方的权利、义务、责任与风险有清楚和准确的理解，投资者做出的任何决策均出于自身独立的判断，是投资者真实的意思表示。</w:t>
            </w:r>
          </w:p>
          <w:p>
            <w:pPr>
              <w:tabs>
                <w:tab w:val="left" w:pos="8070"/>
                <w:tab w:val="right" w:pos="8306"/>
              </w:tabs>
              <w:autoSpaceDE w:val="0"/>
              <w:autoSpaceDN w:val="0"/>
              <w:adjustRightInd w:val="0"/>
              <w:snapToGrid w:val="0"/>
              <w:spacing w:line="360" w:lineRule="auto"/>
              <w:rPr>
                <w:rFonts w:ascii="黑体" w:hAnsi="黑体" w:eastAsia="黑体"/>
                <w:sz w:val="18"/>
                <w:szCs w:val="18"/>
                <w:highlight w:val="none"/>
              </w:rPr>
            </w:pPr>
            <w:r>
              <w:rPr>
                <w:rFonts w:ascii="黑体" w:hAnsi="黑体" w:eastAsia="黑体"/>
                <w:sz w:val="18"/>
                <w:szCs w:val="18"/>
                <w:highlight w:val="none"/>
              </w:rPr>
              <w:t>2、投资者认可本协议约定的信息披露途径，已清楚知悉投资者应注意查询的事项和信息披露方面的法律责任，同意产品管理人按照本协议约定进行相关通知和披露。</w:t>
            </w:r>
          </w:p>
          <w:p>
            <w:pPr>
              <w:tabs>
                <w:tab w:val="left" w:pos="8070"/>
                <w:tab w:val="right" w:pos="8306"/>
              </w:tabs>
              <w:autoSpaceDE w:val="0"/>
              <w:autoSpaceDN w:val="0"/>
              <w:adjustRightInd w:val="0"/>
              <w:snapToGrid w:val="0"/>
              <w:spacing w:line="360" w:lineRule="auto"/>
              <w:rPr>
                <w:rFonts w:ascii="黑体" w:hAnsi="黑体" w:eastAsia="黑体"/>
                <w:sz w:val="18"/>
                <w:szCs w:val="18"/>
                <w:highlight w:val="none"/>
              </w:rPr>
            </w:pPr>
            <w:r>
              <w:rPr>
                <w:rFonts w:hint="eastAsia" w:ascii="黑体" w:hAnsi="黑体" w:eastAsia="黑体"/>
                <w:sz w:val="18"/>
                <w:szCs w:val="18"/>
                <w:highlight w:val="none"/>
              </w:rPr>
              <w:t>3、投资者</w:t>
            </w:r>
            <w:r>
              <w:rPr>
                <w:rFonts w:ascii="黑体" w:hAnsi="黑体" w:eastAsia="黑体"/>
                <w:sz w:val="18"/>
                <w:szCs w:val="18"/>
                <w:highlight w:val="none"/>
              </w:rPr>
              <w:t>已认真阅读并充分理解包括但不限于《</w:t>
            </w:r>
            <w:r>
              <w:rPr>
                <w:rFonts w:hint="eastAsia" w:ascii="黑体" w:hAnsi="黑体" w:eastAsia="黑体"/>
                <w:sz w:val="18"/>
                <w:szCs w:val="18"/>
                <w:highlight w:val="none"/>
              </w:rPr>
              <w:t>投资</w:t>
            </w:r>
            <w:r>
              <w:rPr>
                <w:rFonts w:ascii="黑体" w:hAnsi="黑体" w:eastAsia="黑体"/>
                <w:sz w:val="18"/>
                <w:szCs w:val="18"/>
                <w:highlight w:val="none"/>
              </w:rPr>
              <w:t>协议书》</w:t>
            </w:r>
            <w:r>
              <w:rPr>
                <w:rFonts w:hint="eastAsia" w:ascii="黑体" w:hAnsi="黑体" w:eastAsia="黑体"/>
                <w:sz w:val="18"/>
                <w:szCs w:val="18"/>
                <w:highlight w:val="none"/>
              </w:rPr>
              <w:t>等全套理财产品销售文件</w:t>
            </w:r>
            <w:r>
              <w:rPr>
                <w:rFonts w:ascii="黑体" w:hAnsi="黑体" w:eastAsia="黑体"/>
                <w:sz w:val="18"/>
                <w:szCs w:val="18"/>
                <w:highlight w:val="none"/>
              </w:rPr>
              <w:t>关于投资理财产品及其全部风险的有关内容，同意本次</w:t>
            </w:r>
            <w:r>
              <w:rPr>
                <w:rFonts w:hint="eastAsia" w:ascii="黑体" w:hAnsi="黑体" w:eastAsia="黑体"/>
                <w:sz w:val="18"/>
                <w:szCs w:val="18"/>
                <w:highlight w:val="none"/>
              </w:rPr>
              <w:t>认购/申购/赎回受上述协议约束。明确本理财产品作为资产管理产品应受到的法律法规及监管政策的规范与调整，同意接受本产品的投资方案、费率、认购/申购/赎回安排与上述文件所做风险提示，愿意承担投资风险，现决定认购/申购/赎回，并授权产品管理人根据投资方案进行投资。</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741" w:hRule="exact"/>
        </w:trPr>
        <w:tc>
          <w:tcPr>
            <w:tcW w:w="675" w:type="dxa"/>
            <w:vMerge w:val="restart"/>
            <w:vAlign w:val="center"/>
          </w:tcPr>
          <w:p>
            <w:pPr>
              <w:spacing w:line="360" w:lineRule="auto"/>
              <w:jc w:val="center"/>
              <w:rPr>
                <w:b/>
                <w:sz w:val="18"/>
                <w:szCs w:val="18"/>
                <w:highlight w:val="none"/>
              </w:rPr>
            </w:pPr>
            <w:r>
              <w:rPr>
                <w:rFonts w:hint="eastAsia"/>
                <w:b/>
                <w:sz w:val="18"/>
                <w:szCs w:val="18"/>
                <w:highlight w:val="none"/>
              </w:rPr>
              <w:t>投资者签署栏</w:t>
            </w:r>
          </w:p>
        </w:tc>
        <w:tc>
          <w:tcPr>
            <w:tcW w:w="851" w:type="dxa"/>
            <w:gridSpan w:val="2"/>
          </w:tcPr>
          <w:p>
            <w:pPr>
              <w:spacing w:line="360" w:lineRule="auto"/>
              <w:rPr>
                <w:b/>
                <w:sz w:val="18"/>
                <w:szCs w:val="18"/>
                <w:highlight w:val="none"/>
              </w:rPr>
            </w:pPr>
            <w:r>
              <w:rPr>
                <w:rFonts w:hint="eastAsia"/>
                <w:b/>
                <w:sz w:val="18"/>
                <w:szCs w:val="18"/>
                <w:highlight w:val="none"/>
              </w:rPr>
              <w:t>个人投资者适用</w:t>
            </w:r>
          </w:p>
        </w:tc>
        <w:tc>
          <w:tcPr>
            <w:tcW w:w="6998" w:type="dxa"/>
            <w:gridSpan w:val="2"/>
          </w:tcPr>
          <w:p>
            <w:pPr>
              <w:spacing w:line="360" w:lineRule="auto"/>
              <w:rPr>
                <w:sz w:val="18"/>
                <w:szCs w:val="18"/>
                <w:highlight w:val="none"/>
              </w:rPr>
            </w:pPr>
            <w:r>
              <w:rPr>
                <w:rFonts w:hint="eastAsia"/>
                <w:sz w:val="18"/>
                <w:szCs w:val="18"/>
                <w:highlight w:val="none"/>
              </w:rPr>
              <w:t>投资者（签字）：</w:t>
            </w:r>
          </w:p>
          <w:p>
            <w:pPr>
              <w:spacing w:line="360" w:lineRule="auto"/>
              <w:rPr>
                <w:b/>
                <w:sz w:val="18"/>
                <w:szCs w:val="18"/>
                <w:highlight w:val="none"/>
              </w:rPr>
            </w:pPr>
          </w:p>
          <w:p>
            <w:pPr>
              <w:spacing w:line="360" w:lineRule="auto"/>
              <w:rPr>
                <w:b/>
                <w:sz w:val="18"/>
                <w:szCs w:val="18"/>
                <w:highlight w:val="none"/>
              </w:rPr>
            </w:pPr>
            <w:r>
              <w:rPr>
                <w:rFonts w:hint="eastAsia"/>
                <w:sz w:val="18"/>
                <w:szCs w:val="18"/>
                <w:highlight w:val="none"/>
              </w:rPr>
              <w:t>日期：</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675" w:type="dxa"/>
            <w:vMerge w:val="continue"/>
          </w:tcPr>
          <w:p>
            <w:pPr>
              <w:spacing w:line="360" w:lineRule="auto"/>
              <w:rPr>
                <w:b/>
                <w:sz w:val="18"/>
                <w:szCs w:val="18"/>
                <w:highlight w:val="none"/>
              </w:rPr>
            </w:pPr>
          </w:p>
        </w:tc>
        <w:tc>
          <w:tcPr>
            <w:tcW w:w="851" w:type="dxa"/>
            <w:gridSpan w:val="2"/>
          </w:tcPr>
          <w:p>
            <w:pPr>
              <w:spacing w:line="360" w:lineRule="auto"/>
              <w:rPr>
                <w:b/>
                <w:sz w:val="18"/>
                <w:szCs w:val="18"/>
                <w:highlight w:val="none"/>
              </w:rPr>
            </w:pPr>
            <w:r>
              <w:rPr>
                <w:rFonts w:hint="eastAsia"/>
                <w:b/>
                <w:sz w:val="18"/>
                <w:szCs w:val="18"/>
                <w:highlight w:val="none"/>
              </w:rPr>
              <w:t>机构投资者适用</w:t>
            </w:r>
          </w:p>
        </w:tc>
        <w:tc>
          <w:tcPr>
            <w:tcW w:w="6998" w:type="dxa"/>
            <w:gridSpan w:val="2"/>
          </w:tcPr>
          <w:p>
            <w:pPr>
              <w:spacing w:line="360" w:lineRule="auto"/>
              <w:rPr>
                <w:rFonts w:cs="Arial"/>
                <w:sz w:val="18"/>
                <w:szCs w:val="18"/>
                <w:highlight w:val="none"/>
              </w:rPr>
            </w:pPr>
            <w:r>
              <w:rPr>
                <w:rFonts w:hint="eastAsia"/>
                <w:sz w:val="18"/>
                <w:szCs w:val="18"/>
                <w:highlight w:val="none"/>
              </w:rPr>
              <w:t>投资者</w:t>
            </w:r>
            <w:r>
              <w:rPr>
                <w:rFonts w:hint="eastAsia" w:cs="Arial"/>
                <w:sz w:val="18"/>
                <w:szCs w:val="18"/>
                <w:highlight w:val="none"/>
              </w:rPr>
              <w:t>（盖章）：</w:t>
            </w:r>
          </w:p>
          <w:p>
            <w:pPr>
              <w:spacing w:line="360" w:lineRule="auto"/>
              <w:rPr>
                <w:rFonts w:cs="Arial"/>
                <w:sz w:val="18"/>
                <w:szCs w:val="18"/>
                <w:highlight w:val="none"/>
              </w:rPr>
            </w:pPr>
          </w:p>
          <w:p>
            <w:pPr>
              <w:spacing w:line="360" w:lineRule="auto"/>
              <w:rPr>
                <w:rFonts w:cs="Arial"/>
                <w:sz w:val="18"/>
                <w:szCs w:val="18"/>
                <w:highlight w:val="none"/>
              </w:rPr>
            </w:pPr>
            <w:r>
              <w:rPr>
                <w:rFonts w:hint="eastAsia" w:cs="Arial"/>
                <w:sz w:val="18"/>
                <w:szCs w:val="18"/>
                <w:highlight w:val="none"/>
              </w:rPr>
              <w:t>投资者法定代表人或授权代理人（签字或盖章）：</w:t>
            </w:r>
          </w:p>
          <w:p>
            <w:pPr>
              <w:spacing w:line="360" w:lineRule="auto"/>
              <w:rPr>
                <w:b/>
                <w:sz w:val="18"/>
                <w:szCs w:val="18"/>
                <w:highlight w:val="none"/>
              </w:rPr>
            </w:pPr>
          </w:p>
          <w:p>
            <w:pPr>
              <w:spacing w:line="360" w:lineRule="auto"/>
              <w:rPr>
                <w:sz w:val="18"/>
                <w:szCs w:val="18"/>
                <w:highlight w:val="none"/>
              </w:rPr>
            </w:pPr>
            <w:r>
              <w:rPr>
                <w:rFonts w:hint="eastAsia"/>
                <w:sz w:val="18"/>
                <w:szCs w:val="18"/>
                <w:highlight w:val="none"/>
              </w:rPr>
              <w:t>日期：</w:t>
            </w:r>
          </w:p>
        </w:tc>
      </w:tr>
    </w:tbl>
    <w:p>
      <w:r>
        <w:rPr>
          <w:rFonts w:hint="eastAsia" w:ascii="宋体" w:hAnsi="宋体"/>
          <w:b/>
          <w:sz w:val="18"/>
          <w:szCs w:val="18"/>
          <w:highlight w:val="none"/>
        </w:rPr>
        <w:t>（本《投资协议书》</w:t>
      </w:r>
      <w:r>
        <w:rPr>
          <w:rFonts w:hint="eastAsia" w:ascii="宋体" w:hAnsi="宋体" w:cs="Arial"/>
          <w:b/>
          <w:sz w:val="18"/>
          <w:szCs w:val="18"/>
          <w:highlight w:val="none"/>
        </w:rPr>
        <w:t>共有三份</w:t>
      </w:r>
      <w:r>
        <w:rPr>
          <w:rFonts w:ascii="宋体" w:hAnsi="宋体" w:cs="Arial"/>
          <w:b/>
          <w:sz w:val="18"/>
          <w:szCs w:val="18"/>
          <w:highlight w:val="none"/>
        </w:rPr>
        <w:t>签署</w:t>
      </w:r>
      <w:r>
        <w:rPr>
          <w:rFonts w:hint="eastAsia" w:ascii="宋体" w:hAnsi="宋体" w:cs="Arial"/>
          <w:b/>
          <w:sz w:val="18"/>
          <w:szCs w:val="18"/>
          <w:highlight w:val="none"/>
        </w:rPr>
        <w:t>文本，第一联销售服务机构留存，第二联投资者留存，第三联产品管理人留存</w:t>
      </w:r>
      <w:r>
        <w:rPr>
          <w:rFonts w:hint="eastAsia" w:ascii="宋体" w:hAnsi="宋体"/>
          <w:b/>
          <w:sz w:val="18"/>
          <w:szCs w:val="18"/>
          <w:highlight w:val="none"/>
        </w:rPr>
        <w:t>。）</w:t>
      </w:r>
    </w:p>
    <w:sectPr>
      <w:footerReference r:id="rId5"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rPr>
        <w:rFonts w:ascii="黑体" w:hAnsi="黑体" w:eastAsia="黑体"/>
        <w:szCs w:val="18"/>
      </w:rPr>
    </w:pPr>
    <w:r>
      <w:rPr>
        <w:lang w:val="zh-CN"/>
      </w:rPr>
      <w:fldChar w:fldCharType="begin"/>
    </w:r>
    <w:r>
      <w:rPr>
        <w:lang w:val="zh-CN"/>
      </w:rPr>
      <w:instrText xml:space="preserve">PAGE   \* MERGEFORMAT</w:instrText>
    </w:r>
    <w:r>
      <w:rPr>
        <w:lang w:val="zh-CN"/>
      </w:rPr>
      <w:fldChar w:fldCharType="separate"/>
    </w:r>
    <w:r>
      <w:rPr>
        <w:lang w:val="zh-CN"/>
      </w:rPr>
      <w:t>10</w:t>
    </w:r>
    <w:r>
      <w:rPr>
        <w:lang w:val="zh-CN"/>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rPr>
        <w:rFonts w:ascii="黑体" w:hAnsi="黑体" w:eastAsia="黑体"/>
        <w:szCs w:val="18"/>
      </w:rPr>
    </w:pPr>
    <w:r>
      <w:rPr>
        <w:lang w:val="zh-CN"/>
      </w:rPr>
      <w:fldChar w:fldCharType="begin"/>
    </w:r>
    <w:r>
      <w:rPr>
        <w:lang w:val="zh-CN"/>
      </w:rPr>
      <w:instrText xml:space="preserve">PAGE   \* MERGEFORMAT</w:instrText>
    </w:r>
    <w:r>
      <w:rPr>
        <w:lang w:val="zh-CN"/>
      </w:rPr>
      <w:fldChar w:fldCharType="separate"/>
    </w:r>
    <w:r>
      <w:rPr>
        <w:lang w:val="zh-CN"/>
      </w:rPr>
      <w:t>10</w:t>
    </w:r>
    <w:r>
      <w:rPr>
        <w:lang w:val="zh-CN"/>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single" w:color="auto" w:sz="4" w:space="10"/>
      </w:pBdr>
      <w:tabs>
        <w:tab w:val="right" w:pos="8280"/>
      </w:tabs>
      <w:wordWrap w:val="0"/>
      <w:adjustRightInd w:val="0"/>
      <w:jc w:val="right"/>
      <w:rPr>
        <w:b/>
      </w:rPr>
    </w:pPr>
    <w:r>
      <w:rPr>
        <w:rFonts w:hint="eastAsia"/>
        <w:b/>
      </w:rPr>
      <w:t>投资协议书</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0BE7099"/>
    <w:rsid w:val="14AC049B"/>
    <w:rsid w:val="40BE7099"/>
    <w:rsid w:val="580F520A"/>
    <w:rsid w:val="6C8772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keepLines/>
      <w:spacing w:before="120" w:after="120" w:line="360" w:lineRule="auto"/>
      <w:outlineLvl w:val="0"/>
    </w:pPr>
    <w:rPr>
      <w:rFonts w:ascii="宋体"/>
      <w:b/>
      <w:color w:val="000000"/>
      <w:kern w:val="0"/>
      <w:sz w:val="24"/>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unhideWhenUsed/>
    <w:qFormat/>
    <w:uiPriority w:val="0"/>
    <w:pPr>
      <w:widowControl/>
      <w:spacing w:before="100" w:beforeAutospacing="1" w:after="100" w:afterAutospacing="1"/>
      <w:jc w:val="left"/>
    </w:pPr>
    <w:rPr>
      <w:rFonts w:ascii="宋体" w:hAnsi="宋体" w:cs="宋体"/>
      <w:kern w:val="0"/>
      <w:sz w:val="24"/>
      <w:szCs w:val="24"/>
    </w:rPr>
  </w:style>
  <w:style w:type="character" w:styleId="8">
    <w:name w:val="Strong"/>
    <w:qFormat/>
    <w:uiPriority w:val="22"/>
    <w:rPr>
      <w:b/>
      <w:bCs/>
    </w:rPr>
  </w:style>
  <w:style w:type="paragraph" w:customStyle="1" w:styleId="9">
    <w:name w:val="风险揭示书页眉"/>
    <w:basedOn w:val="1"/>
    <w:qFormat/>
    <w:uiPriority w:val="0"/>
    <w:pPr>
      <w:pBdr>
        <w:top w:val="none" w:color="auto" w:sz="0" w:space="1"/>
        <w:left w:val="none" w:color="auto" w:sz="0" w:space="4"/>
        <w:bottom w:val="single" w:color="auto" w:sz="4" w:space="1"/>
        <w:right w:val="none" w:color="auto" w:sz="0" w:space="4"/>
      </w:pBdr>
      <w:tabs>
        <w:tab w:val="center" w:pos="4153"/>
        <w:tab w:val="right" w:pos="8306"/>
      </w:tabs>
      <w:snapToGrid w:val="0"/>
      <w:jc w:val="right"/>
    </w:pPr>
    <w:rPr>
      <w:rFonts w:hint="eastAsia" w:ascii="微软雅黑" w:hAnsi="微软雅黑" w:eastAsia="微软雅黑" w:cs="微软雅黑"/>
      <w:szCs w:val="21"/>
    </w:rPr>
  </w:style>
  <w:style w:type="paragraph" w:customStyle="1" w:styleId="10">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2026-03-25T03:11:00Z</dcterms:created>
  <dc:creator>默认用户名</dc:creator>
  <cp:lastModifiedBy>默认用户名</cp:lastModifiedBy>
  <dcterms:modified xsi:type="dcterms:W3CDTF">2026-03-27T06:48:55Z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ies>
</file>