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2" w:name="_GoBack"/>
      <w:r>
        <w:rPr>
          <w:rFonts w:hint="eastAsia" w:ascii="华文仿宋" w:hAnsi="华文仿宋" w:eastAsia="华文仿宋" w:cs="华文仿宋"/>
          <w:b/>
          <w:bCs/>
          <w:sz w:val="32"/>
          <w:szCs w:val="32"/>
          <w:highlight w:val="none"/>
          <w:lang w:val="en-US" w:eastAsia="zh-CN"/>
        </w:rPr>
        <w:t>渤银理财财收有略系列固定收益类三个月封闭式理财产品2026年14号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渤银理财财收有略系列固定收益类三个月封闭式理财产品2026年14号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渤银理财财收有略系列固定收益类三个月封闭式理财产品2026年14号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CSFB3M26014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渤银理财财收有略三个月2026年14号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渤银理财财收有略三个月2026年14号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渤银理财财收有略三个月2026年14号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渤银理财财收有略三个月2026年14号</w:t>
            </w:r>
            <w:r>
              <w:rPr>
                <w:rFonts w:hint="eastAsia" w:ascii="宋体" w:hAnsi="宋体" w:eastAsia="宋体"/>
                <w:sz w:val="24"/>
                <w:szCs w:val="24"/>
                <w:highlight w:val="none"/>
              </w:rPr>
              <w:t>D款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类份额：（新客新资金专属）</w:t>
            </w:r>
            <w:r>
              <w:rPr>
                <w:rFonts w:hint="eastAsia" w:ascii="宋体" w:hAnsi="宋体" w:eastAsia="宋体"/>
                <w:sz w:val="24"/>
                <w:szCs w:val="24"/>
                <w:highlight w:val="none"/>
                <w:lang w:val="en-US" w:eastAsia="zh-CN"/>
              </w:rPr>
              <w:t>渤银理财财收有略三个月2026年14号</w:t>
            </w:r>
            <w:r>
              <w:rPr>
                <w:rFonts w:hint="eastAsia" w:ascii="宋体" w:hAnsi="宋体" w:eastAsia="宋体"/>
                <w:sz w:val="24"/>
                <w:szCs w:val="24"/>
                <w:highlight w:val="none"/>
              </w:rPr>
              <w:t>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CSFB3M26014</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CSFB3M26014</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CSFB3M26014C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CSFB3M26014D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CSFB3M26014E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eastAsia="zh-CN"/>
              </w:rPr>
              <w:t>Z7008426000291</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：湖南银行股份有限公司、山西银行股份有限公司、内蒙古银行股份有限公司、苏州银行股份有限公司、福建海峡银行股份有限公司、天津农村商业银行股份有限公司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渤海银行股份有限公司、温州银行股份有限公司、上海浦东发展银行股份有限公司、嘉兴银行股份有限公司、吉林银行股份有限公司、日照银行股份有限公司、秦皇岛银行股份有限公司，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兴业银行股份有限公司、山西银行股份有限公司、盛京银行股份有限公司、厦门银行股份有限公司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渤海银行股份有限公司、中信银行股份有限公司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7亿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2026年4月1日9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2026年4月8日17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2026年4月9日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2026年4月9日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2026年7月23日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105</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1.85%-1.97%</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1.95%-2.07%</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2.05%-2.17%</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2.10%-2.22%</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2.05%-2.17%</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lang w:eastAsia="zh-CN"/>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lang w:eastAsia="zh-CN"/>
              </w:rPr>
              <w:t>本理财产品为固定收益类产品，以产品投资债券类资产仓位90%-100%，权益类资产仓位0-10%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1.91%</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2.01%</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2.11%</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2.16%</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2.11%</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rPr>
        <w:t>（一）投资目标</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（二）投资范围和投资比例</w:t>
      </w:r>
    </w:p>
    <w:p>
      <w:pPr>
        <w:spacing w:line="300" w:lineRule="auto"/>
        <w:ind w:firstLine="480" w:firstLineChars="200"/>
        <w:jc w:val="left"/>
        <w:outlineLvl w:val="2"/>
        <w:rPr>
          <w:rFonts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1"/>
          <w:numId w:val="0"/>
        </w:num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（四）投资限制</w:t>
      </w:r>
    </w:p>
    <w:p>
      <w:pPr>
        <w:spacing w:line="30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3.本理财产品投资不存在活跃交易市场，并且需要采用估值技术确定公允价值的资产比例可以达到本产品净资产50%以上。</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2026年4月1日9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2026年4月8日17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cs="宋体"/>
          <w:b/>
          <w:bCs/>
          <w:sz w:val="24"/>
          <w:highlight w:val="none"/>
        </w:rPr>
        <w:t>（</w:t>
      </w:r>
      <w:r>
        <w:rPr>
          <w:rFonts w:ascii="宋体" w:hAnsi="宋体" w:eastAsia="宋体"/>
          <w:b/>
          <w:bCs/>
          <w:sz w:val="24"/>
          <w:szCs w:val="24"/>
          <w:highlight w:val="none"/>
        </w:rPr>
        <w:t>四</w:t>
      </w:r>
      <w:r>
        <w:rPr>
          <w:rFonts w:hint="eastAsia" w:ascii="宋体" w:hAnsi="宋体" w:cs="宋体"/>
          <w:b/>
          <w:bCs/>
          <w:sz w:val="24"/>
          <w:highlight w:val="none"/>
        </w:rPr>
        <w:t>）</w:t>
      </w:r>
      <w:r>
        <w:rPr>
          <w:rFonts w:ascii="宋体" w:hAnsi="宋体" w:eastAsia="宋体"/>
          <w:b/>
          <w:bCs/>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jc w:val="left"/>
        <w:outlineLvl w:val="9"/>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6"/>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10</w:t>
      </w:r>
      <w:r>
        <w:rPr>
          <w:rFonts w:hint="eastAsia" w:ascii="宋体" w:hAnsi="宋体" w:eastAsia="宋体"/>
          <w:sz w:val="24"/>
          <w:szCs w:val="24"/>
          <w:highlight w:val="none"/>
        </w:rPr>
        <w:t>.</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lang w:val="en-US" w:eastAsia="zh-CN"/>
        </w:rPr>
        <w:t>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山西银行股份有限公司，住所：山西转型综合改革示范区学府产业园区高新街15号，客户服务热线：0351-96588。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苏州银行股份有限公司，住所：江苏省苏州工业园区钟园路728号，客户服务热线：96067。</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福建海峡银行股份有限公司，住所：福建省福州市台江区江滨中大道358号海峡银行大厦，客户服务热线：4008939999。</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天津农村商业银行股份有限公司，住所：天津市河西区友谊路32号，客户服务热线：022-96155。</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温州银行股份有限公司，住所：浙江省温州市鹿城区会展路1316号，客户服务热线：0577-96699。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上海浦东发展银行股份有限公司，住所：上海市中山东一路12号-10层客户服务热线：95528。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日照银行股份有限公司，住所：山东省日照市烟台路197号，客户服务热线：400-68-96588。</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秦皇岛银行股份有限公司，河北省秦皇岛市海港区河北大街西段560号，客户服务热线：0335-96336。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兴业银行股份有限公司，住所：福州市台江区江滨中大道398号兴业银行大厦，客户服务热线：95561。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山西银行股份有限公司，住所：山西转型综合改革示范区学府产业园区高新街15号，客户服务热线：0351-96588。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盛京银行股份有限公司，住所：沈阳市沈河区北站路109号，客户服务热线：95337。</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厦门银行股份有限公司，住所：福建省厦门市思明区湖滨北路101号商业银行大厦，客户服务热线：4008588888。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中信银行股份有限公司，住所：北京市朝阳区光华路10号院1号楼6-30层、32-42层，客户服务热线：95558。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ind w:firstLine="480" w:firstLineChars="200"/>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pStyle w:val="9"/>
        <w:widowControl/>
        <w:snapToGrid w:val="0"/>
        <w:spacing w:line="360" w:lineRule="auto"/>
        <w:rPr>
          <w:highlight w:val="none"/>
        </w:rPr>
      </w:pP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7B729"/>
    <w:multiLevelType w:val="singleLevel"/>
    <w:tmpl w:val="C507B729"/>
    <w:lvl w:ilvl="0" w:tentative="0">
      <w:start w:val="4"/>
      <w:numFmt w:val="decimal"/>
      <w:lvlText w:val="%1."/>
      <w:lvlJc w:val="left"/>
      <w:pPr>
        <w:tabs>
          <w:tab w:val="left" w:pos="312"/>
        </w:tabs>
      </w:pPr>
    </w:lvl>
  </w:abstractNum>
  <w:abstractNum w:abstractNumId="1">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4">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5">
    <w:nsid w:val="57E61E1F"/>
    <w:multiLevelType w:val="singleLevel"/>
    <w:tmpl w:val="57E61E1F"/>
    <w:lvl w:ilvl="0" w:tentative="0">
      <w:start w:val="1"/>
      <w:numFmt w:val="chineseCounting"/>
      <w:suff w:val="nothing"/>
      <w:lvlText w:val="（%1）"/>
      <w:lvlJc w:val="left"/>
      <w:rPr>
        <w:rFonts w:hint="eastAsia"/>
      </w:rPr>
    </w:lvl>
  </w:abstractNum>
  <w:abstractNum w:abstractNumId="6">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25B09"/>
    <w:rsid w:val="0D20675D"/>
    <w:rsid w:val="13625B09"/>
    <w:rsid w:val="596E61ED"/>
    <w:rsid w:val="6C877222"/>
    <w:rsid w:val="6CCE0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2026-03-25T03:06:00Z</dcterms:created>
  <dc:creator>默认用户名</dc:creator>
  <cp:lastModifiedBy>yx01.hou</cp:lastModifiedBy>
  <dcterms:modified xsi:type="dcterms:W3CDTF">2026-03-25T06:35:18Z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