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宋体" w:hAnsi="宋体" w:cs="宋体" w:eastAsiaTheme="minorEastAsia"/>
          <w:b/>
          <w:bCs/>
          <w:szCs w:val="21"/>
          <w:highlight w:val="none"/>
          <w:lang w:val="en-US" w:eastAsia="zh-CN"/>
        </w:rPr>
      </w:pPr>
      <w:bookmarkStart w:id="2" w:name="_GoBack"/>
      <w:r>
        <w:rPr>
          <w:rFonts w:hint="eastAsia" w:ascii="宋体" w:hAnsi="宋体" w:cs="宋体"/>
          <w:b/>
          <w:bCs/>
          <w:szCs w:val="21"/>
          <w:highlight w:val="none"/>
          <w:lang w:val="en-US" w:eastAsia="zh-CN"/>
        </w:rPr>
        <w:t>渤银理财财收有略系列固定收益类三个月封闭式理财产品2026年14号</w:t>
      </w:r>
    </w:p>
    <w:p>
      <w:pPr>
        <w:jc w:val="center"/>
        <w:outlineLvl w:val="0"/>
        <w:rPr>
          <w:rFonts w:hint="eastAsia" w:ascii="宋体" w:hAnsi="宋体" w:cs="宋体"/>
          <w:b/>
          <w:bCs/>
          <w:szCs w:val="21"/>
          <w:highlight w:val="none"/>
        </w:rPr>
      </w:pPr>
      <w:r>
        <w:rPr>
          <w:rFonts w:hint="eastAsia" w:ascii="宋体" w:hAnsi="宋体" w:cs="宋体"/>
          <w:b/>
          <w:bCs/>
          <w:szCs w:val="21"/>
          <w:highlight w:val="none"/>
        </w:rPr>
        <w:t>(产品登记编码：</w:t>
      </w:r>
      <w:r>
        <w:rPr>
          <w:rFonts w:hint="eastAsia" w:ascii="宋体" w:hAnsi="宋体" w:cs="宋体"/>
          <w:b/>
          <w:bCs/>
          <w:szCs w:val="21"/>
          <w:highlight w:val="none"/>
          <w:lang w:val="en-US" w:eastAsia="zh-CN"/>
        </w:rPr>
        <w:t>Z7008426000291</w:t>
      </w:r>
      <w:r>
        <w:rPr>
          <w:rFonts w:hint="eastAsia" w:ascii="宋体" w:hAnsi="宋体" w:cs="宋体"/>
          <w:b/>
          <w:bCs/>
          <w:szCs w:val="21"/>
          <w:highlight w:val="none"/>
        </w:rPr>
        <w:t>)风险揭示书</w:t>
      </w:r>
    </w:p>
    <w:p>
      <w:pPr>
        <w:spacing w:line="360" w:lineRule="auto"/>
        <w:rPr>
          <w:rFonts w:hint="eastAsia" w:ascii="宋体" w:hAnsi="宋体" w:cs="宋体"/>
          <w:b/>
          <w:bCs/>
          <w:szCs w:val="21"/>
          <w:highlight w:val="none"/>
        </w:rPr>
      </w:pPr>
      <w:r>
        <w:rPr>
          <w:rFonts w:hint="eastAsia" w:ascii="宋体" w:hAnsi="宋体" w:cs="宋体"/>
          <w:b/>
          <w:bCs/>
          <w:szCs w:val="21"/>
          <w:highlight w:val="none"/>
        </w:rPr>
        <w:t>尊敬的投资者：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理财资金管理运用可能面临多种风险因素，根据</w:t>
      </w:r>
      <w:r>
        <w:rPr>
          <w:rFonts w:hint="eastAsia"/>
          <w:highlight w:val="none"/>
        </w:rPr>
        <w:t>国家金融监督管理总局和/或其他监管机构</w:t>
      </w:r>
      <w:r>
        <w:rPr>
          <w:rFonts w:hint="eastAsia" w:ascii="宋体" w:hAnsi="宋体" w:cs="宋体"/>
          <w:szCs w:val="21"/>
          <w:highlight w:val="none"/>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highlight w:val="none"/>
        </w:rPr>
      </w:pPr>
      <w:r>
        <w:rPr>
          <w:rFonts w:hint="eastAsia" w:ascii="宋体" w:hAnsi="宋体" w:cs="宋体"/>
          <w:szCs w:val="21"/>
          <w:highlight w:val="none"/>
        </w:rPr>
        <w:t>一、风险揭示</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（三）信用风险：本理财产品所投资资产，</w:t>
      </w:r>
      <w:r>
        <w:rPr>
          <w:rFonts w:hint="eastAsia"/>
          <w:highlight w:val="none"/>
        </w:rPr>
        <w:t>可能因债务人、交易对手违约或者其他原因导致无法足额变现，由此可能导致本理财产品的本金及收益遭受损失。</w:t>
      </w:r>
    </w:p>
    <w:p>
      <w:pPr>
        <w:spacing w:line="360" w:lineRule="auto"/>
        <w:ind w:firstLine="420" w:firstLineChars="200"/>
        <w:rPr>
          <w:rStyle w:val="6"/>
          <w:highlight w:val="none"/>
        </w:rPr>
      </w:pPr>
      <w:r>
        <w:rPr>
          <w:rFonts w:hint="eastAsia" w:ascii="宋体" w:hAnsi="宋体" w:cs="宋体"/>
          <w:szCs w:val="21"/>
          <w:highlight w:val="none"/>
        </w:rPr>
        <w:t>（四）流动性风险：在产品存续期间本理财产品的投资者可能面临相应的流动性风险，包括但不限于以下情形：</w:t>
      </w:r>
    </w:p>
    <w:p>
      <w:pPr>
        <w:numPr>
          <w:ilvl w:val="0"/>
          <w:numId w:val="1"/>
        </w:numPr>
        <w:spacing w:line="360" w:lineRule="auto"/>
        <w:rPr>
          <w:rFonts w:hint="eastAsia"/>
          <w:highlight w:val="none"/>
        </w:rPr>
      </w:pPr>
      <w:r>
        <w:rPr>
          <w:rFonts w:hint="eastAsia" w:ascii="宋体" w:hAnsi="宋体" w:cs="宋体"/>
          <w:szCs w:val="21"/>
          <w:highlight w:val="none"/>
        </w:rPr>
        <w:t>封闭式产品认购、兑付安排</w:t>
      </w:r>
    </w:p>
    <w:p>
      <w:pPr>
        <w:spacing w:line="360" w:lineRule="auto"/>
        <w:ind w:firstLine="420" w:firstLineChars="200"/>
        <w:rPr>
          <w:rFonts w:hint="eastAsia"/>
          <w:highlight w:val="none"/>
        </w:rPr>
      </w:pPr>
      <w:r>
        <w:rPr>
          <w:rFonts w:hint="eastAsia" w:ascii="宋体" w:hAnsi="宋体" w:cs="宋体"/>
          <w:szCs w:val="21"/>
          <w:highlight w:val="none"/>
        </w:rPr>
        <w:t>投资者不能随时提前终止本理财产品，在本产品存续期内，除非理财产品销售文件另有约定，投资者不得赎回。</w:t>
      </w:r>
    </w:p>
    <w:p>
      <w:pPr>
        <w:spacing w:line="360" w:lineRule="auto"/>
        <w:ind w:firstLine="420" w:firstLineChars="200"/>
        <w:rPr>
          <w:rFonts w:hint="eastAsia"/>
          <w:highlight w:val="none"/>
        </w:rPr>
      </w:pPr>
      <w:r>
        <w:rPr>
          <w:rFonts w:hint="eastAsia"/>
          <w:highlight w:val="none"/>
        </w:rPr>
        <w:t>此外，</w:t>
      </w:r>
      <w:r>
        <w:rPr>
          <w:rFonts w:hint="eastAsia" w:ascii="宋体" w:hAnsi="宋体" w:cs="宋体"/>
          <w:szCs w:val="21"/>
          <w:highlight w:val="none"/>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highlight w:val="none"/>
        </w:rPr>
        <w:t>国家金融监督管理总局和/或其他监管机构</w:t>
      </w:r>
      <w:r>
        <w:rPr>
          <w:rFonts w:hint="eastAsia" w:ascii="宋体" w:hAnsi="宋体" w:cs="宋体"/>
          <w:szCs w:val="21"/>
          <w:highlight w:val="none"/>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highlight w:val="none"/>
        </w:rPr>
      </w:pPr>
      <w:r>
        <w:rPr>
          <w:rFonts w:hint="eastAsia"/>
          <w:highlight w:val="none"/>
        </w:rPr>
        <w:t>主要拟投资市场、资产的流动性风险</w:t>
      </w:r>
    </w:p>
    <w:p>
      <w:pPr>
        <w:spacing w:line="360" w:lineRule="auto"/>
        <w:ind w:firstLine="420" w:firstLineChars="200"/>
        <w:rPr>
          <w:rFonts w:hint="eastAsia"/>
          <w:highlight w:val="none"/>
        </w:rPr>
      </w:pPr>
      <w:r>
        <w:rPr>
          <w:rFonts w:hint="eastAsia"/>
          <w:highlight w:val="none"/>
        </w:rPr>
        <w:t>本理财产品投资于</w:t>
      </w:r>
      <w:r>
        <w:rPr>
          <w:rFonts w:hint="eastAsia" w:ascii="宋体" w:hAnsi="宋体" w:cs="宋体"/>
          <w:szCs w:val="21"/>
          <w:highlight w:val="none"/>
        </w:rPr>
        <w:t>货币市场工具、现金类资产、标准化固定收益类资产</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权益类资产</w:t>
      </w:r>
      <w:r>
        <w:rPr>
          <w:rFonts w:hint="eastAsia" w:ascii="宋体" w:hAnsi="宋体" w:cs="宋体"/>
          <w:szCs w:val="21"/>
          <w:highlight w:val="none"/>
        </w:rPr>
        <w:t>等</w:t>
      </w:r>
      <w:r>
        <w:rPr>
          <w:rFonts w:hint="eastAsia" w:ascii="宋体" w:hAnsi="宋体" w:cs="宋体"/>
          <w:szCs w:val="21"/>
          <w:highlight w:val="none"/>
          <w:lang w:val="en-US" w:eastAsia="zh-CN"/>
        </w:rPr>
        <w:t>其他符合监管要求的资产</w:t>
      </w:r>
      <w:r>
        <w:rPr>
          <w:rFonts w:hint="eastAsia"/>
          <w:highlight w:val="none"/>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highlight w:val="none"/>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highlight w:val="none"/>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highlight w:val="none"/>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highlight w:val="none"/>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highlight w:val="none"/>
        </w:rPr>
        <w:t>等方面存在差异。</w:t>
      </w:r>
    </w:p>
    <w:p>
      <w:pPr>
        <w:spacing w:line="360" w:lineRule="auto"/>
        <w:ind w:firstLine="420" w:firstLineChars="200"/>
        <w:rPr>
          <w:rFonts w:hint="eastAsia"/>
          <w:highlight w:val="none"/>
        </w:rPr>
      </w:pPr>
      <w:r>
        <w:rPr>
          <w:rFonts w:hint="eastAsia"/>
          <w:highlight w:val="none"/>
        </w:rPr>
        <w:t>（十七）特定投资标的风险(如有）</w:t>
      </w:r>
    </w:p>
    <w:p>
      <w:pPr>
        <w:numPr>
          <w:ilvl w:val="0"/>
          <w:numId w:val="2"/>
        </w:numPr>
        <w:spacing w:line="360" w:lineRule="auto"/>
        <w:ind w:left="0" w:firstLine="420" w:firstLineChars="200"/>
        <w:rPr>
          <w:rFonts w:hint="eastAsia"/>
          <w:highlight w:val="none"/>
        </w:rPr>
      </w:pPr>
      <w:r>
        <w:rPr>
          <w:rFonts w:hint="eastAsia"/>
          <w:highlight w:val="none"/>
        </w:rPr>
        <w:t>投资于债券的特殊风险</w:t>
      </w:r>
    </w:p>
    <w:p>
      <w:pPr>
        <w:spacing w:line="360" w:lineRule="auto"/>
        <w:ind w:firstLine="420" w:firstLineChars="200"/>
        <w:rPr>
          <w:rFonts w:hint="eastAsia"/>
          <w:highlight w:val="none"/>
        </w:rPr>
      </w:pPr>
      <w:r>
        <w:rPr>
          <w:rFonts w:hint="eastAsia"/>
          <w:highlight w:val="none"/>
        </w:rPr>
        <w:t>A市场平均利率水平变化导致债券价格变化的风险；</w:t>
      </w:r>
    </w:p>
    <w:p>
      <w:pPr>
        <w:spacing w:line="360" w:lineRule="auto"/>
        <w:ind w:firstLine="420" w:firstLineChars="200"/>
        <w:rPr>
          <w:rFonts w:hint="eastAsia"/>
          <w:highlight w:val="none"/>
        </w:rPr>
      </w:pPr>
      <w:r>
        <w:rPr>
          <w:rFonts w:hint="eastAsia"/>
          <w:highlight w:val="none"/>
        </w:rPr>
        <w:t>B债券市场不同期限、不同类属债券之间的利差变动导致相应期限和类属债券价格变化的风险；</w:t>
      </w:r>
    </w:p>
    <w:p>
      <w:pPr>
        <w:spacing w:line="360" w:lineRule="auto"/>
        <w:ind w:firstLine="420" w:firstLineChars="200"/>
        <w:rPr>
          <w:rFonts w:hint="eastAsia"/>
          <w:highlight w:val="none"/>
        </w:rPr>
      </w:pPr>
      <w:r>
        <w:rPr>
          <w:rFonts w:hint="eastAsia"/>
          <w:highlight w:val="none"/>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highlight w:val="none"/>
        </w:rPr>
      </w:pPr>
      <w:r>
        <w:rPr>
          <w:rFonts w:hint="eastAsia"/>
          <w:highlight w:val="none"/>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highlight w:val="none"/>
        </w:rPr>
      </w:pPr>
      <w:r>
        <w:rPr>
          <w:rFonts w:hint="eastAsia"/>
          <w:highlight w:val="none"/>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highlight w:val="none"/>
        </w:rPr>
      </w:pPr>
      <w:r>
        <w:rPr>
          <w:rFonts w:hint="eastAsia"/>
          <w:highlight w:val="none"/>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highlight w:val="none"/>
        </w:rPr>
      </w:pPr>
      <w:r>
        <w:rPr>
          <w:rFonts w:hint="eastAsia"/>
          <w:highlight w:val="none"/>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highlight w:val="none"/>
        </w:rPr>
      </w:pPr>
      <w:r>
        <w:rPr>
          <w:rFonts w:hint="eastAsia"/>
          <w:highlight w:val="none"/>
        </w:rPr>
        <w:t>投资于资产支持证券的特殊风险</w:t>
      </w:r>
    </w:p>
    <w:p>
      <w:pPr>
        <w:spacing w:line="360" w:lineRule="auto"/>
        <w:ind w:firstLine="420" w:firstLineChars="200"/>
        <w:rPr>
          <w:rFonts w:hint="eastAsia"/>
          <w:highlight w:val="none"/>
        </w:rPr>
      </w:pPr>
      <w:r>
        <w:rPr>
          <w:rFonts w:hint="eastAsia"/>
          <w:highlight w:val="none"/>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投资于债券质押式回购与债券买断式回购的特殊风险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如本产品投资于债券质押式回购与债券买断式回购，会</w:t>
      </w:r>
      <w:r>
        <w:rPr>
          <w:rFonts w:hint="eastAsia" w:ascii="宋体" w:hAnsi="宋体" w:cs="宋体"/>
          <w:color w:val="000000"/>
          <w:szCs w:val="21"/>
          <w:highlight w:val="none"/>
        </w:rPr>
        <w:t>面临市场风险、担保物价值下跌风险、违约风险以及清算风险</w:t>
      </w:r>
      <w:r>
        <w:rPr>
          <w:rFonts w:hint="eastAsia" w:ascii="宋体" w:hAnsi="宋体" w:cs="宋体"/>
          <w:szCs w:val="21"/>
          <w:highlight w:val="none"/>
        </w:rPr>
        <w:t>，可能导致本理财产品项下的理财资金遭受损失。</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投资于公募基金、信托计划、资产管理计划等资产管理产品的特殊风险</w:t>
      </w:r>
    </w:p>
    <w:p>
      <w:pPr>
        <w:spacing w:line="360" w:lineRule="auto"/>
        <w:ind w:firstLine="420" w:firstLineChars="200"/>
        <w:rPr>
          <w:rFonts w:ascii="宋体" w:hAnsi="宋体" w:cs="宋体"/>
          <w:szCs w:val="21"/>
          <w:highlight w:val="none"/>
        </w:rPr>
      </w:pPr>
      <w:r>
        <w:rPr>
          <w:rFonts w:ascii="宋体" w:hAnsi="宋体" w:cs="宋体"/>
          <w:szCs w:val="21"/>
          <w:highlight w:val="none"/>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highlight w:val="none"/>
        </w:rPr>
        <w:t>产品</w:t>
      </w:r>
      <w:r>
        <w:rPr>
          <w:rFonts w:ascii="宋体" w:hAnsi="宋体" w:cs="宋体"/>
          <w:szCs w:val="21"/>
          <w:highlight w:val="none"/>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highlight w:val="none"/>
        </w:rPr>
      </w:pPr>
      <w:r>
        <w:rPr>
          <w:rFonts w:hint="eastAsia"/>
          <w:highlight w:val="none"/>
        </w:rPr>
        <w:t>投资于优先股的特殊风险</w:t>
      </w:r>
    </w:p>
    <w:p>
      <w:pPr>
        <w:spacing w:line="360" w:lineRule="auto"/>
        <w:ind w:firstLine="420" w:firstLineChars="200"/>
        <w:rPr>
          <w:rFonts w:hint="eastAsia"/>
          <w:highlight w:val="none"/>
        </w:rPr>
      </w:pPr>
      <w:r>
        <w:rPr>
          <w:rFonts w:hint="eastAsia"/>
          <w:highlight w:val="none"/>
        </w:rPr>
        <w:t>本理财产品如投资于优先股，除面临国家政策、宏观经济及发行人经营等风险外，还存在以下风险：</w:t>
      </w:r>
    </w:p>
    <w:p>
      <w:pPr>
        <w:spacing w:line="360" w:lineRule="auto"/>
        <w:ind w:firstLine="420" w:firstLineChars="200"/>
        <w:rPr>
          <w:rFonts w:hint="eastAsia"/>
          <w:highlight w:val="none"/>
        </w:rPr>
      </w:pPr>
      <w:r>
        <w:rPr>
          <w:rFonts w:hint="eastAsia"/>
          <w:highlight w:val="none"/>
        </w:rPr>
        <w:t>A优先股具有补充资本的属性，在银行（发行人）资本充足率水平等指标触发转股条件时，存在强制转普通股的风险；</w:t>
      </w:r>
    </w:p>
    <w:p>
      <w:pPr>
        <w:spacing w:line="360" w:lineRule="auto"/>
        <w:ind w:firstLine="420" w:firstLineChars="200"/>
        <w:rPr>
          <w:rFonts w:hint="eastAsia"/>
          <w:highlight w:val="none"/>
        </w:rPr>
      </w:pPr>
      <w:r>
        <w:rPr>
          <w:rFonts w:hint="eastAsia"/>
          <w:highlight w:val="none"/>
        </w:rPr>
        <w:t>B优先股股息派发由发行人全权决定，不派息不构成违约，因此存在不能按时全额派息的风险；</w:t>
      </w:r>
    </w:p>
    <w:p>
      <w:pPr>
        <w:spacing w:line="360" w:lineRule="auto"/>
        <w:ind w:firstLine="420" w:firstLineChars="200"/>
        <w:rPr>
          <w:rFonts w:hint="eastAsia"/>
          <w:highlight w:val="none"/>
        </w:rPr>
      </w:pPr>
      <w:r>
        <w:rPr>
          <w:rFonts w:hint="eastAsia"/>
          <w:highlight w:val="none"/>
        </w:rPr>
        <w:t>C发行人可能在可赎回日决定不赎回优先股，因此存在赎回时间不可预期的风险。</w:t>
      </w:r>
    </w:p>
    <w:p>
      <w:pPr>
        <w:numPr>
          <w:ilvl w:val="0"/>
          <w:numId w:val="2"/>
        </w:numPr>
        <w:spacing w:line="360" w:lineRule="auto"/>
        <w:ind w:left="0" w:firstLine="420" w:firstLineChars="200"/>
        <w:rPr>
          <w:rFonts w:hint="eastAsia"/>
          <w:highlight w:val="none"/>
        </w:rPr>
      </w:pPr>
      <w:r>
        <w:rPr>
          <w:rFonts w:hint="eastAsia"/>
          <w:highlight w:val="none"/>
        </w:rPr>
        <w:t>投资于收益凭证的风险</w:t>
      </w:r>
    </w:p>
    <w:p>
      <w:pPr>
        <w:spacing w:line="360" w:lineRule="auto"/>
        <w:ind w:firstLine="420" w:firstLineChars="200"/>
        <w:rPr>
          <w:rFonts w:hint="eastAsia"/>
          <w:highlight w:val="none"/>
        </w:rPr>
      </w:pPr>
      <w:r>
        <w:rPr>
          <w:rFonts w:hint="eastAsia"/>
          <w:highlight w:val="none"/>
        </w:rPr>
        <w:t>本理财产品如投资于收益凭证，则本理财产品可能面临的风险包括但不限于：</w:t>
      </w:r>
    </w:p>
    <w:p>
      <w:pPr>
        <w:spacing w:line="360" w:lineRule="auto"/>
        <w:ind w:firstLine="420" w:firstLineChars="200"/>
        <w:rPr>
          <w:rFonts w:hint="eastAsia"/>
          <w:highlight w:val="none"/>
        </w:rPr>
      </w:pPr>
      <w:r>
        <w:rPr>
          <w:rFonts w:hint="eastAsia"/>
          <w:highlight w:val="none"/>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highlight w:val="none"/>
        </w:rPr>
      </w:pPr>
      <w:r>
        <w:rPr>
          <w:rFonts w:hint="eastAsia"/>
          <w:highlight w:val="none"/>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highlight w:val="none"/>
        </w:rPr>
      </w:pPr>
      <w:r>
        <w:rPr>
          <w:rFonts w:hint="eastAsia"/>
          <w:highlight w:val="none"/>
        </w:rPr>
        <w:t>C操作风险。由于证券公司内部管理流程缺陷、人员操作失误、不合规或者外部事件等原因而导致损失的风险；</w:t>
      </w:r>
    </w:p>
    <w:p>
      <w:pPr>
        <w:spacing w:line="360" w:lineRule="auto"/>
        <w:ind w:firstLine="420" w:firstLineChars="200"/>
        <w:rPr>
          <w:rFonts w:hint="eastAsia"/>
          <w:highlight w:val="none"/>
        </w:rPr>
      </w:pPr>
      <w:r>
        <w:rPr>
          <w:rFonts w:hint="eastAsia"/>
          <w:highlight w:val="none"/>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highlight w:val="none"/>
        </w:rPr>
      </w:pPr>
      <w:r>
        <w:rPr>
          <w:rFonts w:hint="eastAsia"/>
          <w:highlight w:val="none"/>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highlight w:val="none"/>
        </w:rPr>
      </w:pPr>
      <w:r>
        <w:rPr>
          <w:rFonts w:hint="eastAsia"/>
          <w:highlight w:val="none"/>
        </w:rPr>
        <w:t>投资于商品及金融衍生品的特殊风险</w:t>
      </w:r>
    </w:p>
    <w:p>
      <w:pPr>
        <w:spacing w:line="360" w:lineRule="auto"/>
        <w:ind w:firstLine="420" w:firstLineChars="200"/>
        <w:rPr>
          <w:rFonts w:hint="eastAsia"/>
          <w:highlight w:val="none"/>
        </w:rPr>
      </w:pPr>
      <w:r>
        <w:rPr>
          <w:rFonts w:hint="eastAsia"/>
          <w:highlight w:val="none"/>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highlight w:val="none"/>
        </w:rPr>
      </w:pPr>
      <w:r>
        <w:rPr>
          <w:rFonts w:hint="eastAsia"/>
          <w:highlight w:val="none"/>
        </w:rPr>
        <w:t>投资于混合类/衍生品类资产管理产品的特殊风险</w:t>
      </w:r>
    </w:p>
    <w:p>
      <w:pPr>
        <w:spacing w:line="360" w:lineRule="auto"/>
        <w:ind w:firstLine="420" w:firstLineChars="200"/>
        <w:rPr>
          <w:rFonts w:hint="eastAsia"/>
          <w:highlight w:val="none"/>
        </w:rPr>
      </w:pPr>
      <w:r>
        <w:rPr>
          <w:rFonts w:hint="eastAsia"/>
          <w:highlight w:val="none"/>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highlight w:val="none"/>
        </w:rPr>
      </w:pPr>
      <w:r>
        <w:rPr>
          <w:rFonts w:hint="eastAsia"/>
          <w:highlight w:val="none"/>
        </w:rPr>
        <w:t>A国家货币政策、财政政策、产业政策等的变化对证券市场产生一定影响，导致市场价格水平波动的风险；</w:t>
      </w:r>
    </w:p>
    <w:p>
      <w:pPr>
        <w:spacing w:line="360" w:lineRule="auto"/>
        <w:ind w:firstLine="420" w:firstLineChars="200"/>
        <w:rPr>
          <w:rFonts w:hint="eastAsia"/>
          <w:highlight w:val="none"/>
        </w:rPr>
      </w:pPr>
      <w:r>
        <w:rPr>
          <w:rFonts w:hint="eastAsia"/>
          <w:highlight w:val="none"/>
        </w:rPr>
        <w:t>B宏观经济运行周期性波动，对股票市场的收益水平产生影响的风险；</w:t>
      </w:r>
    </w:p>
    <w:p>
      <w:pPr>
        <w:spacing w:line="360" w:lineRule="auto"/>
        <w:ind w:firstLine="420" w:firstLineChars="200"/>
        <w:rPr>
          <w:rFonts w:hint="eastAsia"/>
          <w:highlight w:val="none"/>
        </w:rPr>
      </w:pPr>
      <w:r>
        <w:rPr>
          <w:rFonts w:hint="eastAsia"/>
          <w:highlight w:val="none"/>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highlight w:val="none"/>
        </w:rPr>
      </w:pPr>
      <w:r>
        <w:rPr>
          <w:rFonts w:hint="eastAsia"/>
          <w:highlight w:val="none"/>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highlight w:val="none"/>
        </w:rPr>
      </w:pPr>
      <w:r>
        <w:rPr>
          <w:rFonts w:hint="eastAsia"/>
          <w:highlight w:val="none"/>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highlight w:val="none"/>
        </w:rPr>
      </w:pPr>
      <w:r>
        <w:rPr>
          <w:rFonts w:hint="eastAsia"/>
          <w:highlight w:val="none"/>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highlight w:val="none"/>
        </w:rPr>
      </w:pPr>
      <w:r>
        <w:rPr>
          <w:rFonts w:hint="eastAsia"/>
          <w:highlight w:val="none"/>
        </w:rPr>
        <w:t>投资于结构性存款等结构性投资产品的特殊风险</w:t>
      </w:r>
    </w:p>
    <w:p>
      <w:pPr>
        <w:spacing w:line="360" w:lineRule="auto"/>
        <w:ind w:firstLine="420" w:firstLineChars="200"/>
        <w:rPr>
          <w:rFonts w:hint="eastAsia"/>
          <w:highlight w:val="none"/>
        </w:rPr>
      </w:pPr>
      <w:r>
        <w:rPr>
          <w:rFonts w:hint="eastAsia"/>
          <w:highlight w:val="none"/>
        </w:rPr>
        <w:t>本理财产品如投资于结构性存款等结构性投资产品，可能面临的风险包括但不限于：</w:t>
      </w:r>
    </w:p>
    <w:p>
      <w:pPr>
        <w:spacing w:line="360" w:lineRule="auto"/>
        <w:ind w:firstLine="420" w:firstLineChars="200"/>
        <w:rPr>
          <w:rFonts w:hint="eastAsia"/>
          <w:highlight w:val="none"/>
        </w:rPr>
      </w:pPr>
      <w:r>
        <w:rPr>
          <w:rFonts w:hint="eastAsia"/>
          <w:highlight w:val="none"/>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highlight w:val="none"/>
        </w:rPr>
      </w:pPr>
      <w:r>
        <w:rPr>
          <w:rFonts w:hint="eastAsia"/>
          <w:highlight w:val="none"/>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highlight w:val="none"/>
        </w:rPr>
      </w:pPr>
      <w:r>
        <w:rPr>
          <w:rFonts w:hint="eastAsia"/>
          <w:highlight w:val="none"/>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highlight w:val="none"/>
        </w:rPr>
      </w:pPr>
      <w:r>
        <w:rPr>
          <w:rFonts w:hint="eastAsia"/>
          <w:highlight w:val="none"/>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highlight w:val="none"/>
        </w:rPr>
      </w:pPr>
      <w:r>
        <w:rPr>
          <w:rFonts w:hint="eastAsia"/>
          <w:highlight w:val="none"/>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rPr>
          <w:highlight w:val="none"/>
        </w:rPr>
      </w:pPr>
      <w:r>
        <w:rPr>
          <w:rFonts w:hint="eastAsia"/>
          <w:b/>
          <w:bCs/>
          <w:highlight w:val="none"/>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rPr>
          <w:highlight w:val="none"/>
        </w:rPr>
      </w:pPr>
      <w:r>
        <w:rPr>
          <w:rFonts w:hint="eastAsia"/>
          <w:highlight w:val="none"/>
        </w:rPr>
        <w:t>（十八）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rPr>
          <w:highlight w:val="none"/>
        </w:rPr>
      </w:pPr>
      <w:r>
        <w:rPr>
          <w:rFonts w:hint="eastAsia"/>
          <w:highlight w:val="none"/>
        </w:rPr>
        <w:t>（十九）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rPr>
          <w:highlight w:val="none"/>
        </w:rPr>
      </w:pPr>
      <w:bookmarkStart w:id="0" w:name="_Hlk181204924"/>
      <w:r>
        <w:rPr>
          <w:rFonts w:hint="eastAsia"/>
          <w:highlight w:val="none"/>
        </w:rPr>
        <w:t>（二十）投资者合规风险</w:t>
      </w:r>
    </w:p>
    <w:p>
      <w:pPr>
        <w:spacing w:line="360" w:lineRule="auto"/>
        <w:ind w:firstLine="420" w:firstLineChars="200"/>
        <w:rPr>
          <w:rFonts w:hint="eastAsia" w:ascii="宋体" w:hAnsi="宋体" w:cs="宋体"/>
          <w:szCs w:val="21"/>
          <w:highlight w:val="none"/>
        </w:rPr>
      </w:pPr>
      <w:r>
        <w:rPr>
          <w:rFonts w:hint="eastAsia"/>
          <w:highlight w:val="none"/>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highlight w:val="none"/>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highlight w:val="none"/>
        </w:rPr>
      </w:pPr>
      <w:r>
        <w:rPr>
          <w:rFonts w:hint="eastAsia"/>
          <w:b/>
          <w:bCs/>
          <w:highlight w:val="none"/>
        </w:rPr>
        <w:t>二、投资者提示</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（一）理财非存款、产品有风险、投资须谨慎。</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（二）理财产品过往业绩不代表其未来表现，不等于理财产品实际收益，投资须谨慎。</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（三）本理财产品类型为【固定收益类】，期限为【</w:t>
      </w:r>
      <w:r>
        <w:rPr>
          <w:rFonts w:hint="eastAsia" w:ascii="宋体" w:hAnsi="宋体" w:cs="宋体"/>
          <w:b/>
          <w:bCs/>
          <w:color w:val="auto"/>
          <w:szCs w:val="21"/>
          <w:highlight w:val="none"/>
          <w:lang w:val="en-US" w:eastAsia="zh-CN"/>
        </w:rPr>
        <w:t>105</w:t>
      </w:r>
      <w:r>
        <w:rPr>
          <w:rFonts w:hint="eastAsia" w:ascii="宋体" w:hAnsi="宋体" w:cs="宋体"/>
          <w:b/>
          <w:bCs/>
          <w:szCs w:val="21"/>
          <w:highlight w:val="none"/>
        </w:rPr>
        <w:t>】</w:t>
      </w:r>
      <w:bookmarkStart w:id="1" w:name="_Hlk181216499"/>
      <w:r>
        <w:rPr>
          <w:rFonts w:hint="eastAsia" w:ascii="宋体" w:hAnsi="宋体" w:cs="宋体"/>
          <w:b/>
          <w:bCs/>
          <w:szCs w:val="21"/>
          <w:highlight w:val="none"/>
          <w:lang w:val="en-US" w:eastAsia="zh-CN"/>
        </w:rPr>
        <w:t>天</w:t>
      </w:r>
      <w:r>
        <w:rPr>
          <w:rFonts w:hint="eastAsia" w:ascii="宋体" w:hAnsi="宋体" w:cs="宋体"/>
          <w:b/>
          <w:bCs/>
          <w:szCs w:val="21"/>
          <w:highlight w:val="none"/>
        </w:rPr>
        <w:t>。本理财产品的实际到期日受制于本理财产品销售文件“提前终止”及“延期终止”情形</w:t>
      </w:r>
      <w:bookmarkEnd w:id="1"/>
      <w:r>
        <w:rPr>
          <w:rFonts w:hint="eastAsia" w:ascii="宋体" w:hAnsi="宋体" w:cs="宋体"/>
          <w:b/>
          <w:bCs/>
          <w:szCs w:val="21"/>
          <w:highlight w:val="none"/>
        </w:rPr>
        <w:t>。</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highlight w:val="none"/>
        </w:rPr>
        <w:t>】。</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（六）</w:t>
      </w:r>
      <w:r>
        <w:rPr>
          <w:rFonts w:hint="eastAsia"/>
          <w:b/>
          <w:bCs/>
          <w:highlight w:val="none"/>
        </w:rPr>
        <w:t>经产品管理人评估，适合购买本理财产品的投资者包括【</w:t>
      </w:r>
      <w:r>
        <w:rPr>
          <w:rFonts w:hint="eastAsia" w:ascii="Times New Roman" w:hAnsi="Times New Roman" w:eastAsia="宋体" w:cs="Times New Roman"/>
          <w:b/>
          <w:bCs/>
          <w:color w:val="auto"/>
          <w:szCs w:val="20"/>
          <w:highlight w:val="none"/>
        </w:rPr>
        <w:t>C2稳健型、C3平衡型、C4成长型、C5进取型投资者</w:t>
      </w:r>
      <w:r>
        <w:rPr>
          <w:rFonts w:hint="eastAsia"/>
          <w:b/>
          <w:bCs/>
          <w:highlight w:val="none"/>
        </w:rPr>
        <w:t>】</w:t>
      </w:r>
      <w:r>
        <w:rPr>
          <w:rFonts w:hint="eastAsia" w:ascii="宋体" w:hAnsi="宋体" w:cs="宋体"/>
          <w:b/>
          <w:bCs/>
          <w:szCs w:val="21"/>
          <w:highlight w:val="none"/>
        </w:rPr>
        <w:t>（机构投资者是否适用以销售服务机构的设置为准）</w:t>
      </w:r>
      <w:r>
        <w:rPr>
          <w:rFonts w:hint="eastAsia"/>
          <w:b/>
          <w:bCs/>
          <w:highlight w:val="none"/>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highlight w:val="none"/>
        </w:rPr>
      </w:pPr>
    </w:p>
    <w:p>
      <w:pPr>
        <w:ind w:firstLine="420" w:firstLineChars="200"/>
        <w:rPr>
          <w:rFonts w:hint="eastAsia"/>
          <w:highlight w:val="none"/>
        </w:rPr>
      </w:pPr>
    </w:p>
    <w:p>
      <w:pPr>
        <w:ind w:firstLine="420" w:firstLineChars="200"/>
        <w:rPr>
          <w:rFonts w:hint="eastAsia" w:ascii="宋体" w:hAnsi="宋体" w:cs="宋体"/>
          <w:szCs w:val="21"/>
          <w:highlight w:val="non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本《风险揭示书》所揭示事项仅为列举性质，未能详尽列明投资者参与本理财产品所面临的全部风险和可能导致投资者资产损失的所有因素。</w:t>
      </w:r>
      <w:r>
        <w:rPr>
          <w:rFonts w:hint="eastAsia" w:ascii="宋体" w:hAnsi="宋体" w:cs="宋体"/>
          <w:b/>
          <w:bCs/>
          <w:szCs w:val="21"/>
          <w:highlight w:val="none"/>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确认函</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highlight w:val="none"/>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highlight w:val="none"/>
        </w:rPr>
        <w:t>、反电信网络诈骗等合规</w:t>
      </w:r>
      <w:r>
        <w:rPr>
          <w:rFonts w:hint="eastAsia" w:ascii="宋体" w:hAnsi="宋体" w:cs="宋体"/>
          <w:szCs w:val="21"/>
          <w:highlight w:val="none"/>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本人/本公司（单位）知晓并确认，管理人或销售服务机构有权根据法律、法规和监管政策的变化而不时更新反洗钱、反恐怖融资、制裁合规</w:t>
      </w:r>
      <w:r>
        <w:rPr>
          <w:rFonts w:hint="eastAsia"/>
          <w:highlight w:val="none"/>
        </w:rPr>
        <w:t>、反电信网络诈骗等合规</w:t>
      </w:r>
      <w:r>
        <w:rPr>
          <w:rFonts w:hint="eastAsia" w:ascii="宋体" w:hAnsi="宋体" w:cs="宋体"/>
          <w:szCs w:val="21"/>
          <w:highlight w:val="none"/>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▲▲须投资者亲笔抄录以下内容：“本人/本公司（单位）已经阅读风险揭示，愿意承担投资风险。”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个人投资者（签字）：</w:t>
      </w:r>
      <w:r>
        <w:rPr>
          <w:rFonts w:hint="eastAsia" w:ascii="宋体" w:hAnsi="宋体" w:cs="宋体"/>
          <w:szCs w:val="21"/>
          <w:highlight w:val="none"/>
        </w:rPr>
        <w:tab/>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机构投资者（盖章）：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投资者法定代表人或授权代理人（签字或盖章）：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r>
        <w:rPr>
          <w:rFonts w:hint="eastAsia" w:ascii="宋体" w:hAnsi="宋体" w:cs="宋体"/>
          <w:szCs w:val="21"/>
          <w:highlight w:val="none"/>
        </w:rPr>
        <w:t>（本风险揭示书共有两份签名文本，第一联销售服务机构留存，第二联投资者留存）</w:t>
      </w: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wordWrap/>
      <w:adjustRightInd/>
      <w:jc w:val="right"/>
      <w:outlineLvl w:val="9"/>
      <w:rPr>
        <w:rFonts w:hint="eastAsia" w:ascii="微软雅黑" w:hAnsi="微软雅黑" w:eastAsia="微软雅黑" w:cs="微软雅黑"/>
        <w:b w:val="0"/>
        <w:sz w:val="21"/>
        <w:szCs w:val="21"/>
      </w:rPr>
    </w:pPr>
    <w:r>
      <w:rPr>
        <w:rFonts w:hint="eastAsia" w:ascii="微软雅黑" w:hAnsi="微软雅黑" w:eastAsia="微软雅黑" w:cs="微软雅黑"/>
        <w:sz w:val="21"/>
        <w:szCs w:val="21"/>
      </w:rPr>
      <w:t>理财非存款，产品有风险，投资须谨慎！</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0058E"/>
    <w:rsid w:val="0F60058E"/>
    <w:rsid w:val="24057E02"/>
    <w:rsid w:val="3ED44D28"/>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annotation reference"/>
    <w:basedOn w:val="5"/>
    <w:qFormat/>
    <w:uiPriority w:val="0"/>
    <w:rPr>
      <w:sz w:val="21"/>
      <w:szCs w:val="21"/>
    </w:r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11083</Words>
  <Characters>11135</Characters>
  <Lines>0</Lines>
  <Paragraphs>0</Paragraphs>
  <TotalTime>0</TotalTime>
  <ScaleCrop>false</ScaleCrop>
  <LinksUpToDate>false</LinksUpToDate>
  <CharactersWithSpaces>11137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2026-03-25T03:06:00Z</dcterms:created>
  <dc:creator>默认用户名</dc:creator>
  <cp:lastModifiedBy>yx01.hou</cp:lastModifiedBy>
  <dcterms:modified xsi:type="dcterms:W3CDTF">2026-03-25T06:36:11Z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