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3" w:name="_GoBack"/>
      <w:bookmarkEnd w:id="3"/>
      <w:r>
        <w:rPr>
          <w:rFonts w:hint="eastAsia" w:ascii="华文仿宋" w:hAnsi="华文仿宋" w:eastAsia="华文仿宋" w:cs="华文仿宋"/>
          <w:b/>
          <w:bCs/>
          <w:sz w:val="32"/>
          <w:szCs w:val="32"/>
          <w:highlight w:val="none"/>
          <w:lang w:val="en-US" w:eastAsia="zh-CN"/>
        </w:rPr>
        <w:t>渤银理财财收有略系列固定收益类（创合款）一年封闭式理财产品2026年13号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8"/>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8"/>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8"/>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8"/>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中国邮政储蓄银行股份有限公司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渤银理财财收有略系列固定收益类（创合款）一年封闭式理财产品2026年13号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渤银理财财收有略系列固定收益类（创合款）一年封闭式理财产品2026年13号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CSFBH1Y26013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渤银理财财收有略一年（创合款）2026年13号A款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渤银理财财收有略一年（创合款）2026年13号</w:t>
            </w:r>
            <w:r>
              <w:rPr>
                <w:rFonts w:hint="eastAsia" w:ascii="宋体" w:hAnsi="宋体" w:eastAsia="宋体"/>
                <w:sz w:val="24"/>
                <w:szCs w:val="24"/>
                <w:highlight w:val="none"/>
              </w:rPr>
              <w:t>B款</w:t>
            </w:r>
            <w:r>
              <w:rPr>
                <w:rFonts w:hint="eastAsia" w:ascii="宋体" w:hAnsi="宋体" w:eastAsia="宋体"/>
                <w:sz w:val="24"/>
                <w:szCs w:val="24"/>
                <w:highlight w:val="none"/>
                <w:lang w:eastAsia="zh-CN"/>
              </w:rPr>
              <w:t>】</w:t>
            </w:r>
          </w:p>
          <w:p>
            <w:pPr>
              <w:spacing w:line="300" w:lineRule="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sz w:val="24"/>
                <w:szCs w:val="24"/>
                <w:highlight w:val="none"/>
                <w:lang w:val="en-US" w:eastAsia="zh-CN"/>
              </w:rPr>
              <w:t>渤银理财财收有略一年（创合款）2026年13号</w:t>
            </w:r>
            <w:r>
              <w:rPr>
                <w:rFonts w:hint="eastAsia" w:ascii="宋体" w:hAnsi="宋体" w:eastAsia="宋体"/>
                <w:color w:val="000000" w:themeColor="text1"/>
                <w:sz w:val="24"/>
                <w:szCs w:val="24"/>
                <w:highlight w:val="none"/>
                <w14:textFill>
                  <w14:solidFill>
                    <w14:schemeClr w14:val="tx1"/>
                  </w14:solidFill>
                </w14:textFill>
              </w:rPr>
              <w:t>C款</w:t>
            </w:r>
            <w:r>
              <w:rPr>
                <w:rFonts w:hint="eastAsia" w:ascii="宋体" w:hAnsi="宋体" w:eastAsia="宋体"/>
                <w:color w:val="000000" w:themeColor="text1"/>
                <w:sz w:val="24"/>
                <w:szCs w:val="24"/>
                <w:highlight w:val="none"/>
                <w:lang w:eastAsia="zh-CN"/>
                <w14:textFill>
                  <w14:solidFill>
                    <w14:schemeClr w14:val="tx1"/>
                  </w14:solidFill>
                </w14:textFill>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CSFBH1Y26013</w:t>
            </w:r>
            <w:r>
              <w:rPr>
                <w:rFonts w:hint="eastAsia" w:ascii="宋体" w:hAnsi="宋体" w:eastAsia="宋体"/>
                <w:sz w:val="24"/>
                <w:szCs w:val="24"/>
                <w:highlight w:val="none"/>
              </w:rPr>
              <w:t>A】</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CSFBH1Y26013</w:t>
            </w:r>
            <w:r>
              <w:rPr>
                <w:rFonts w:hint="eastAsia" w:ascii="宋体" w:hAnsi="宋体" w:eastAsia="宋体"/>
                <w:sz w:val="24"/>
                <w:szCs w:val="24"/>
                <w:highlight w:val="none"/>
              </w:rPr>
              <w:t>B】</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sz w:val="24"/>
                <w:szCs w:val="24"/>
                <w:highlight w:val="none"/>
                <w:lang w:val="en-US" w:eastAsia="zh-CN"/>
              </w:rPr>
              <w:t>CSFBH1Y26013</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hint="default" w:ascii="宋体" w:hAnsi="宋体" w:eastAsia="宋体"/>
                <w:sz w:val="24"/>
                <w:szCs w:val="24"/>
                <w:highlight w:val="none"/>
                <w:lang w:val="en-US"/>
              </w:rPr>
            </w:pPr>
            <w:r>
              <w:rPr>
                <w:rFonts w:hint="eastAsia" w:ascii="宋体" w:hAnsi="宋体" w:eastAsia="宋体" w:cs="宋体"/>
                <w:sz w:val="24"/>
                <w:szCs w:val="24"/>
                <w:highlight w:val="none"/>
                <w:lang w:val="en-US" w:eastAsia="zh-CN"/>
              </w:rPr>
              <w:t>Z7008426000138</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中国邮政储蓄银行股份有限公司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A</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湖南银行股份有限公司、</w:t>
            </w:r>
            <w:r>
              <w:rPr>
                <w:rFonts w:hint="eastAsia" w:ascii="宋体" w:hAnsi="宋体" w:eastAsia="宋体"/>
                <w:color w:val="000000" w:themeColor="text1"/>
                <w:sz w:val="24"/>
                <w:szCs w:val="24"/>
                <w:highlight w:val="none"/>
                <w:lang w:val="en-US" w:eastAsia="zh-CN"/>
                <w14:textFill>
                  <w14:solidFill>
                    <w14:schemeClr w14:val="tx1"/>
                  </w14:solidFill>
                </w14:textFill>
              </w:rPr>
              <w:t>长沙</w:t>
            </w:r>
            <w:r>
              <w:rPr>
                <w:rFonts w:hint="eastAsia" w:ascii="宋体" w:hAnsi="宋体" w:eastAsia="宋体"/>
                <w:color w:val="000000" w:themeColor="text1"/>
                <w:sz w:val="24"/>
                <w:szCs w:val="24"/>
                <w:highlight w:val="none"/>
                <w14:textFill>
                  <w14:solidFill>
                    <w14:schemeClr w14:val="tx1"/>
                  </w14:solidFill>
                </w14:textFill>
              </w:rPr>
              <w:t>银行股份有限公司，以下简称“代销机构”】</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B</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吉林银行股份有限公司</w:t>
            </w:r>
            <w:r>
              <w:rPr>
                <w:rFonts w:hint="eastAsia" w:ascii="宋体" w:hAnsi="宋体" w:eastAsia="宋体"/>
                <w:color w:val="000000" w:themeColor="text1"/>
                <w:sz w:val="24"/>
                <w:szCs w:val="24"/>
                <w:highlight w:val="none"/>
                <w14:textFill>
                  <w14:solidFill>
                    <w14:schemeClr w14:val="tx1"/>
                  </w14:solidFill>
                </w14:textFill>
              </w:rPr>
              <w:t>，以下简称“代销机构”】</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嘉兴</w:t>
            </w:r>
            <w:r>
              <w:rPr>
                <w:rFonts w:hint="eastAsia" w:ascii="宋体" w:hAnsi="宋体" w:eastAsia="宋体"/>
                <w:color w:val="000000" w:themeColor="text1"/>
                <w:sz w:val="24"/>
                <w:szCs w:val="24"/>
                <w:highlight w:val="none"/>
                <w14:textFill>
                  <w14:solidFill>
                    <w14:schemeClr w14:val="tx1"/>
                  </w14:solidFill>
                </w14:textFill>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60亿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30</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lang w:eastAsia="zh-CN"/>
              </w:rPr>
              <w:t>】日</w:t>
            </w:r>
            <w:r>
              <w:rPr>
                <w:rFonts w:ascii="宋体" w:hAnsi="宋体" w:eastAsia="宋体"/>
                <w:sz w:val="24"/>
                <w:szCs w:val="24"/>
                <w:highlight w:val="none"/>
              </w:rPr>
              <w:t>【</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13</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400</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2.35%-2.85%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2.40%-2.90%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2.45%-2.95%</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2.60%</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2.65%</w:t>
            </w:r>
            <w:r>
              <w:rPr>
                <w:rFonts w:hint="eastAsia" w:ascii="宋体" w:hAnsi="宋体" w:eastAsia="宋体"/>
                <w:b/>
                <w:bCs/>
                <w:sz w:val="24"/>
                <w:szCs w:val="24"/>
                <w:highlight w:val="none"/>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2.70%</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0.25</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0.20</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1.久期配置策略：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2.信用类债券投资策略：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3.息差策略：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4.非标准化债权类资产投资策略：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30</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7"/>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8"/>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8"/>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（8）所投资资产部分或全部提前偿付</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中国邮政储蓄银行股份有限公司</w:t>
      </w:r>
      <w:r>
        <w:rPr>
          <w:rFonts w:hint="eastAsia" w:ascii="宋体" w:hAnsi="宋体" w:eastAsia="宋体"/>
          <w:sz w:val="24"/>
          <w:szCs w:val="24"/>
          <w:highlight w:val="none"/>
        </w:rPr>
        <w:t>，地址</w:t>
      </w:r>
      <w:r>
        <w:rPr>
          <w:rFonts w:hint="eastAsia" w:ascii="宋体" w:hAnsi="宋体" w:eastAsia="宋体"/>
          <w:sz w:val="24"/>
          <w:szCs w:val="24"/>
          <w:highlight w:val="none"/>
          <w:lang w:val="en-US" w:eastAsia="zh-CN"/>
        </w:rPr>
        <w:t>为北京市西城区金融大街3号</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bookmarkStart w:id="2" w:name="_Hlk136876402"/>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A</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ind w:firstLine="480" w:firstLineChars="200"/>
        <w:outlineLvl w:val="1"/>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0" w:firstLineChars="200"/>
        <w:outlineLvl w:val="9"/>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0" w:firstLineChars="200"/>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B</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ind w:firstLine="480" w:firstLineChars="200"/>
        <w:rPr>
          <w:rFonts w:ascii="宋体" w:hAnsi="宋体" w:eastAsia="宋体" w:cs="宋体"/>
          <w:b w:val="0"/>
          <w:i w:val="0"/>
          <w:color w:val="auto"/>
          <w:sz w:val="24"/>
        </w:rPr>
      </w:pPr>
      <w:r>
        <w:rPr>
          <w:rFonts w:ascii="宋体" w:hAnsi="宋体" w:eastAsia="宋体" w:cs="宋体"/>
          <w:b w:val="0"/>
          <w:i w:val="0"/>
          <w:color w:val="auto"/>
          <w:sz w:val="24"/>
        </w:rPr>
        <w:t>吉林银行股份有限公司，住所：吉林省长春市南关区人民大街10666号，客户服务热线：4008896666。</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嘉兴银行股份有限公司，住所：浙江省嘉兴市昌盛南路1001号，客户服务热线：0573-96528。</w:t>
      </w:r>
    </w:p>
    <w:p>
      <w:pPr>
        <w:spacing w:line="300" w:lineRule="auto"/>
        <w:ind w:firstLine="482" w:firstLineChars="200"/>
        <w:outlineLvl w:val="9"/>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C507B729"/>
    <w:multiLevelType w:val="singleLevel"/>
    <w:tmpl w:val="C507B729"/>
    <w:lvl w:ilvl="0" w:tentative="0">
      <w:start w:val="4"/>
      <w:numFmt w:val="decimal"/>
      <w:lvlText w:val="%1."/>
      <w:lvlJc w:val="left"/>
      <w:pPr>
        <w:tabs>
          <w:tab w:val="left" w:pos="312"/>
        </w:tabs>
      </w:pPr>
    </w:lvl>
  </w:abstractNum>
  <w:abstractNum w:abstractNumId="2">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5">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6">
    <w:nsid w:val="57E61E1F"/>
    <w:multiLevelType w:val="singleLevel"/>
    <w:tmpl w:val="57E61E1F"/>
    <w:lvl w:ilvl="0" w:tentative="0">
      <w:start w:val="1"/>
      <w:numFmt w:val="chineseCounting"/>
      <w:suff w:val="nothing"/>
      <w:lvlText w:val="（%1）"/>
      <w:lvlJc w:val="left"/>
      <w:rPr>
        <w:rFonts w:hint="eastAsia"/>
      </w:rPr>
    </w:lvl>
  </w:abstractNum>
  <w:abstractNum w:abstractNumId="7">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3"/>
  </w:num>
  <w:num w:numId="3">
    <w:abstractNumId w:val="4"/>
  </w:num>
  <w:num w:numId="4">
    <w:abstractNumId w:val="7"/>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470CA"/>
    <w:rsid w:val="076712EB"/>
    <w:rsid w:val="1F213FAB"/>
    <w:rsid w:val="2C9E16A1"/>
    <w:rsid w:val="2E591F47"/>
    <w:rsid w:val="2F3737B4"/>
    <w:rsid w:val="3AD164F4"/>
    <w:rsid w:val="4D470F26"/>
    <w:rsid w:val="4EF23555"/>
    <w:rsid w:val="575164E4"/>
    <w:rsid w:val="58C37FF0"/>
    <w:rsid w:val="606470CA"/>
    <w:rsid w:val="643A79F8"/>
    <w:rsid w:val="643F6423"/>
    <w:rsid w:val="6A640F24"/>
    <w:rsid w:val="6C7B0E0B"/>
    <w:rsid w:val="6C877222"/>
    <w:rsid w:val="72CB0ED3"/>
    <w:rsid w:val="734D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styleId="8">
    <w:name w:val="List Paragraph"/>
    <w:basedOn w:val="1"/>
    <w:qFormat/>
    <w:uiPriority w:val="34"/>
    <w:pPr>
      <w:ind w:firstLine="420" w:firstLineChars="200"/>
    </w:pPr>
  </w:style>
  <w:style w:type="paragraph" w:customStyle="1" w:styleId="9">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2026-02-25T06:48:00Z</dcterms:created>
  <dc:creator>默认用户名</dc:creator>
  <cp:lastModifiedBy>qianyi.jia</cp:lastModifiedBy>
  <dcterms:modified xsi:type="dcterms:W3CDTF">2026-03-26T10:18:12Z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