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heme="minorAscii" w:hAnsiTheme="minorAscii"/>
          <w:b/>
          <w:sz w:val="36"/>
          <w:szCs w:val="36"/>
          <w:highlight w:val="none"/>
        </w:rPr>
      </w:pPr>
    </w:p>
    <w:p>
      <w:pPr>
        <w:jc w:val="center"/>
        <w:rPr>
          <w:rFonts w:hint="default" w:asciiTheme="minorAscii" w:hAnsiTheme="minorAscii"/>
          <w:b/>
          <w:sz w:val="36"/>
          <w:szCs w:val="36"/>
          <w:highlight w:val="none"/>
        </w:rPr>
      </w:pPr>
    </w:p>
    <w:p>
      <w:pPr>
        <w:jc w:val="center"/>
        <w:rPr>
          <w:rFonts w:hint="default" w:asciiTheme="minorAscii" w:hAnsiTheme="minorAscii"/>
          <w:sz w:val="36"/>
          <w:szCs w:val="36"/>
          <w:highlight w:val="none"/>
        </w:rPr>
      </w:pPr>
    </w:p>
    <w:p>
      <w:pPr>
        <w:spacing w:line="360" w:lineRule="auto"/>
        <w:jc w:val="center"/>
        <w:rPr>
          <w:rFonts w:hint="default" w:asciiTheme="minorAscii" w:hAnsiTheme="minorAscii"/>
          <w:b/>
          <w:sz w:val="48"/>
          <w:szCs w:val="48"/>
          <w:highlight w:val="none"/>
        </w:rPr>
      </w:pPr>
      <w:r>
        <w:rPr>
          <w:rFonts w:hint="eastAsia" w:asciiTheme="minorAscii" w:hAnsiTheme="minorAscii"/>
          <w:b/>
          <w:sz w:val="48"/>
          <w:szCs w:val="48"/>
          <w:highlight w:val="none"/>
          <w:lang w:eastAsia="zh-CN"/>
        </w:rPr>
        <w:t>华安资管</w:t>
      </w:r>
      <w:r>
        <w:rPr>
          <w:rFonts w:hint="eastAsia"/>
          <w:b/>
          <w:sz w:val="48"/>
          <w:szCs w:val="48"/>
        </w:rPr>
        <w:t>湘赢</w:t>
      </w:r>
      <w:r>
        <w:rPr>
          <w:rFonts w:hint="eastAsia"/>
          <w:b/>
          <w:sz w:val="48"/>
          <w:szCs w:val="48"/>
          <w:lang w:eastAsia="zh-CN"/>
        </w:rPr>
        <w:t>36M035</w:t>
      </w:r>
      <w:r>
        <w:rPr>
          <w:rFonts w:hint="eastAsia" w:asciiTheme="minorAscii" w:hAnsiTheme="minorAscii"/>
          <w:b/>
          <w:sz w:val="48"/>
          <w:szCs w:val="48"/>
          <w:highlight w:val="none"/>
          <w:lang w:eastAsia="zh-CN"/>
        </w:rPr>
        <w:t>号</w:t>
      </w:r>
      <w:r>
        <w:rPr>
          <w:rFonts w:hint="default" w:asciiTheme="minorAscii" w:hAnsiTheme="minorAscii"/>
          <w:b/>
          <w:sz w:val="48"/>
          <w:szCs w:val="48"/>
          <w:highlight w:val="none"/>
        </w:rPr>
        <w:t>集合</w:t>
      </w:r>
    </w:p>
    <w:p>
      <w:pPr>
        <w:spacing w:line="360" w:lineRule="auto"/>
        <w:jc w:val="center"/>
        <w:rPr>
          <w:rFonts w:hint="default" w:asciiTheme="minorAscii" w:hAnsiTheme="minorAscii"/>
          <w:b/>
          <w:sz w:val="48"/>
          <w:szCs w:val="48"/>
          <w:highlight w:val="none"/>
        </w:rPr>
      </w:pPr>
      <w:r>
        <w:rPr>
          <w:rFonts w:hint="default" w:asciiTheme="minorAscii" w:hAnsiTheme="minorAscii"/>
          <w:b/>
          <w:sz w:val="48"/>
          <w:szCs w:val="48"/>
          <w:highlight w:val="none"/>
        </w:rPr>
        <w:t>资产管理计划</w:t>
      </w:r>
    </w:p>
    <w:p>
      <w:pPr>
        <w:spacing w:line="360" w:lineRule="auto"/>
        <w:jc w:val="center"/>
        <w:rPr>
          <w:rFonts w:hint="default" w:asciiTheme="minorAscii" w:hAnsiTheme="minorAscii"/>
          <w:b/>
          <w:sz w:val="52"/>
          <w:szCs w:val="52"/>
          <w:highlight w:val="none"/>
        </w:rPr>
      </w:pPr>
    </w:p>
    <w:p>
      <w:pPr>
        <w:spacing w:line="360" w:lineRule="auto"/>
        <w:jc w:val="center"/>
        <w:rPr>
          <w:rFonts w:hint="default" w:asciiTheme="minorAscii" w:hAnsiTheme="minorAscii"/>
          <w:b/>
          <w:sz w:val="52"/>
          <w:szCs w:val="52"/>
          <w:highlight w:val="none"/>
        </w:rPr>
      </w:pPr>
    </w:p>
    <w:p>
      <w:pPr>
        <w:spacing w:line="360" w:lineRule="auto"/>
        <w:jc w:val="center"/>
        <w:rPr>
          <w:rFonts w:hint="default" w:asciiTheme="minorAscii" w:hAnsiTheme="minorAscii"/>
          <w:b/>
          <w:sz w:val="48"/>
          <w:szCs w:val="48"/>
          <w:highlight w:val="none"/>
        </w:rPr>
      </w:pPr>
      <w:r>
        <w:rPr>
          <w:rFonts w:hint="default" w:asciiTheme="minorAscii" w:hAnsiTheme="minorAscii"/>
          <w:b/>
          <w:sz w:val="48"/>
          <w:szCs w:val="48"/>
          <w:highlight w:val="none"/>
        </w:rPr>
        <w:t>发行公告</w:t>
      </w:r>
    </w:p>
    <w:p>
      <w:pPr>
        <w:rPr>
          <w:rFonts w:hint="default" w:asciiTheme="minorAscii" w:hAnsiTheme="minorAscii"/>
          <w:highlight w:val="none"/>
        </w:rPr>
      </w:pPr>
    </w:p>
    <w:p>
      <w:pPr>
        <w:spacing w:line="360" w:lineRule="auto"/>
        <w:rPr>
          <w:rFonts w:hint="default" w:asciiTheme="minorAscii" w:hAnsiTheme="minorAscii"/>
          <w:sz w:val="24"/>
          <w:highlight w:val="none"/>
        </w:rPr>
      </w:pPr>
    </w:p>
    <w:p>
      <w:pPr>
        <w:spacing w:line="360" w:lineRule="auto"/>
        <w:rPr>
          <w:rFonts w:hint="default" w:asciiTheme="minorAscii" w:hAnsiTheme="minorAscii"/>
          <w:sz w:val="24"/>
          <w:highlight w:val="none"/>
        </w:rPr>
      </w:pPr>
    </w:p>
    <w:p>
      <w:pPr>
        <w:spacing w:line="360" w:lineRule="auto"/>
        <w:rPr>
          <w:rFonts w:hint="default" w:asciiTheme="minorAscii" w:hAnsiTheme="minorAscii"/>
          <w:sz w:val="24"/>
          <w:highlight w:val="none"/>
        </w:rPr>
      </w:pPr>
    </w:p>
    <w:p>
      <w:pPr>
        <w:spacing w:line="360" w:lineRule="auto"/>
        <w:rPr>
          <w:rFonts w:hint="default" w:asciiTheme="minorAscii" w:hAnsiTheme="minorAscii"/>
          <w:sz w:val="24"/>
          <w:highlight w:val="none"/>
        </w:rPr>
      </w:pPr>
    </w:p>
    <w:p>
      <w:pPr>
        <w:spacing w:line="360" w:lineRule="auto"/>
        <w:rPr>
          <w:rFonts w:hint="default" w:asciiTheme="minorAscii" w:hAnsiTheme="minorAscii"/>
          <w:sz w:val="24"/>
          <w:highlight w:val="none"/>
        </w:rPr>
      </w:pPr>
    </w:p>
    <w:p>
      <w:pPr>
        <w:spacing w:line="360" w:lineRule="auto"/>
        <w:rPr>
          <w:rFonts w:hint="default" w:asciiTheme="minorAscii" w:hAnsiTheme="minorAscii"/>
          <w:sz w:val="24"/>
          <w:highlight w:val="none"/>
        </w:rPr>
      </w:pPr>
    </w:p>
    <w:p>
      <w:pPr>
        <w:spacing w:line="360" w:lineRule="auto"/>
        <w:rPr>
          <w:rFonts w:hint="default" w:asciiTheme="minorAscii" w:hAnsiTheme="minorAscii"/>
          <w:sz w:val="24"/>
          <w:highlight w:val="none"/>
        </w:rPr>
      </w:pPr>
    </w:p>
    <w:p>
      <w:pPr>
        <w:spacing w:line="360" w:lineRule="auto"/>
        <w:rPr>
          <w:rFonts w:hint="default" w:asciiTheme="minorAscii" w:hAnsiTheme="minorAscii"/>
          <w:sz w:val="24"/>
          <w:highlight w:val="none"/>
        </w:rPr>
      </w:pPr>
    </w:p>
    <w:p>
      <w:pPr>
        <w:spacing w:line="360" w:lineRule="auto"/>
        <w:rPr>
          <w:rFonts w:hint="default" w:asciiTheme="minorAscii" w:hAnsiTheme="minorAscii"/>
          <w:sz w:val="24"/>
          <w:highlight w:val="none"/>
        </w:rPr>
      </w:pPr>
    </w:p>
    <w:p>
      <w:pPr>
        <w:spacing w:line="360" w:lineRule="auto"/>
        <w:ind w:left="-2" w:leftChars="-1" w:firstLine="1506" w:firstLineChars="500"/>
        <w:rPr>
          <w:rFonts w:hint="default" w:asciiTheme="minorAscii" w:hAnsiTheme="minorAscii"/>
          <w:b/>
          <w:sz w:val="30"/>
          <w:szCs w:val="30"/>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2" w:leftChars="-1" w:firstLine="0" w:firstLineChars="0"/>
        <w:jc w:val="center"/>
        <w:textAlignment w:val="auto"/>
        <w:rPr>
          <w:rFonts w:hint="eastAsia" w:eastAsia="宋体" w:asciiTheme="minorAscii" w:hAnsiTheme="minorAscii"/>
          <w:b/>
          <w:sz w:val="30"/>
          <w:szCs w:val="30"/>
          <w:highlight w:val="none"/>
          <w:lang w:eastAsia="zh-CN"/>
        </w:rPr>
      </w:pPr>
      <w:r>
        <w:rPr>
          <w:rFonts w:hint="default" w:asciiTheme="minorAscii" w:hAnsiTheme="minorAscii"/>
          <w:b/>
          <w:sz w:val="30"/>
          <w:szCs w:val="30"/>
          <w:highlight w:val="none"/>
        </w:rPr>
        <w:t>管理人：</w:t>
      </w:r>
      <w:r>
        <w:rPr>
          <w:rFonts w:hint="eastAsia" w:asciiTheme="minorAscii" w:hAnsiTheme="minorAscii"/>
          <w:b/>
          <w:sz w:val="30"/>
          <w:szCs w:val="30"/>
          <w:highlight w:val="none"/>
          <w:lang w:eastAsia="zh-CN"/>
        </w:rPr>
        <w:t>华安证券资产管理有限公司</w:t>
      </w:r>
    </w:p>
    <w:p>
      <w:pPr>
        <w:keepNext w:val="0"/>
        <w:keepLines w:val="0"/>
        <w:pageBreakBefore w:val="0"/>
        <w:widowControl w:val="0"/>
        <w:kinsoku/>
        <w:wordWrap/>
        <w:overflowPunct/>
        <w:topLinePunct w:val="0"/>
        <w:autoSpaceDE/>
        <w:autoSpaceDN/>
        <w:bidi w:val="0"/>
        <w:adjustRightInd/>
        <w:snapToGrid/>
        <w:spacing w:line="360" w:lineRule="auto"/>
        <w:ind w:left="-2" w:leftChars="-1" w:firstLine="0" w:firstLineChars="0"/>
        <w:jc w:val="center"/>
        <w:textAlignment w:val="auto"/>
        <w:rPr>
          <w:rFonts w:hint="default" w:eastAsia="宋体" w:asciiTheme="minorAscii" w:hAnsiTheme="minorAscii"/>
          <w:b/>
          <w:sz w:val="30"/>
          <w:szCs w:val="30"/>
          <w:highlight w:val="none"/>
          <w:lang w:val="en-US" w:eastAsia="zh-CN"/>
        </w:rPr>
        <w:sectPr>
          <w:headerReference r:id="rId3" w:type="default"/>
          <w:footerReference r:id="rId4" w:type="default"/>
          <w:pgSz w:w="11906" w:h="16838"/>
          <w:pgMar w:top="1440" w:right="1800" w:bottom="1440" w:left="1800" w:header="851" w:footer="992" w:gutter="0"/>
          <w:pgNumType w:fmt="numberInDash" w:start="1"/>
          <w:cols w:space="720" w:num="1"/>
          <w:docGrid w:type="lines" w:linePitch="312" w:charSpace="0"/>
        </w:sectPr>
      </w:pPr>
      <w:r>
        <w:rPr>
          <w:rFonts w:hint="default" w:asciiTheme="minorAscii" w:hAnsiTheme="minorAscii"/>
          <w:b/>
          <w:sz w:val="30"/>
          <w:szCs w:val="30"/>
          <w:highlight w:val="none"/>
        </w:rPr>
        <w:t>托管人：</w:t>
      </w:r>
      <w:r>
        <w:rPr>
          <w:rFonts w:hint="eastAsia"/>
          <w:b/>
          <w:sz w:val="30"/>
          <w:szCs w:val="30"/>
          <w:lang w:eastAsia="zh-CN"/>
        </w:rPr>
        <w:t>苏州银行股份有限公司</w:t>
      </w:r>
    </w:p>
    <w:p>
      <w:pPr>
        <w:spacing w:line="360" w:lineRule="auto"/>
        <w:jc w:val="both"/>
        <w:rPr>
          <w:rFonts w:hint="default" w:asciiTheme="minorAscii" w:hAnsiTheme="minorAscii"/>
          <w:b/>
          <w:sz w:val="24"/>
          <w:highlight w:val="none"/>
        </w:rPr>
      </w:pPr>
    </w:p>
    <w:p>
      <w:pPr>
        <w:spacing w:line="360" w:lineRule="auto"/>
        <w:jc w:val="center"/>
        <w:outlineLvl w:val="0"/>
        <w:rPr>
          <w:rFonts w:hint="default" w:asciiTheme="minorAscii" w:hAnsiTheme="minorAscii"/>
          <w:b/>
          <w:sz w:val="30"/>
          <w:szCs w:val="30"/>
          <w:highlight w:val="none"/>
        </w:rPr>
      </w:pPr>
      <w:r>
        <w:rPr>
          <w:rFonts w:hint="default" w:asciiTheme="minorAscii" w:hAnsiTheme="minorAscii"/>
          <w:b/>
          <w:sz w:val="30"/>
          <w:szCs w:val="30"/>
          <w:highlight w:val="none"/>
        </w:rPr>
        <w:t>一、重要提示</w:t>
      </w:r>
    </w:p>
    <w:p>
      <w:pPr>
        <w:spacing w:line="360" w:lineRule="auto"/>
        <w:ind w:firstLine="480" w:firstLineChars="200"/>
        <w:rPr>
          <w:rFonts w:hint="default" w:asciiTheme="minorAscii" w:hAnsiTheme="minorAscii"/>
          <w:bCs/>
          <w:sz w:val="24"/>
          <w:highlight w:val="none"/>
        </w:rPr>
      </w:pPr>
      <w:r>
        <w:rPr>
          <w:rFonts w:hint="default" w:asciiTheme="minorAscii" w:hAnsiTheme="minorAscii"/>
          <w:sz w:val="24"/>
          <w:highlight w:val="none"/>
        </w:rPr>
        <w:t>1、管理人承诺以诚实守信、审慎尽责的原则管理和运用本集合计划资产，但不保证本集合计划一定盈利，也不保证最低收益。</w:t>
      </w:r>
    </w:p>
    <w:p>
      <w:pPr>
        <w:spacing w:line="360" w:lineRule="auto"/>
        <w:ind w:firstLine="480" w:firstLineChars="200"/>
        <w:rPr>
          <w:rFonts w:hint="default" w:asciiTheme="minorAscii" w:hAnsiTheme="minorAscii"/>
          <w:sz w:val="24"/>
          <w:highlight w:val="none"/>
        </w:rPr>
      </w:pPr>
      <w:r>
        <w:rPr>
          <w:rFonts w:hint="default" w:asciiTheme="minorAscii" w:hAnsiTheme="minorAscii"/>
          <w:sz w:val="24"/>
          <w:highlight w:val="none"/>
        </w:rPr>
        <w:t>2、本公告仅对本集合计划推广的有关事项和规定予以说明。投资者如欲了解</w:t>
      </w:r>
      <w:r>
        <w:rPr>
          <w:rFonts w:hint="eastAsia" w:asciiTheme="minorAscii" w:hAnsiTheme="minorAscii"/>
          <w:sz w:val="24"/>
          <w:highlight w:val="none"/>
          <w:lang w:val="en-US" w:eastAsia="zh-CN"/>
        </w:rPr>
        <w:t>本</w:t>
      </w:r>
      <w:r>
        <w:rPr>
          <w:rFonts w:hint="default" w:asciiTheme="minorAscii" w:hAnsiTheme="minorAscii"/>
          <w:sz w:val="24"/>
          <w:highlight w:val="none"/>
        </w:rPr>
        <w:t>资产管理计划的详细情况，请阅读本公司网站（www.hazq.com）的《</w:t>
      </w:r>
      <w:r>
        <w:rPr>
          <w:rFonts w:hint="eastAsia" w:asciiTheme="minorAscii" w:hAnsiTheme="minorAscii"/>
          <w:sz w:val="24"/>
          <w:highlight w:val="none"/>
          <w:lang w:eastAsia="zh-CN"/>
        </w:rPr>
        <w:t>华安资管</w:t>
      </w:r>
      <w:r>
        <w:rPr>
          <w:rFonts w:hint="eastAsia" w:ascii="宋体" w:hAnsi="宋体"/>
          <w:sz w:val="24"/>
        </w:rPr>
        <w:t>湘赢</w:t>
      </w:r>
      <w:r>
        <w:rPr>
          <w:rFonts w:hint="eastAsia" w:ascii="宋体" w:hAnsi="宋体"/>
          <w:sz w:val="24"/>
          <w:lang w:eastAsia="zh-CN"/>
        </w:rPr>
        <w:t>36M035</w:t>
      </w:r>
      <w:r>
        <w:rPr>
          <w:rFonts w:hint="eastAsia" w:asciiTheme="minorAscii" w:hAnsiTheme="minorAscii"/>
          <w:sz w:val="24"/>
          <w:highlight w:val="none"/>
          <w:lang w:eastAsia="zh-CN"/>
        </w:rPr>
        <w:t>号</w:t>
      </w:r>
      <w:r>
        <w:rPr>
          <w:rFonts w:hint="default" w:asciiTheme="minorAscii" w:hAnsiTheme="minorAscii"/>
          <w:sz w:val="24"/>
          <w:highlight w:val="none"/>
        </w:rPr>
        <w:t>集合资产管理计划说明书》、《</w:t>
      </w:r>
      <w:r>
        <w:rPr>
          <w:rFonts w:hint="eastAsia" w:asciiTheme="minorAscii" w:hAnsiTheme="minorAscii"/>
          <w:sz w:val="24"/>
          <w:highlight w:val="none"/>
          <w:lang w:eastAsia="zh-CN"/>
        </w:rPr>
        <w:t>华安资管</w:t>
      </w:r>
      <w:r>
        <w:rPr>
          <w:rFonts w:hint="eastAsia" w:ascii="宋体" w:hAnsi="宋体"/>
          <w:sz w:val="24"/>
        </w:rPr>
        <w:t>湘赢</w:t>
      </w:r>
      <w:r>
        <w:rPr>
          <w:rFonts w:hint="eastAsia" w:ascii="宋体" w:hAnsi="宋体"/>
          <w:sz w:val="24"/>
          <w:lang w:eastAsia="zh-CN"/>
        </w:rPr>
        <w:t>36M035</w:t>
      </w:r>
      <w:r>
        <w:rPr>
          <w:rFonts w:hint="eastAsia" w:asciiTheme="minorAscii" w:hAnsiTheme="minorAscii"/>
          <w:sz w:val="24"/>
          <w:highlight w:val="none"/>
          <w:lang w:eastAsia="zh-CN"/>
        </w:rPr>
        <w:t>号</w:t>
      </w:r>
      <w:r>
        <w:rPr>
          <w:rFonts w:hint="default" w:asciiTheme="minorAscii" w:hAnsiTheme="minorAscii"/>
          <w:sz w:val="24"/>
          <w:highlight w:val="none"/>
        </w:rPr>
        <w:t>集合资产管理计划资产管理合同》及《</w:t>
      </w:r>
      <w:r>
        <w:rPr>
          <w:rFonts w:hint="eastAsia" w:asciiTheme="minorAscii" w:hAnsiTheme="minorAscii"/>
          <w:sz w:val="24"/>
          <w:highlight w:val="none"/>
          <w:lang w:eastAsia="zh-CN"/>
        </w:rPr>
        <w:t>华安资管</w:t>
      </w:r>
      <w:r>
        <w:rPr>
          <w:rFonts w:hint="eastAsia" w:ascii="宋体" w:hAnsi="宋体"/>
          <w:sz w:val="24"/>
        </w:rPr>
        <w:t>湘赢</w:t>
      </w:r>
      <w:r>
        <w:rPr>
          <w:rFonts w:hint="eastAsia" w:ascii="宋体" w:hAnsi="宋体"/>
          <w:sz w:val="24"/>
          <w:lang w:eastAsia="zh-CN"/>
        </w:rPr>
        <w:t>36M035</w:t>
      </w:r>
      <w:r>
        <w:rPr>
          <w:rFonts w:hint="eastAsia" w:asciiTheme="minorAscii" w:hAnsiTheme="minorAscii"/>
          <w:sz w:val="24"/>
          <w:highlight w:val="none"/>
          <w:lang w:eastAsia="zh-CN"/>
        </w:rPr>
        <w:t>号</w:t>
      </w:r>
      <w:r>
        <w:rPr>
          <w:rFonts w:hint="default" w:asciiTheme="minorAscii" w:hAnsiTheme="minorAscii"/>
          <w:sz w:val="24"/>
          <w:highlight w:val="none"/>
        </w:rPr>
        <w:t>集合资产管理计划风险揭示书》。</w:t>
      </w:r>
    </w:p>
    <w:p>
      <w:pPr>
        <w:spacing w:line="360" w:lineRule="auto"/>
        <w:ind w:firstLine="480" w:firstLineChars="200"/>
        <w:rPr>
          <w:rFonts w:hint="default" w:asciiTheme="minorAscii" w:hAnsiTheme="minorAscii"/>
          <w:sz w:val="24"/>
          <w:highlight w:val="none"/>
        </w:rPr>
      </w:pPr>
      <w:r>
        <w:rPr>
          <w:rFonts w:hint="default" w:asciiTheme="minorAscii" w:hAnsiTheme="minorAscii"/>
          <w:sz w:val="24"/>
          <w:highlight w:val="none"/>
        </w:rPr>
        <w:t>3、为保护</w:t>
      </w:r>
      <w:r>
        <w:rPr>
          <w:rFonts w:hint="default" w:asciiTheme="minorAscii" w:hAnsiTheme="minorAscii"/>
          <w:sz w:val="24"/>
          <w:highlight w:val="none"/>
          <w:lang w:val="en-US" w:eastAsia="zh-CN"/>
        </w:rPr>
        <w:t>投资者</w:t>
      </w:r>
      <w:r>
        <w:rPr>
          <w:rFonts w:hint="default" w:asciiTheme="minorAscii" w:hAnsiTheme="minorAscii"/>
          <w:sz w:val="24"/>
          <w:highlight w:val="none"/>
        </w:rPr>
        <w:t>的利益，管理人郑重提示</w:t>
      </w:r>
      <w:r>
        <w:rPr>
          <w:rFonts w:hint="default" w:asciiTheme="minorAscii" w:hAnsiTheme="minorAscii"/>
          <w:sz w:val="24"/>
          <w:highlight w:val="none"/>
          <w:lang w:val="en-US" w:eastAsia="zh-CN"/>
        </w:rPr>
        <w:t>投资者</w:t>
      </w:r>
      <w:r>
        <w:rPr>
          <w:rFonts w:hint="default" w:asciiTheme="minorAscii" w:hAnsiTheme="minorAscii"/>
          <w:sz w:val="24"/>
          <w:highlight w:val="none"/>
        </w:rPr>
        <w:t>：在每次参与本集合计划时，</w:t>
      </w:r>
      <w:r>
        <w:rPr>
          <w:rFonts w:hint="default" w:asciiTheme="minorAscii" w:hAnsiTheme="minorAscii"/>
          <w:sz w:val="24"/>
          <w:highlight w:val="none"/>
          <w:lang w:val="en-US" w:eastAsia="zh-CN"/>
        </w:rPr>
        <w:t>投资者</w:t>
      </w:r>
      <w:r>
        <w:rPr>
          <w:rFonts w:hint="default" w:asciiTheme="minorAscii" w:hAnsiTheme="minorAscii"/>
          <w:sz w:val="24"/>
          <w:highlight w:val="none"/>
        </w:rPr>
        <w:t>应依据《</w:t>
      </w:r>
      <w:r>
        <w:rPr>
          <w:rFonts w:hint="eastAsia" w:asciiTheme="minorAscii" w:hAnsiTheme="minorAscii"/>
          <w:sz w:val="24"/>
          <w:highlight w:val="none"/>
          <w:lang w:eastAsia="zh-CN"/>
        </w:rPr>
        <w:t>华安资管</w:t>
      </w:r>
      <w:r>
        <w:rPr>
          <w:rFonts w:hint="eastAsia" w:ascii="宋体" w:hAnsi="宋体"/>
          <w:sz w:val="24"/>
        </w:rPr>
        <w:t>湘赢</w:t>
      </w:r>
      <w:r>
        <w:rPr>
          <w:rFonts w:hint="eastAsia" w:ascii="宋体" w:hAnsi="宋体"/>
          <w:sz w:val="24"/>
          <w:lang w:eastAsia="zh-CN"/>
        </w:rPr>
        <w:t>36M035</w:t>
      </w:r>
      <w:r>
        <w:rPr>
          <w:rFonts w:hint="eastAsia" w:asciiTheme="minorAscii" w:hAnsiTheme="minorAscii"/>
          <w:sz w:val="24"/>
          <w:highlight w:val="none"/>
          <w:lang w:eastAsia="zh-CN"/>
        </w:rPr>
        <w:t>号</w:t>
      </w:r>
      <w:r>
        <w:rPr>
          <w:rFonts w:hint="default" w:asciiTheme="minorAscii" w:hAnsiTheme="minorAscii"/>
          <w:sz w:val="24"/>
          <w:highlight w:val="none"/>
        </w:rPr>
        <w:t>集合资产管理计划资产管理合同》及《</w:t>
      </w:r>
      <w:r>
        <w:rPr>
          <w:rFonts w:hint="eastAsia" w:asciiTheme="minorAscii" w:hAnsiTheme="minorAscii"/>
          <w:sz w:val="24"/>
          <w:highlight w:val="none"/>
          <w:lang w:eastAsia="zh-CN"/>
        </w:rPr>
        <w:t>华安资管</w:t>
      </w:r>
      <w:r>
        <w:rPr>
          <w:rFonts w:hint="eastAsia" w:ascii="宋体" w:hAnsi="宋体"/>
          <w:sz w:val="24"/>
        </w:rPr>
        <w:t>湘赢</w:t>
      </w:r>
      <w:r>
        <w:rPr>
          <w:rFonts w:hint="eastAsia" w:ascii="宋体" w:hAnsi="宋体"/>
          <w:sz w:val="24"/>
          <w:lang w:eastAsia="zh-CN"/>
        </w:rPr>
        <w:t>36M035</w:t>
      </w:r>
      <w:r>
        <w:rPr>
          <w:rFonts w:hint="eastAsia" w:asciiTheme="minorAscii" w:hAnsiTheme="minorAscii"/>
          <w:sz w:val="24"/>
          <w:highlight w:val="none"/>
          <w:lang w:eastAsia="zh-CN"/>
        </w:rPr>
        <w:t>号</w:t>
      </w:r>
      <w:r>
        <w:rPr>
          <w:rFonts w:hint="default" w:asciiTheme="minorAscii" w:hAnsiTheme="minorAscii"/>
          <w:sz w:val="24"/>
          <w:highlight w:val="none"/>
        </w:rPr>
        <w:t>集合资产管理计划说明书》，通过管理人网站（www.hazq.com）等方式直接向管理人进行查询确认。</w:t>
      </w:r>
    </w:p>
    <w:p>
      <w:pPr>
        <w:spacing w:line="360" w:lineRule="auto"/>
        <w:ind w:firstLine="480" w:firstLineChars="200"/>
        <w:rPr>
          <w:rFonts w:hint="default" w:asciiTheme="minorAscii" w:hAnsiTheme="minorAscii"/>
          <w:sz w:val="24"/>
          <w:highlight w:val="none"/>
        </w:rPr>
      </w:pPr>
      <w:r>
        <w:rPr>
          <w:rFonts w:hint="default" w:asciiTheme="minorAscii" w:hAnsiTheme="minorAscii"/>
          <w:sz w:val="24"/>
          <w:highlight w:val="none"/>
        </w:rPr>
        <w:t>4、本公司可根据募集期间的具体情况对募集事宜做适当调整。</w:t>
      </w:r>
    </w:p>
    <w:p>
      <w:pPr>
        <w:spacing w:line="360" w:lineRule="auto"/>
        <w:rPr>
          <w:rFonts w:hint="default" w:asciiTheme="minorAscii" w:hAnsiTheme="minorAscii"/>
          <w:sz w:val="24"/>
          <w:highlight w:val="none"/>
        </w:rPr>
      </w:pPr>
    </w:p>
    <w:p>
      <w:pPr>
        <w:spacing w:line="360" w:lineRule="auto"/>
        <w:jc w:val="center"/>
        <w:outlineLvl w:val="0"/>
        <w:rPr>
          <w:rFonts w:hint="default" w:asciiTheme="minorAscii" w:hAnsiTheme="minorAscii"/>
          <w:b/>
          <w:sz w:val="30"/>
          <w:szCs w:val="30"/>
          <w:highlight w:val="none"/>
        </w:rPr>
      </w:pPr>
      <w:r>
        <w:rPr>
          <w:rFonts w:hint="default" w:asciiTheme="minorAscii" w:hAnsiTheme="minorAscii"/>
          <w:b/>
          <w:sz w:val="30"/>
          <w:szCs w:val="30"/>
          <w:highlight w:val="none"/>
        </w:rPr>
        <w:t>二、计划概况</w:t>
      </w:r>
    </w:p>
    <w:p>
      <w:pPr>
        <w:spacing w:line="360" w:lineRule="auto"/>
        <w:ind w:firstLine="482" w:firstLineChars="200"/>
        <w:rPr>
          <w:rFonts w:hint="default" w:asciiTheme="minorAscii" w:hAnsiTheme="minorAscii"/>
          <w:sz w:val="24"/>
          <w:highlight w:val="none"/>
        </w:rPr>
      </w:pPr>
      <w:r>
        <w:rPr>
          <w:rFonts w:hint="default" w:asciiTheme="minorAscii" w:hAnsiTheme="minorAscii"/>
          <w:b/>
          <w:sz w:val="24"/>
          <w:highlight w:val="none"/>
        </w:rPr>
        <w:t>1、计划名称：</w:t>
      </w:r>
      <w:r>
        <w:rPr>
          <w:rFonts w:hint="eastAsia" w:asciiTheme="minorAscii" w:hAnsiTheme="minorAscii"/>
          <w:sz w:val="24"/>
          <w:highlight w:val="none"/>
          <w:lang w:eastAsia="zh-CN"/>
        </w:rPr>
        <w:t>华安资管</w:t>
      </w:r>
      <w:r>
        <w:rPr>
          <w:rFonts w:hint="eastAsia" w:ascii="宋体" w:hAnsi="宋体"/>
          <w:sz w:val="24"/>
        </w:rPr>
        <w:t>湘赢</w:t>
      </w:r>
      <w:r>
        <w:rPr>
          <w:rFonts w:hint="eastAsia" w:ascii="宋体" w:hAnsi="宋体"/>
          <w:sz w:val="24"/>
          <w:lang w:eastAsia="zh-CN"/>
        </w:rPr>
        <w:t>36M035</w:t>
      </w:r>
      <w:r>
        <w:rPr>
          <w:rFonts w:hint="eastAsia" w:asciiTheme="minorAscii" w:hAnsiTheme="minorAscii"/>
          <w:sz w:val="24"/>
          <w:highlight w:val="none"/>
          <w:lang w:eastAsia="zh-CN"/>
        </w:rPr>
        <w:t>号</w:t>
      </w:r>
      <w:r>
        <w:rPr>
          <w:rFonts w:hint="default" w:asciiTheme="minorAscii" w:hAnsiTheme="minorAscii"/>
          <w:sz w:val="24"/>
          <w:highlight w:val="none"/>
        </w:rPr>
        <w:t>集合资产管理计划</w:t>
      </w:r>
    </w:p>
    <w:p>
      <w:pPr>
        <w:spacing w:line="360" w:lineRule="auto"/>
        <w:ind w:firstLine="482" w:firstLineChars="200"/>
        <w:rPr>
          <w:rFonts w:hint="default" w:cs="宋体,Bold" w:asciiTheme="minorAscii" w:hAnsiTheme="minorAscii"/>
          <w:bCs/>
          <w:color w:val="000000"/>
          <w:kern w:val="0"/>
          <w:sz w:val="24"/>
          <w:highlight w:val="none"/>
        </w:rPr>
      </w:pPr>
      <w:r>
        <w:rPr>
          <w:rFonts w:hint="default" w:asciiTheme="minorAscii" w:hAnsiTheme="minorAscii"/>
          <w:b/>
          <w:sz w:val="24"/>
          <w:highlight w:val="none"/>
        </w:rPr>
        <w:t>2、计划类型：</w:t>
      </w:r>
      <w:r>
        <w:rPr>
          <w:rFonts w:hint="default" w:asciiTheme="minorAscii" w:hAnsiTheme="minorAscii"/>
          <w:sz w:val="24"/>
          <w:highlight w:val="none"/>
        </w:rPr>
        <w:t>固定收益类</w:t>
      </w:r>
      <w:r>
        <w:rPr>
          <w:rFonts w:hint="default" w:cs="宋体,Bold" w:asciiTheme="minorAscii" w:hAnsiTheme="minorAscii"/>
          <w:bCs/>
          <w:color w:val="000000"/>
          <w:kern w:val="0"/>
          <w:sz w:val="24"/>
          <w:highlight w:val="none"/>
        </w:rPr>
        <w:t>集合资产管理计划</w:t>
      </w:r>
    </w:p>
    <w:p>
      <w:pPr>
        <w:spacing w:line="360" w:lineRule="auto"/>
        <w:ind w:firstLine="482" w:firstLineChars="200"/>
        <w:rPr>
          <w:rFonts w:hint="eastAsia" w:eastAsia="宋体" w:asciiTheme="minorAscii" w:hAnsiTheme="minorAscii"/>
          <w:sz w:val="24"/>
          <w:highlight w:val="none"/>
          <w:lang w:eastAsia="zh-CN"/>
        </w:rPr>
      </w:pPr>
      <w:r>
        <w:rPr>
          <w:rFonts w:hint="default" w:asciiTheme="minorAscii" w:hAnsiTheme="minorAscii"/>
          <w:b/>
          <w:sz w:val="24"/>
          <w:highlight w:val="none"/>
        </w:rPr>
        <w:t>3、管理人：</w:t>
      </w:r>
      <w:r>
        <w:rPr>
          <w:rFonts w:hint="eastAsia" w:asciiTheme="minorAscii" w:hAnsiTheme="minorAscii"/>
          <w:sz w:val="24"/>
          <w:highlight w:val="none"/>
          <w:lang w:eastAsia="zh-CN"/>
        </w:rPr>
        <w:t>华安证券资产管理有限公司</w:t>
      </w:r>
    </w:p>
    <w:p>
      <w:pPr>
        <w:spacing w:line="360" w:lineRule="auto"/>
        <w:ind w:firstLine="482" w:firstLineChars="200"/>
        <w:rPr>
          <w:rFonts w:hint="eastAsia" w:cs="宋体,Bold" w:asciiTheme="minorAscii" w:hAnsiTheme="minorAscii"/>
          <w:bCs/>
          <w:color w:val="000000"/>
          <w:kern w:val="0"/>
          <w:sz w:val="24"/>
          <w:highlight w:val="none"/>
          <w:lang w:val="en-US" w:eastAsia="zh-CN"/>
        </w:rPr>
      </w:pPr>
      <w:r>
        <w:rPr>
          <w:rFonts w:hint="default" w:asciiTheme="minorAscii" w:hAnsiTheme="minorAscii"/>
          <w:b/>
          <w:sz w:val="24"/>
          <w:highlight w:val="none"/>
        </w:rPr>
        <w:t>4、托管人：</w:t>
      </w:r>
      <w:r>
        <w:rPr>
          <w:rFonts w:hint="eastAsia" w:cs="宋体,Bold" w:asciiTheme="minorAscii" w:hAnsiTheme="minorAscii"/>
          <w:bCs/>
          <w:color w:val="000000"/>
          <w:kern w:val="0"/>
          <w:sz w:val="24"/>
          <w:highlight w:val="none"/>
          <w:lang w:val="en-US" w:eastAsia="zh-CN"/>
        </w:rPr>
        <w:t>苏州银行股份有限公司</w:t>
      </w:r>
    </w:p>
    <w:p>
      <w:pPr>
        <w:spacing w:line="360" w:lineRule="auto"/>
        <w:ind w:firstLine="482" w:firstLineChars="200"/>
        <w:rPr>
          <w:rFonts w:hint="eastAsia" w:cs="宋体,Bold" w:asciiTheme="minorAscii" w:hAnsiTheme="minorAscii"/>
          <w:bCs/>
          <w:color w:val="000000"/>
          <w:kern w:val="0"/>
          <w:sz w:val="24"/>
          <w:highlight w:val="none"/>
          <w:lang w:val="en-US" w:eastAsia="zh-CN"/>
        </w:rPr>
      </w:pPr>
      <w:r>
        <w:rPr>
          <w:rFonts w:hint="default" w:asciiTheme="minorAscii" w:hAnsiTheme="minorAscii"/>
          <w:b/>
          <w:sz w:val="24"/>
          <w:highlight w:val="none"/>
        </w:rPr>
        <w:t>5、推广机构：</w:t>
      </w:r>
      <w:r>
        <w:rPr>
          <w:rFonts w:hint="eastAsia" w:asciiTheme="minorAscii" w:hAnsiTheme="minorAscii"/>
          <w:sz w:val="24"/>
          <w:highlight w:val="none"/>
          <w:lang w:eastAsia="zh-CN"/>
        </w:rPr>
        <w:t>华安证券资产管理有限公司、</w:t>
      </w:r>
      <w:r>
        <w:rPr>
          <w:rFonts w:hint="eastAsia" w:cs="宋体,Bold" w:asciiTheme="minorAscii" w:hAnsiTheme="minorAscii"/>
          <w:bCs/>
          <w:color w:val="000000"/>
          <w:kern w:val="0"/>
          <w:sz w:val="24"/>
          <w:highlight w:val="none"/>
          <w:lang w:val="en-US" w:eastAsia="zh-CN"/>
        </w:rPr>
        <w:t>湖南银行股份有限公司</w:t>
      </w:r>
    </w:p>
    <w:p>
      <w:pPr>
        <w:spacing w:line="360" w:lineRule="auto"/>
        <w:ind w:firstLine="482" w:firstLineChars="200"/>
        <w:rPr>
          <w:rFonts w:hint="default" w:asciiTheme="minorAscii" w:hAnsiTheme="minorAscii"/>
          <w:b/>
          <w:sz w:val="24"/>
          <w:highlight w:val="none"/>
        </w:rPr>
      </w:pPr>
      <w:r>
        <w:rPr>
          <w:rFonts w:hint="default" w:asciiTheme="minorAscii" w:hAnsiTheme="minorAscii"/>
          <w:b/>
          <w:sz w:val="24"/>
          <w:highlight w:val="none"/>
        </w:rPr>
        <w:t>6、计划募集规模：</w:t>
      </w:r>
      <w:r>
        <w:rPr>
          <w:rFonts w:hint="default" w:asciiTheme="minorAscii" w:hAnsiTheme="minorAscii"/>
          <w:sz w:val="24"/>
          <w:highlight w:val="none"/>
        </w:rPr>
        <w:t>本集合计划募集期和存续期均无规模上限。</w:t>
      </w:r>
    </w:p>
    <w:p>
      <w:pPr>
        <w:spacing w:line="360" w:lineRule="auto"/>
        <w:ind w:firstLine="482" w:firstLineChars="200"/>
        <w:rPr>
          <w:rFonts w:hint="default" w:asciiTheme="minorAscii" w:hAnsiTheme="minorAscii"/>
          <w:b/>
          <w:sz w:val="24"/>
          <w:highlight w:val="none"/>
        </w:rPr>
      </w:pPr>
      <w:r>
        <w:rPr>
          <w:rFonts w:hint="default" w:asciiTheme="minorAscii" w:hAnsiTheme="minorAscii"/>
          <w:b/>
          <w:sz w:val="24"/>
          <w:highlight w:val="none"/>
        </w:rPr>
        <w:t>7、存续期限：</w:t>
      </w:r>
      <w:r>
        <w:rPr>
          <w:rFonts w:hint="default" w:asciiTheme="minorAscii" w:hAnsiTheme="minorAscii"/>
          <w:sz w:val="24"/>
          <w:highlight w:val="none"/>
        </w:rPr>
        <w:t>本集合计划管理期限为十年，到期后可展期。</w:t>
      </w:r>
    </w:p>
    <w:p>
      <w:pPr>
        <w:spacing w:line="360" w:lineRule="auto"/>
        <w:ind w:firstLine="482" w:firstLineChars="200"/>
        <w:rPr>
          <w:rFonts w:hint="default" w:asciiTheme="minorAscii" w:hAnsiTheme="minorAscii"/>
          <w:b/>
          <w:sz w:val="24"/>
          <w:highlight w:val="none"/>
        </w:rPr>
      </w:pPr>
      <w:r>
        <w:rPr>
          <w:rFonts w:hint="default" w:asciiTheme="minorAscii" w:hAnsiTheme="minorAscii"/>
          <w:b/>
          <w:sz w:val="24"/>
          <w:highlight w:val="none"/>
        </w:rPr>
        <w:t>8、开放期：本计划自成立之日起36个月为封闭期，首个开放期为2029年3月</w:t>
      </w:r>
      <w:r>
        <w:rPr>
          <w:rFonts w:hint="eastAsia" w:asciiTheme="minorAscii" w:hAnsiTheme="minorAscii"/>
          <w:b/>
          <w:sz w:val="24"/>
          <w:highlight w:val="none"/>
          <w:lang w:val="en-US" w:eastAsia="zh-CN"/>
        </w:rPr>
        <w:t>30</w:t>
      </w:r>
      <w:r>
        <w:rPr>
          <w:rFonts w:hint="default" w:asciiTheme="minorAscii" w:hAnsiTheme="minorAscii"/>
          <w:b/>
          <w:sz w:val="24"/>
          <w:highlight w:val="none"/>
        </w:rPr>
        <w:t>日，之后每满36个月当月的</w:t>
      </w:r>
      <w:r>
        <w:rPr>
          <w:rFonts w:hint="eastAsia" w:asciiTheme="minorAscii" w:hAnsiTheme="minorAscii"/>
          <w:b/>
          <w:sz w:val="24"/>
          <w:highlight w:val="none"/>
          <w:lang w:val="en-US" w:eastAsia="zh-CN"/>
        </w:rPr>
        <w:t>30</w:t>
      </w:r>
      <w:r>
        <w:rPr>
          <w:rFonts w:hint="default" w:asciiTheme="minorAscii" w:hAnsiTheme="minorAscii"/>
          <w:b/>
          <w:sz w:val="24"/>
          <w:highlight w:val="none"/>
        </w:rPr>
        <w:t>日为后续开放期，遇节假日及非交易日顺延。如有变动，管理人在不影响开放期时间、次数和频率的前提下可视情况调整，以管理人公告为准。投资者可根据管理人届时的公告在开放期进行参与或退出。开放期开放时间后的申请均确认失败。</w:t>
      </w:r>
    </w:p>
    <w:p>
      <w:pPr>
        <w:spacing w:line="360" w:lineRule="auto"/>
        <w:ind w:firstLine="482" w:firstLineChars="200"/>
        <w:rPr>
          <w:rFonts w:hint="default" w:asciiTheme="minorAscii" w:hAnsiTheme="minorAscii"/>
          <w:sz w:val="24"/>
          <w:highlight w:val="none"/>
        </w:rPr>
      </w:pPr>
      <w:r>
        <w:rPr>
          <w:rFonts w:hint="default" w:asciiTheme="minorAscii" w:hAnsiTheme="minorAscii"/>
          <w:b/>
          <w:sz w:val="24"/>
          <w:highlight w:val="none"/>
        </w:rPr>
        <w:t>9、建仓期：</w:t>
      </w:r>
      <w:r>
        <w:rPr>
          <w:rFonts w:hint="default" w:asciiTheme="minorAscii" w:hAnsiTheme="minorAscii"/>
          <w:sz w:val="24"/>
          <w:highlight w:val="none"/>
        </w:rPr>
        <w:t>本集合计划建仓期自产品成立之日起6个月。</w:t>
      </w:r>
    </w:p>
    <w:p>
      <w:pPr>
        <w:spacing w:line="360" w:lineRule="auto"/>
        <w:ind w:firstLine="482" w:firstLineChars="200"/>
        <w:rPr>
          <w:rFonts w:hint="default" w:asciiTheme="minorAscii" w:hAnsiTheme="minorAscii"/>
          <w:b/>
          <w:sz w:val="24"/>
          <w:highlight w:val="none"/>
        </w:rPr>
      </w:pPr>
      <w:r>
        <w:rPr>
          <w:rFonts w:hint="default" w:asciiTheme="minorAscii" w:hAnsiTheme="minorAscii"/>
          <w:b/>
          <w:sz w:val="24"/>
          <w:highlight w:val="none"/>
        </w:rPr>
        <w:t>10、费率情况：</w:t>
      </w:r>
    </w:p>
    <w:p>
      <w:pPr>
        <w:spacing w:line="360" w:lineRule="auto"/>
        <w:ind w:firstLine="480" w:firstLineChars="200"/>
        <w:rPr>
          <w:rFonts w:hint="default" w:asciiTheme="minorAscii" w:hAnsiTheme="minorAscii"/>
          <w:b w:val="0"/>
          <w:bCs/>
          <w:sz w:val="24"/>
          <w:highlight w:val="none"/>
          <w:lang w:val="en-US" w:eastAsia="zh-CN"/>
        </w:rPr>
      </w:pPr>
      <w:r>
        <w:rPr>
          <w:rFonts w:hint="default" w:asciiTheme="minorAscii" w:hAnsiTheme="minorAscii"/>
          <w:b w:val="0"/>
          <w:bCs/>
          <w:sz w:val="24"/>
          <w:highlight w:val="none"/>
          <w:lang w:val="en-US" w:eastAsia="zh-CN"/>
        </w:rPr>
        <w:t>参与费率：0；</w:t>
      </w:r>
    </w:p>
    <w:p>
      <w:pPr>
        <w:spacing w:line="360" w:lineRule="auto"/>
        <w:ind w:firstLine="480" w:firstLineChars="200"/>
        <w:rPr>
          <w:rFonts w:hint="default" w:eastAsia="宋体" w:asciiTheme="minorAscii" w:hAnsiTheme="minorAscii"/>
          <w:b w:val="0"/>
          <w:bCs/>
          <w:sz w:val="24"/>
          <w:highlight w:val="none"/>
          <w:lang w:eastAsia="zh-CN"/>
        </w:rPr>
      </w:pPr>
      <w:r>
        <w:rPr>
          <w:rFonts w:hint="default" w:asciiTheme="minorAscii" w:hAnsiTheme="minorAscii"/>
          <w:b w:val="0"/>
          <w:bCs/>
          <w:sz w:val="24"/>
          <w:highlight w:val="none"/>
          <w:lang w:val="en-US" w:eastAsia="zh-CN"/>
        </w:rPr>
        <w:t>退出费率：</w:t>
      </w:r>
      <w:r>
        <w:rPr>
          <w:rFonts w:hint="default" w:asciiTheme="minorAscii" w:hAnsiTheme="minorAscii"/>
          <w:b w:val="0"/>
          <w:bCs/>
          <w:sz w:val="24"/>
          <w:highlight w:val="none"/>
        </w:rPr>
        <w:t>0</w:t>
      </w:r>
      <w:r>
        <w:rPr>
          <w:rFonts w:hint="default" w:asciiTheme="minorAscii" w:hAnsiTheme="minorAscii"/>
          <w:b w:val="0"/>
          <w:bCs/>
          <w:sz w:val="24"/>
          <w:highlight w:val="none"/>
          <w:lang w:eastAsia="zh-CN"/>
        </w:rPr>
        <w:t>；</w:t>
      </w:r>
    </w:p>
    <w:p>
      <w:pPr>
        <w:shd w:val="clear"/>
        <w:spacing w:line="360" w:lineRule="auto"/>
        <w:ind w:firstLine="480" w:firstLineChars="200"/>
        <w:rPr>
          <w:rFonts w:hint="default" w:eastAsia="宋体" w:asciiTheme="minorAscii" w:hAnsiTheme="minorAscii"/>
          <w:bCs/>
          <w:sz w:val="24"/>
          <w:highlight w:val="none"/>
          <w:lang w:eastAsia="zh-CN"/>
        </w:rPr>
      </w:pPr>
      <w:r>
        <w:rPr>
          <w:rFonts w:hint="default" w:asciiTheme="minorAscii" w:hAnsiTheme="minorAscii"/>
          <w:bCs/>
          <w:sz w:val="24"/>
          <w:highlight w:val="none"/>
        </w:rPr>
        <w:t>管理费率：</w:t>
      </w:r>
      <w:r>
        <w:rPr>
          <w:rFonts w:hint="eastAsia" w:asciiTheme="minorAscii" w:hAnsiTheme="minorAscii"/>
          <w:bCs/>
          <w:sz w:val="24"/>
          <w:highlight w:val="none"/>
          <w:lang w:val="en-US" w:eastAsia="zh-CN"/>
        </w:rPr>
        <w:t>0.8</w:t>
      </w:r>
      <w:r>
        <w:rPr>
          <w:rFonts w:hint="default" w:asciiTheme="minorAscii" w:hAnsiTheme="minorAscii"/>
          <w:bCs/>
          <w:sz w:val="24"/>
          <w:highlight w:val="none"/>
        </w:rPr>
        <w:t>%/年</w:t>
      </w:r>
      <w:r>
        <w:rPr>
          <w:rFonts w:hint="default" w:asciiTheme="minorAscii" w:hAnsiTheme="minorAscii"/>
          <w:bCs/>
          <w:sz w:val="24"/>
          <w:highlight w:val="none"/>
          <w:lang w:eastAsia="zh-CN"/>
        </w:rPr>
        <w:t>；</w:t>
      </w:r>
    </w:p>
    <w:p>
      <w:pPr>
        <w:spacing w:line="360" w:lineRule="auto"/>
        <w:ind w:firstLine="480" w:firstLineChars="200"/>
        <w:rPr>
          <w:rFonts w:hint="default" w:asciiTheme="minorAscii" w:hAnsiTheme="minorAscii"/>
          <w:sz w:val="24"/>
          <w:highlight w:val="none"/>
        </w:rPr>
      </w:pPr>
      <w:r>
        <w:rPr>
          <w:rFonts w:hint="default" w:asciiTheme="minorAscii" w:hAnsiTheme="minorAscii"/>
          <w:sz w:val="24"/>
          <w:highlight w:val="none"/>
        </w:rPr>
        <w:t>托管费率：0.</w:t>
      </w:r>
      <w:r>
        <w:rPr>
          <w:rFonts w:hint="eastAsia" w:asciiTheme="minorAscii" w:hAnsiTheme="minorAscii"/>
          <w:sz w:val="24"/>
          <w:highlight w:val="none"/>
          <w:lang w:val="en-US" w:eastAsia="zh-CN"/>
        </w:rPr>
        <w:t>01</w:t>
      </w:r>
      <w:r>
        <w:rPr>
          <w:rFonts w:hint="default" w:asciiTheme="minorAscii" w:hAnsiTheme="minorAscii"/>
          <w:sz w:val="24"/>
          <w:highlight w:val="none"/>
        </w:rPr>
        <w:t xml:space="preserve">%/年。 </w:t>
      </w:r>
    </w:p>
    <w:p>
      <w:pPr>
        <w:adjustRightInd w:val="0"/>
        <w:snapToGrid w:val="0"/>
        <w:spacing w:line="360" w:lineRule="auto"/>
        <w:ind w:firstLine="487" w:firstLineChars="202"/>
        <w:rPr>
          <w:rFonts w:hint="eastAsia" w:asciiTheme="minorAscii" w:hAnsiTheme="minorAscii"/>
          <w:sz w:val="24"/>
          <w:highlight w:val="none"/>
          <w:lang w:eastAsia="zh-CN"/>
        </w:rPr>
      </w:pPr>
      <w:r>
        <w:rPr>
          <w:rFonts w:hint="default" w:asciiTheme="minorAscii" w:hAnsiTheme="minorAscii"/>
          <w:b/>
          <w:sz w:val="24"/>
          <w:highlight w:val="none"/>
        </w:rPr>
        <w:t>11、业绩报酬：</w:t>
      </w:r>
      <w:r>
        <w:rPr>
          <w:rFonts w:hint="eastAsia" w:asciiTheme="minorAscii" w:hAnsiTheme="minorAscii"/>
          <w:b w:val="0"/>
          <w:bCs/>
          <w:sz w:val="24"/>
          <w:highlight w:val="none"/>
          <w:lang w:eastAsia="zh-CN"/>
        </w:rPr>
        <w:t>本</w:t>
      </w:r>
      <w:r>
        <w:rPr>
          <w:rFonts w:hint="eastAsia" w:asciiTheme="minorAscii" w:hAnsiTheme="minorAscii"/>
          <w:b w:val="0"/>
          <w:bCs/>
          <w:sz w:val="24"/>
          <w:highlight w:val="none"/>
          <w:lang w:val="en-US" w:eastAsia="zh-CN"/>
        </w:rPr>
        <w:t>集合计划在</w:t>
      </w:r>
      <w:r>
        <w:rPr>
          <w:rFonts w:hint="default" w:asciiTheme="minorAscii" w:hAnsiTheme="minorAscii"/>
          <w:bCs/>
          <w:sz w:val="24"/>
          <w:highlight w:val="none"/>
        </w:rPr>
        <w:t>分</w:t>
      </w:r>
      <w:r>
        <w:rPr>
          <w:rFonts w:hint="default" w:asciiTheme="minorAscii" w:hAnsiTheme="minorAscii"/>
          <w:sz w:val="24"/>
          <w:highlight w:val="none"/>
        </w:rPr>
        <w:t>红登记日（具体以届时的分红公告为准，下同）、投资者退出日和计划终止日（合称“业绩报酬计提日”）计提业绩报酬，业绩报酬应当从分红资金、退出资金或清算资金中提取，从分红资金中提取业绩报酬的频率不得超过每6个月一次</w:t>
      </w:r>
      <w:r>
        <w:rPr>
          <w:rFonts w:hint="eastAsia" w:asciiTheme="minorAscii" w:hAnsiTheme="minorAscii"/>
          <w:sz w:val="24"/>
          <w:highlight w:val="none"/>
          <w:lang w:eastAsia="zh-CN"/>
        </w:rPr>
        <w:t>。</w:t>
      </w:r>
      <w:r>
        <w:rPr>
          <w:rFonts w:hint="default" w:eastAsia="宋体" w:cs="Times New Roman" w:asciiTheme="minorAscii" w:hAnsiTheme="minorAscii"/>
          <w:bCs/>
          <w:kern w:val="2"/>
          <w:sz w:val="24"/>
          <w:highlight w:val="none"/>
        </w:rPr>
        <w:t>管理人调高业绩报酬计提基准</w:t>
      </w:r>
      <w:r>
        <w:rPr>
          <w:rFonts w:hint="default" w:eastAsia="宋体" w:cs="Times New Roman" w:asciiTheme="minorAscii" w:hAnsiTheme="minorAscii"/>
          <w:bCs/>
          <w:kern w:val="2"/>
          <w:sz w:val="24"/>
          <w:highlight w:val="none"/>
          <w:lang w:val="en-US" w:eastAsia="zh-CN"/>
        </w:rPr>
        <w:t>或调低业绩报酬计提比例</w:t>
      </w:r>
      <w:r>
        <w:rPr>
          <w:rFonts w:hint="default" w:eastAsia="宋体" w:cs="Times New Roman" w:asciiTheme="minorAscii" w:hAnsiTheme="minorAscii"/>
          <w:bCs/>
          <w:kern w:val="2"/>
          <w:sz w:val="24"/>
          <w:highlight w:val="none"/>
        </w:rPr>
        <w:t>，不视为对合同的实质性变更，管理人公告即生效；若管理人调低业绩报酬计提基准</w:t>
      </w:r>
      <w:r>
        <w:rPr>
          <w:rFonts w:hint="default" w:eastAsia="宋体" w:cs="Times New Roman" w:asciiTheme="minorAscii" w:hAnsiTheme="minorAscii"/>
          <w:bCs/>
          <w:kern w:val="2"/>
          <w:sz w:val="24"/>
          <w:highlight w:val="none"/>
          <w:lang w:val="en-US" w:eastAsia="zh-CN"/>
        </w:rPr>
        <w:t>或调高业绩报酬计提比例</w:t>
      </w:r>
      <w:r>
        <w:rPr>
          <w:rFonts w:hint="default" w:eastAsia="宋体" w:cs="Times New Roman" w:asciiTheme="minorAscii" w:hAnsiTheme="minorAscii"/>
          <w:bCs/>
          <w:kern w:val="2"/>
          <w:sz w:val="24"/>
          <w:highlight w:val="none"/>
        </w:rPr>
        <w:t>，</w:t>
      </w:r>
      <w:r>
        <w:rPr>
          <w:rFonts w:hint="default" w:eastAsia="宋体" w:cs="Times New Roman" w:asciiTheme="minorAscii" w:hAnsiTheme="minorAscii"/>
          <w:bCs/>
          <w:kern w:val="2"/>
          <w:sz w:val="24"/>
          <w:highlight w:val="none"/>
          <w:lang w:val="en-US" w:eastAsia="zh-CN"/>
        </w:rPr>
        <w:t>管理人应当提前在网站上公告，</w:t>
      </w:r>
      <w:r>
        <w:rPr>
          <w:rFonts w:hint="default" w:eastAsia="宋体" w:cs="Times New Roman" w:asciiTheme="minorAscii" w:hAnsiTheme="minorAscii"/>
          <w:bCs/>
          <w:kern w:val="2"/>
          <w:sz w:val="24"/>
          <w:highlight w:val="none"/>
        </w:rPr>
        <w:t>不同意业绩报酬计提基准</w:t>
      </w:r>
      <w:r>
        <w:rPr>
          <w:rFonts w:hint="default" w:eastAsia="宋体" w:cs="Times New Roman" w:asciiTheme="minorAscii" w:hAnsiTheme="minorAscii"/>
          <w:bCs/>
          <w:kern w:val="2"/>
          <w:sz w:val="24"/>
          <w:highlight w:val="none"/>
          <w:lang w:val="en-US" w:eastAsia="zh-CN"/>
        </w:rPr>
        <w:t>或比例</w:t>
      </w:r>
      <w:r>
        <w:rPr>
          <w:rFonts w:hint="default" w:eastAsia="宋体" w:cs="Times New Roman" w:asciiTheme="minorAscii" w:hAnsiTheme="minorAscii"/>
          <w:bCs/>
          <w:kern w:val="2"/>
          <w:sz w:val="24"/>
          <w:highlight w:val="none"/>
        </w:rPr>
        <w:t>调整的投资者可在开放期退出</w:t>
      </w:r>
      <w:r>
        <w:rPr>
          <w:rFonts w:hint="default" w:eastAsia="宋体" w:cs="Times New Roman" w:asciiTheme="minorAscii" w:hAnsiTheme="minorAscii"/>
          <w:bCs/>
          <w:kern w:val="2"/>
          <w:sz w:val="24"/>
          <w:highlight w:val="none"/>
          <w:lang w:eastAsia="zh-CN"/>
        </w:rPr>
        <w:t>。</w:t>
      </w:r>
    </w:p>
    <w:p>
      <w:pPr>
        <w:spacing w:line="360" w:lineRule="auto"/>
        <w:ind w:firstLine="480" w:firstLineChars="200"/>
        <w:rPr>
          <w:rFonts w:hint="default" w:asciiTheme="minorAscii" w:hAnsiTheme="minorAscii"/>
          <w:sz w:val="24"/>
          <w:highlight w:val="none"/>
        </w:rPr>
      </w:pPr>
      <w:r>
        <w:rPr>
          <w:rFonts w:hint="default" w:asciiTheme="minorAscii" w:hAnsiTheme="minorAscii"/>
          <w:bCs/>
          <w:sz w:val="24"/>
          <w:highlight w:val="none"/>
        </w:rPr>
        <w:t>首个封闭期业绩报酬计提基准区间[b,a]中，b和a分别为产品成立时中国人民银行一年期定期存款基准利率（1.5%）+</w:t>
      </w:r>
      <w:r>
        <w:rPr>
          <w:rFonts w:hint="eastAsia" w:asciiTheme="minorAscii" w:hAnsiTheme="minorAscii"/>
          <w:bCs/>
          <w:sz w:val="24"/>
          <w:highlight w:val="none"/>
          <w:lang w:val="en-US" w:eastAsia="zh-CN"/>
        </w:rPr>
        <w:t xml:space="preserve"> 1.8</w:t>
      </w:r>
      <w:r>
        <w:rPr>
          <w:rFonts w:hint="default" w:asciiTheme="minorAscii" w:hAnsiTheme="minorAscii"/>
          <w:bCs/>
          <w:sz w:val="24"/>
          <w:highlight w:val="none"/>
        </w:rPr>
        <w:t>%以及（1.5%）+</w:t>
      </w:r>
      <w:r>
        <w:rPr>
          <w:rFonts w:hint="eastAsia" w:asciiTheme="minorAscii" w:hAnsiTheme="minorAscii"/>
          <w:bCs/>
          <w:sz w:val="24"/>
          <w:highlight w:val="none"/>
          <w:lang w:val="en-US" w:eastAsia="zh-CN"/>
        </w:rPr>
        <w:t xml:space="preserve"> 2.3</w:t>
      </w:r>
      <w:r>
        <w:rPr>
          <w:rFonts w:hint="default" w:asciiTheme="minorAscii" w:hAnsiTheme="minorAscii"/>
          <w:bCs/>
          <w:sz w:val="24"/>
          <w:highlight w:val="none"/>
        </w:rPr>
        <w:t>%，封闭期内若一年期定期存款基准利率调整，业绩报酬计提基准不作变更。其后每个封闭期的业绩报酬计提基准，管理人将根据实际情况进行适当调整，届时以管理人公告为准。</w:t>
      </w:r>
      <w:r>
        <w:rPr>
          <w:rFonts w:hint="default" w:asciiTheme="minorAscii" w:hAnsiTheme="minorAscii"/>
          <w:b/>
          <w:bCs w:val="0"/>
          <w:sz w:val="24"/>
          <w:highlight w:val="none"/>
        </w:rPr>
        <w:t>业绩报酬计提基准仅作为管理人提取业绩报酬的计算标准，不代表对资产管理计划未来收益的承诺或保证。管理人不保证资产管理计划一定盈利，也不保证最低收益。</w:t>
      </w:r>
    </w:p>
    <w:p>
      <w:pPr>
        <w:spacing w:line="360" w:lineRule="auto"/>
        <w:ind w:firstLine="482" w:firstLineChars="200"/>
        <w:rPr>
          <w:rFonts w:hint="default" w:cs="宋体,Bold" w:asciiTheme="minorAscii" w:hAnsiTheme="minorAscii"/>
          <w:bCs/>
          <w:color w:val="000000"/>
          <w:kern w:val="0"/>
          <w:sz w:val="24"/>
          <w:highlight w:val="none"/>
        </w:rPr>
      </w:pPr>
      <w:r>
        <w:rPr>
          <w:rFonts w:hint="default" w:asciiTheme="minorAscii" w:hAnsiTheme="minorAscii"/>
          <w:b/>
          <w:sz w:val="24"/>
          <w:highlight w:val="none"/>
        </w:rPr>
        <w:t>12、参与金额：</w:t>
      </w:r>
      <w:r>
        <w:rPr>
          <w:rFonts w:hint="default" w:cs="宋体,Bold" w:asciiTheme="minorAscii" w:hAnsiTheme="minorAscii"/>
          <w:bCs/>
          <w:color w:val="000000"/>
          <w:kern w:val="0"/>
          <w:sz w:val="24"/>
          <w:highlight w:val="none"/>
        </w:rPr>
        <w:t>首次参与计划的最低金额为人民币</w:t>
      </w:r>
      <w:r>
        <w:rPr>
          <w:rFonts w:hint="eastAsia" w:cs="宋体,Bold" w:asciiTheme="minorAscii" w:hAnsiTheme="minorAscii"/>
          <w:bCs/>
          <w:color w:val="000000"/>
          <w:kern w:val="0"/>
          <w:sz w:val="24"/>
          <w:highlight w:val="none"/>
          <w:lang w:val="en-US" w:eastAsia="zh-CN"/>
        </w:rPr>
        <w:t>30</w:t>
      </w:r>
      <w:r>
        <w:rPr>
          <w:rFonts w:hint="default" w:cs="宋体,Bold" w:asciiTheme="minorAscii" w:hAnsiTheme="minorAscii"/>
          <w:bCs/>
          <w:color w:val="000000"/>
          <w:kern w:val="0"/>
          <w:sz w:val="24"/>
          <w:highlight w:val="none"/>
        </w:rPr>
        <w:t>万元；对于已经是本集合计划</w:t>
      </w:r>
      <w:r>
        <w:rPr>
          <w:rFonts w:hint="default" w:cs="宋体,Bold" w:asciiTheme="minorAscii" w:hAnsiTheme="minorAscii"/>
          <w:bCs/>
          <w:color w:val="000000"/>
          <w:kern w:val="0"/>
          <w:sz w:val="24"/>
          <w:highlight w:val="none"/>
          <w:lang w:val="en-US" w:eastAsia="zh-CN"/>
        </w:rPr>
        <w:t>投资者</w:t>
      </w:r>
      <w:r>
        <w:rPr>
          <w:rFonts w:hint="default" w:cs="宋体,Bold" w:asciiTheme="minorAscii" w:hAnsiTheme="minorAscii"/>
          <w:bCs/>
          <w:color w:val="000000"/>
          <w:kern w:val="0"/>
          <w:sz w:val="24"/>
          <w:highlight w:val="none"/>
        </w:rPr>
        <w:t>的投资者，追加参与最低金额为</w:t>
      </w:r>
      <w:r>
        <w:rPr>
          <w:rFonts w:hint="default" w:cs="宋体,Bold" w:asciiTheme="minorAscii" w:hAnsiTheme="minorAscii"/>
          <w:bCs/>
          <w:color w:val="000000"/>
          <w:kern w:val="0"/>
          <w:sz w:val="24"/>
          <w:highlight w:val="none"/>
          <w:lang w:val="en-US" w:eastAsia="zh-CN"/>
        </w:rPr>
        <w:t>1000</w:t>
      </w:r>
      <w:r>
        <w:rPr>
          <w:rFonts w:hint="default" w:cs="宋体,Bold" w:asciiTheme="minorAscii" w:hAnsiTheme="minorAscii"/>
          <w:bCs/>
          <w:color w:val="000000"/>
          <w:kern w:val="0"/>
          <w:sz w:val="24"/>
          <w:highlight w:val="none"/>
        </w:rPr>
        <w:t>元人民币。</w:t>
      </w:r>
    </w:p>
    <w:p>
      <w:pPr>
        <w:spacing w:line="360" w:lineRule="auto"/>
        <w:ind w:firstLine="482" w:firstLineChars="200"/>
        <w:rPr>
          <w:rFonts w:hint="default" w:asciiTheme="minorAscii" w:hAnsiTheme="minorAscii"/>
          <w:b/>
          <w:sz w:val="24"/>
          <w:highlight w:val="none"/>
        </w:rPr>
      </w:pPr>
      <w:r>
        <w:rPr>
          <w:rFonts w:hint="default" w:asciiTheme="minorAscii" w:hAnsiTheme="minorAscii"/>
          <w:b/>
          <w:sz w:val="24"/>
          <w:highlight w:val="none"/>
        </w:rPr>
        <w:t>13、投资范围及投资比例</w:t>
      </w:r>
    </w:p>
    <w:p>
      <w:pPr>
        <w:tabs>
          <w:tab w:val="right" w:pos="8306"/>
        </w:tabs>
        <w:autoSpaceDE w:val="0"/>
        <w:autoSpaceDN w:val="0"/>
        <w:adjustRightInd w:val="0"/>
        <w:spacing w:line="360" w:lineRule="auto"/>
        <w:ind w:firstLine="480" w:firstLineChars="200"/>
        <w:rPr>
          <w:rFonts w:hint="default" w:asciiTheme="minorAscii" w:hAnsiTheme="minorAscii"/>
          <w:sz w:val="24"/>
          <w:highlight w:val="none"/>
        </w:rPr>
      </w:pPr>
      <w:r>
        <w:rPr>
          <w:rFonts w:hint="default" w:asciiTheme="minorAscii" w:hAnsiTheme="minorAscii"/>
          <w:sz w:val="24"/>
          <w:highlight w:val="none"/>
        </w:rPr>
        <w:t>（1）投资范围：</w:t>
      </w:r>
    </w:p>
    <w:p>
      <w:pPr>
        <w:adjustRightInd w:val="0"/>
        <w:snapToGrid w:val="0"/>
        <w:spacing w:line="360" w:lineRule="auto"/>
        <w:ind w:firstLine="484" w:firstLineChars="202"/>
        <w:rPr>
          <w:rFonts w:hint="default" w:cs="宋体,Bold" w:asciiTheme="minorAscii" w:hAnsiTheme="minorAscii"/>
          <w:bCs/>
          <w:color w:val="000000"/>
          <w:kern w:val="0"/>
          <w:sz w:val="24"/>
          <w:highlight w:val="none"/>
        </w:rPr>
      </w:pPr>
      <w:r>
        <w:rPr>
          <w:rFonts w:hint="eastAsia" w:cs="宋体,Bold" w:asciiTheme="minorAscii" w:hAnsiTheme="minorAscii"/>
          <w:bCs/>
          <w:color w:val="000000"/>
          <w:kern w:val="0"/>
          <w:sz w:val="24"/>
          <w:highlight w:val="none"/>
          <w:lang w:val="en-US" w:eastAsia="zh-CN"/>
        </w:rPr>
        <w:t>（a）银行存款、国内依法发行的国债、中央银行票据、地方政府债、各类金融债（含次级债、混合资本债等）、企业债券、公司债券（含非公开发行公司债）、可转债、可交换债、永续债、同业存单、超短期融资券、短期融资券、中期票据、非公开定向债务融资工具、资产支持证券（票据）、货币市场基金、债券型公募基金及中国证监会允许本集合计划投资的其他固定收益类品种；</w:t>
      </w:r>
    </w:p>
    <w:p>
      <w:pPr>
        <w:adjustRightInd w:val="0"/>
        <w:snapToGrid w:val="0"/>
        <w:spacing w:line="360" w:lineRule="auto"/>
        <w:ind w:firstLine="484" w:firstLineChars="202"/>
        <w:rPr>
          <w:rFonts w:hint="default" w:cs="宋体,Bold" w:asciiTheme="minorAscii" w:hAnsiTheme="minorAscii"/>
          <w:bCs/>
          <w:color w:val="000000"/>
          <w:kern w:val="0"/>
          <w:sz w:val="24"/>
          <w:highlight w:val="none"/>
        </w:rPr>
      </w:pPr>
      <w:r>
        <w:rPr>
          <w:rFonts w:hint="eastAsia" w:cs="宋体,Bold" w:asciiTheme="minorAscii" w:hAnsiTheme="minorAscii"/>
          <w:bCs/>
          <w:color w:val="000000"/>
          <w:kern w:val="0"/>
          <w:sz w:val="24"/>
          <w:highlight w:val="none"/>
          <w:lang w:val="en-US" w:eastAsia="zh-CN"/>
        </w:rPr>
        <w:t>（b）</w:t>
      </w:r>
      <w:r>
        <w:rPr>
          <w:rFonts w:hint="default" w:cs="宋体,Bold" w:asciiTheme="minorAscii" w:hAnsiTheme="minorAscii"/>
          <w:bCs/>
          <w:color w:val="000000"/>
          <w:kern w:val="0"/>
          <w:sz w:val="24"/>
          <w:highlight w:val="none"/>
        </w:rPr>
        <w:t>本计划可参与A股定向增发股票，可参与可转债与可交换债转股；</w:t>
      </w:r>
    </w:p>
    <w:p>
      <w:pPr>
        <w:adjustRightInd w:val="0"/>
        <w:snapToGrid w:val="0"/>
        <w:spacing w:line="360" w:lineRule="auto"/>
        <w:ind w:firstLine="484" w:firstLineChars="202"/>
        <w:rPr>
          <w:rFonts w:hint="default" w:cs="宋体,Bold" w:asciiTheme="minorAscii" w:hAnsiTheme="minorAscii"/>
          <w:bCs/>
          <w:color w:val="000000"/>
          <w:kern w:val="0"/>
          <w:sz w:val="24"/>
          <w:highlight w:val="none"/>
        </w:rPr>
      </w:pPr>
      <w:r>
        <w:rPr>
          <w:rFonts w:hint="eastAsia" w:cs="宋体,Bold" w:asciiTheme="minorAscii" w:hAnsiTheme="minorAscii"/>
          <w:bCs/>
          <w:color w:val="000000"/>
          <w:kern w:val="0"/>
          <w:sz w:val="24"/>
          <w:highlight w:val="none"/>
          <w:lang w:val="en-US" w:eastAsia="zh-CN"/>
        </w:rPr>
        <w:t>（c）本集合计划可参与债券回购（包含正回购和逆回购）</w:t>
      </w:r>
      <w:r>
        <w:rPr>
          <w:rFonts w:hint="default" w:cs="宋体,Bold" w:asciiTheme="minorAscii" w:hAnsiTheme="minorAscii"/>
          <w:bCs/>
          <w:color w:val="000000"/>
          <w:kern w:val="0"/>
          <w:sz w:val="24"/>
          <w:highlight w:val="none"/>
        </w:rPr>
        <w:t>。</w:t>
      </w:r>
    </w:p>
    <w:p>
      <w:pPr>
        <w:adjustRightInd w:val="0"/>
        <w:snapToGrid w:val="0"/>
        <w:spacing w:line="360" w:lineRule="auto"/>
        <w:ind w:firstLine="484" w:firstLineChars="202"/>
        <w:rPr>
          <w:rFonts w:hint="default" w:cs="宋体,Bold" w:asciiTheme="minorAscii" w:hAnsiTheme="minorAscii"/>
          <w:bCs/>
          <w:color w:val="000000"/>
          <w:kern w:val="0"/>
          <w:sz w:val="24"/>
          <w:highlight w:val="none"/>
        </w:rPr>
      </w:pPr>
      <w:r>
        <w:rPr>
          <w:rFonts w:hint="default" w:cs="宋体,Bold" w:asciiTheme="minorAscii" w:hAnsiTheme="minorAscii"/>
          <w:bCs/>
          <w:color w:val="000000"/>
          <w:kern w:val="0"/>
          <w:sz w:val="24"/>
          <w:highlight w:val="none"/>
        </w:rPr>
        <w:t>法律法规或中国证监会允许集合计划投资其他品种的，资产管理人在履行合同变更程序后，可以将其纳入本集合计划的投资范围。法律法规或中国证监会变更集合计划原有投资品种投资比例限制的，资产管理人在履行合同变更程序后，可以相应调整本集合计划的投资比例上限规定。</w:t>
      </w:r>
    </w:p>
    <w:p>
      <w:pPr>
        <w:spacing w:line="360" w:lineRule="auto"/>
        <w:ind w:firstLine="480" w:firstLineChars="200"/>
        <w:rPr>
          <w:rFonts w:hint="default" w:cs="宋体,Bold" w:asciiTheme="minorAscii" w:hAnsiTheme="minorAscii"/>
          <w:bCs/>
          <w:kern w:val="0"/>
          <w:sz w:val="24"/>
          <w:highlight w:val="none"/>
        </w:rPr>
      </w:pPr>
      <w:r>
        <w:rPr>
          <w:rFonts w:hint="default" w:cs="宋体,Bold" w:asciiTheme="minorAscii" w:hAnsiTheme="minorAscii"/>
          <w:bCs/>
          <w:kern w:val="0"/>
          <w:sz w:val="24"/>
          <w:highlight w:val="none"/>
        </w:rPr>
        <w:t>（2）</w:t>
      </w:r>
      <w:r>
        <w:rPr>
          <w:rFonts w:hint="eastAsia" w:cs="宋体,Bold" w:asciiTheme="minorAscii" w:hAnsiTheme="minorAscii"/>
          <w:bCs/>
          <w:kern w:val="0"/>
          <w:sz w:val="24"/>
          <w:highlight w:val="none"/>
          <w:lang w:val="en-US" w:eastAsia="zh-CN"/>
        </w:rPr>
        <w:t>资产配置</w:t>
      </w:r>
      <w:r>
        <w:rPr>
          <w:rFonts w:hint="default" w:cs="宋体,Bold" w:asciiTheme="minorAscii" w:hAnsiTheme="minorAscii"/>
          <w:bCs/>
          <w:kern w:val="0"/>
          <w:sz w:val="24"/>
          <w:highlight w:val="none"/>
        </w:rPr>
        <w:t>比例：</w:t>
      </w:r>
    </w:p>
    <w:p>
      <w:pPr>
        <w:tabs>
          <w:tab w:val="right" w:pos="8306"/>
        </w:tabs>
        <w:autoSpaceDE w:val="0"/>
        <w:autoSpaceDN w:val="0"/>
        <w:adjustRightInd w:val="0"/>
        <w:spacing w:line="360" w:lineRule="auto"/>
        <w:ind w:firstLine="480" w:firstLineChars="200"/>
        <w:rPr>
          <w:rFonts w:hint="eastAsia" w:eastAsia="宋体" w:asciiTheme="minorAscii" w:hAnsiTheme="minorAscii"/>
          <w:sz w:val="24"/>
          <w:highlight w:val="none"/>
          <w:lang w:eastAsia="zh-CN"/>
        </w:rPr>
      </w:pPr>
      <w:r>
        <w:rPr>
          <w:rFonts w:hint="eastAsia" w:cs="宋体,Bold" w:asciiTheme="minorAscii" w:hAnsiTheme="minorAscii"/>
          <w:bCs/>
          <w:color w:val="000000"/>
          <w:kern w:val="0"/>
          <w:sz w:val="24"/>
          <w:highlight w:val="none"/>
          <w:lang w:val="en-US" w:eastAsia="zh-CN"/>
        </w:rPr>
        <w:t>（a）本集合计划投资固定收益类资产比例为资产总值的80-100%，总资产占净资产的比例不超过200%，参与债券正回购资金余额或债券逆回购资金余额不得超过本计划上一日净资产的100%，中国证监会另有规定的除外</w:t>
      </w:r>
      <w:r>
        <w:rPr>
          <w:rFonts w:hint="eastAsia" w:eastAsia="宋体" w:asciiTheme="minorAscii" w:hAnsiTheme="minorAscii"/>
          <w:sz w:val="24"/>
          <w:highlight w:val="none"/>
          <w:lang w:eastAsia="zh-CN"/>
        </w:rPr>
        <w:t>。</w:t>
      </w:r>
    </w:p>
    <w:p>
      <w:pPr>
        <w:tabs>
          <w:tab w:val="right" w:pos="8306"/>
        </w:tabs>
        <w:autoSpaceDE w:val="0"/>
        <w:autoSpaceDN w:val="0"/>
        <w:adjustRightInd w:val="0"/>
        <w:spacing w:line="360" w:lineRule="auto"/>
        <w:ind w:firstLine="480" w:firstLineChars="200"/>
        <w:rPr>
          <w:rFonts w:hint="eastAsia" w:eastAsia="宋体" w:asciiTheme="minorAscii" w:hAnsiTheme="minorAscii"/>
          <w:sz w:val="24"/>
          <w:highlight w:val="none"/>
          <w:lang w:eastAsia="zh-CN"/>
        </w:rPr>
      </w:pPr>
      <w:r>
        <w:rPr>
          <w:rFonts w:hint="eastAsia" w:cs="宋体,Bold" w:asciiTheme="minorAscii" w:hAnsiTheme="minorAscii"/>
          <w:bCs/>
          <w:color w:val="000000"/>
          <w:kern w:val="0"/>
          <w:sz w:val="24"/>
          <w:highlight w:val="none"/>
          <w:lang w:val="en-US" w:eastAsia="zh-CN"/>
        </w:rPr>
        <w:t>（b）本集合计划投资于同一资产的资金，不超过该计划资产净值的25%；管理人管理的全部集合计划投资于同一资产的资金，不得超过该资产的25%；银行活期存款、国债、中央银行票据、政策性金融债、地方政府债券等中国证监会认可的投资品种除外</w:t>
      </w:r>
      <w:r>
        <w:rPr>
          <w:rFonts w:hint="eastAsia" w:eastAsia="宋体" w:asciiTheme="minorAscii" w:hAnsiTheme="minorAscii"/>
          <w:sz w:val="24"/>
          <w:highlight w:val="none"/>
          <w:lang w:eastAsia="zh-CN"/>
        </w:rPr>
        <w:t>。</w:t>
      </w:r>
    </w:p>
    <w:p>
      <w:pPr>
        <w:tabs>
          <w:tab w:val="right" w:pos="8306"/>
        </w:tabs>
        <w:autoSpaceDE w:val="0"/>
        <w:autoSpaceDN w:val="0"/>
        <w:adjustRightInd w:val="0"/>
        <w:spacing w:line="360" w:lineRule="auto"/>
        <w:ind w:firstLine="480" w:firstLineChars="200"/>
        <w:rPr>
          <w:rFonts w:hint="eastAsia" w:eastAsia="宋体" w:asciiTheme="minorAscii" w:hAnsiTheme="minorAscii"/>
          <w:sz w:val="24"/>
          <w:highlight w:val="none"/>
          <w:lang w:eastAsia="zh-CN"/>
        </w:rPr>
      </w:pPr>
      <w:r>
        <w:rPr>
          <w:rFonts w:hint="eastAsia" w:eastAsia="宋体" w:asciiTheme="minorAscii" w:hAnsiTheme="minorAscii"/>
          <w:sz w:val="24"/>
          <w:highlight w:val="none"/>
        </w:rPr>
        <w:t>全部投资者均为符合中国证监会规定的专业投资者且单个投资者投资金额不低于1000万元的封闭式集合资产管理计划，以及完全按照有关指数的构成比例进行证券投资的资产管理计划等中国证监会认可的其他集合资产管理计划，不受前款规定的投资比例限制。</w:t>
      </w:r>
    </w:p>
    <w:p>
      <w:pPr>
        <w:tabs>
          <w:tab w:val="right" w:pos="8306"/>
        </w:tabs>
        <w:autoSpaceDE w:val="0"/>
        <w:autoSpaceDN w:val="0"/>
        <w:adjustRightInd w:val="0"/>
        <w:spacing w:line="360" w:lineRule="auto"/>
        <w:ind w:firstLine="480" w:firstLineChars="200"/>
        <w:rPr>
          <w:rFonts w:hint="eastAsia" w:eastAsia="宋体" w:asciiTheme="minorAscii" w:hAnsiTheme="minorAscii"/>
          <w:sz w:val="24"/>
          <w:highlight w:val="none"/>
          <w:lang w:eastAsia="zh-CN"/>
        </w:rPr>
      </w:pPr>
      <w:r>
        <w:rPr>
          <w:rFonts w:hint="eastAsia" w:cs="宋体,Bold" w:asciiTheme="minorAscii" w:hAnsiTheme="minorAscii"/>
          <w:bCs/>
          <w:color w:val="000000"/>
          <w:kern w:val="0"/>
          <w:sz w:val="24"/>
          <w:highlight w:val="none"/>
          <w:lang w:val="en-US" w:eastAsia="zh-CN"/>
        </w:rPr>
        <w:t>（c）本集合计划投资可转债、可交换债等资产金额不超过计划资产净值的20%</w:t>
      </w:r>
      <w:r>
        <w:rPr>
          <w:rFonts w:hint="eastAsia" w:eastAsia="宋体" w:asciiTheme="minorAscii" w:hAnsiTheme="minorAscii"/>
          <w:sz w:val="24"/>
          <w:highlight w:val="none"/>
          <w:lang w:eastAsia="zh-CN"/>
        </w:rPr>
        <w:t>。</w:t>
      </w:r>
    </w:p>
    <w:p>
      <w:pPr>
        <w:tabs>
          <w:tab w:val="right" w:pos="8306"/>
        </w:tabs>
        <w:autoSpaceDE w:val="0"/>
        <w:autoSpaceDN w:val="0"/>
        <w:adjustRightInd w:val="0"/>
        <w:spacing w:line="360" w:lineRule="auto"/>
        <w:ind w:firstLine="480" w:firstLineChars="200"/>
        <w:rPr>
          <w:rFonts w:hint="eastAsia" w:cs="宋体,Bold" w:asciiTheme="minorAscii" w:hAnsiTheme="minorAscii"/>
          <w:bCs/>
          <w:color w:val="000000"/>
          <w:kern w:val="0"/>
          <w:sz w:val="24"/>
          <w:highlight w:val="none"/>
          <w:lang w:val="en-US" w:eastAsia="zh-CN"/>
        </w:rPr>
      </w:pPr>
      <w:r>
        <w:rPr>
          <w:rFonts w:hint="eastAsia" w:cs="宋体,Bold" w:asciiTheme="minorAscii" w:hAnsiTheme="minorAscii"/>
          <w:bCs/>
          <w:color w:val="000000"/>
          <w:kern w:val="0"/>
          <w:sz w:val="24"/>
          <w:highlight w:val="none"/>
          <w:lang w:val="en-US" w:eastAsia="zh-CN"/>
        </w:rPr>
        <w:t>（d）本集合计划参与权益类资产不超过计划资产净值的20%。</w:t>
      </w:r>
    </w:p>
    <w:p>
      <w:pPr>
        <w:tabs>
          <w:tab w:val="right" w:pos="8306"/>
        </w:tabs>
        <w:autoSpaceDE w:val="0"/>
        <w:autoSpaceDN w:val="0"/>
        <w:adjustRightInd w:val="0"/>
        <w:spacing w:line="360" w:lineRule="auto"/>
        <w:ind w:firstLine="480" w:firstLineChars="200"/>
        <w:rPr>
          <w:rFonts w:hint="default" w:cs="宋体,Bold" w:asciiTheme="minorAscii" w:hAnsiTheme="minorAscii"/>
          <w:bCs/>
          <w:color w:val="000000"/>
          <w:kern w:val="0"/>
          <w:sz w:val="24"/>
          <w:highlight w:val="none"/>
          <w:lang w:val="en-US" w:eastAsia="zh-CN"/>
        </w:rPr>
      </w:pPr>
      <w:r>
        <w:rPr>
          <w:rFonts w:hint="eastAsia" w:cs="宋体,Bold" w:asciiTheme="minorAscii" w:hAnsiTheme="minorAscii"/>
          <w:bCs/>
          <w:color w:val="000000"/>
          <w:kern w:val="0"/>
          <w:sz w:val="24"/>
          <w:highlight w:val="none"/>
          <w:lang w:val="en-US" w:eastAsia="zh-CN"/>
        </w:rPr>
        <w:t>（e）本集合计划投资于同一发行人及其关联方发行的债券的比例超过其净资产50%的，该资产管理计划的总资产不得超过其净资产的120%。本集合计划投资于国债、中央银行票据、政策性金融债、地方政府债券等中国证监会认可的投资品种不受前述规定限制。</w:t>
      </w:r>
    </w:p>
    <w:p>
      <w:pPr>
        <w:tabs>
          <w:tab w:val="right" w:pos="8306"/>
        </w:tabs>
        <w:autoSpaceDE w:val="0"/>
        <w:autoSpaceDN w:val="0"/>
        <w:adjustRightInd w:val="0"/>
        <w:spacing w:line="360" w:lineRule="auto"/>
        <w:ind w:firstLine="480" w:firstLineChars="200"/>
        <w:rPr>
          <w:rFonts w:hint="eastAsia" w:eastAsia="宋体" w:asciiTheme="minorAscii" w:hAnsiTheme="minorAscii"/>
          <w:sz w:val="24"/>
          <w:highlight w:val="none"/>
        </w:rPr>
      </w:pPr>
      <w:r>
        <w:rPr>
          <w:rFonts w:hint="eastAsia" w:eastAsia="宋体" w:asciiTheme="minorAscii" w:hAnsiTheme="minorAscii"/>
          <w:sz w:val="24"/>
          <w:highlight w:val="none"/>
        </w:rPr>
        <w:t>法律法规或中国证监会允许计划投资其他品种的，资产管理人应事先取得投资者同意，在履行合同变更程序后，可以将其纳入本集合计划的投资范围。</w:t>
      </w:r>
    </w:p>
    <w:p>
      <w:pPr>
        <w:tabs>
          <w:tab w:val="right" w:pos="8306"/>
        </w:tabs>
        <w:autoSpaceDE w:val="0"/>
        <w:autoSpaceDN w:val="0"/>
        <w:adjustRightInd w:val="0"/>
        <w:spacing w:line="360" w:lineRule="auto"/>
        <w:ind w:firstLine="480" w:firstLineChars="200"/>
        <w:rPr>
          <w:rFonts w:hint="eastAsia" w:eastAsia="宋体" w:asciiTheme="minorAscii" w:hAnsiTheme="minorAscii"/>
          <w:sz w:val="24"/>
          <w:highlight w:val="none"/>
        </w:rPr>
      </w:pPr>
      <w:r>
        <w:rPr>
          <w:rFonts w:hint="eastAsia" w:eastAsia="宋体" w:asciiTheme="minorAscii" w:hAnsiTheme="minorAscii"/>
          <w:sz w:val="24"/>
          <w:highlight w:val="none"/>
        </w:rPr>
        <w:t>本计划成立后备案完成前，管理人可以现金管理为目的，投资于银行活期存款、国债、中央银行票据、政策性金融债、地方政府债券、货币市场基金等中国证监会认可的投资品种。</w:t>
      </w:r>
    </w:p>
    <w:p>
      <w:pPr>
        <w:numPr>
          <w:ilvl w:val="0"/>
          <w:numId w:val="1"/>
        </w:numPr>
        <w:spacing w:line="360" w:lineRule="auto"/>
        <w:ind w:firstLine="482" w:firstLineChars="200"/>
        <w:rPr>
          <w:rFonts w:hint="default" w:asciiTheme="minorAscii" w:hAnsiTheme="minorAscii"/>
          <w:sz w:val="24"/>
          <w:highlight w:val="none"/>
        </w:rPr>
      </w:pPr>
      <w:r>
        <w:rPr>
          <w:rFonts w:hint="default" w:asciiTheme="minorAscii" w:hAnsiTheme="minorAscii"/>
          <w:b/>
          <w:sz w:val="24"/>
          <w:highlight w:val="none"/>
        </w:rPr>
        <w:t>参与价格：</w:t>
      </w:r>
      <w:r>
        <w:rPr>
          <w:rFonts w:hint="default" w:asciiTheme="minorAscii" w:hAnsiTheme="minorAscii"/>
          <w:sz w:val="24"/>
          <w:highlight w:val="none"/>
        </w:rPr>
        <w:t>募集期间单位计划参与价格为计划份额面值，即人民币1.00元</w:t>
      </w:r>
      <w:r>
        <w:rPr>
          <w:rFonts w:hint="default" w:asciiTheme="minorAscii" w:hAnsiTheme="minorAscii"/>
          <w:sz w:val="24"/>
          <w:highlight w:val="none"/>
          <w:lang w:eastAsia="zh-CN"/>
        </w:rPr>
        <w:t>，</w:t>
      </w:r>
      <w:r>
        <w:rPr>
          <w:rFonts w:hint="default" w:eastAsia="宋体" w:cs="Times New Roman" w:asciiTheme="minorAscii" w:hAnsiTheme="minorAscii"/>
          <w:sz w:val="24"/>
          <w:szCs w:val="24"/>
          <w:highlight w:val="none"/>
          <w:lang w:eastAsia="zh-CN"/>
        </w:rPr>
        <w:t>存续期参与价格为</w:t>
      </w:r>
      <w:r>
        <w:rPr>
          <w:rFonts w:hint="default" w:eastAsia="宋体" w:cs="Times New Roman" w:asciiTheme="minorAscii" w:hAnsiTheme="minorAscii"/>
          <w:sz w:val="24"/>
          <w:szCs w:val="24"/>
          <w:highlight w:val="none"/>
        </w:rPr>
        <w:t>所在交易日的资产管理计划份额净值</w:t>
      </w:r>
      <w:r>
        <w:rPr>
          <w:rFonts w:hint="eastAsia" w:eastAsia="宋体" w:cs="Times New Roman" w:asciiTheme="minorAscii" w:hAnsiTheme="minorAscii"/>
          <w:sz w:val="24"/>
          <w:szCs w:val="24"/>
          <w:highlight w:val="none"/>
          <w:lang w:eastAsia="zh-CN"/>
        </w:rPr>
        <w:t>。</w:t>
      </w:r>
    </w:p>
    <w:p>
      <w:pPr>
        <w:spacing w:line="360" w:lineRule="auto"/>
        <w:ind w:firstLine="480" w:firstLineChars="200"/>
        <w:rPr>
          <w:rFonts w:hint="default" w:asciiTheme="minorAscii" w:hAnsiTheme="minorAscii"/>
          <w:sz w:val="24"/>
          <w:highlight w:val="none"/>
        </w:rPr>
      </w:pPr>
    </w:p>
    <w:p>
      <w:pPr>
        <w:spacing w:line="360" w:lineRule="auto"/>
        <w:jc w:val="center"/>
        <w:outlineLvl w:val="0"/>
        <w:rPr>
          <w:rFonts w:hint="default" w:asciiTheme="minorAscii" w:hAnsiTheme="minorAscii"/>
          <w:b/>
          <w:sz w:val="28"/>
          <w:szCs w:val="28"/>
          <w:highlight w:val="none"/>
        </w:rPr>
      </w:pPr>
      <w:r>
        <w:rPr>
          <w:rFonts w:hint="default" w:asciiTheme="minorAscii" w:hAnsiTheme="minorAscii"/>
          <w:b/>
          <w:sz w:val="28"/>
          <w:szCs w:val="28"/>
          <w:highlight w:val="none"/>
        </w:rPr>
        <w:t>三、</w:t>
      </w:r>
      <w:r>
        <w:rPr>
          <w:rFonts w:hint="eastAsia" w:asciiTheme="minorAscii" w:hAnsiTheme="minorAscii"/>
          <w:b/>
          <w:sz w:val="28"/>
          <w:szCs w:val="28"/>
          <w:highlight w:val="none"/>
          <w:lang w:eastAsia="zh-CN"/>
        </w:rPr>
        <w:t>募集</w:t>
      </w:r>
      <w:r>
        <w:rPr>
          <w:rFonts w:hint="default" w:asciiTheme="minorAscii" w:hAnsiTheme="minorAscii"/>
          <w:b/>
          <w:sz w:val="28"/>
          <w:szCs w:val="28"/>
          <w:highlight w:val="none"/>
        </w:rPr>
        <w:t>对象</w:t>
      </w:r>
    </w:p>
    <w:p>
      <w:pPr>
        <w:spacing w:line="360" w:lineRule="auto"/>
        <w:ind w:firstLine="600" w:firstLineChars="250"/>
        <w:rPr>
          <w:rFonts w:hint="default" w:asciiTheme="minorAscii" w:hAnsiTheme="minorAscii"/>
          <w:sz w:val="24"/>
          <w:highlight w:val="none"/>
        </w:rPr>
      </w:pPr>
      <w:r>
        <w:rPr>
          <w:rFonts w:hint="default" w:asciiTheme="minorAscii" w:hAnsiTheme="minorAscii"/>
          <w:sz w:val="24"/>
          <w:highlight w:val="none"/>
        </w:rPr>
        <w:t>本计划向合格投资者非公开募集，计划份额持有人不得超过200人。本计划以固定收益类资产投资为主，风险评级为R2级，可面向C2、C3、C4和C5类</w:t>
      </w:r>
      <w:r>
        <w:rPr>
          <w:rFonts w:hint="eastAsia" w:asciiTheme="minorAscii" w:hAnsiTheme="minorAscii"/>
          <w:sz w:val="24"/>
          <w:highlight w:val="none"/>
          <w:lang w:eastAsia="zh-CN"/>
        </w:rPr>
        <w:t>合格</w:t>
      </w:r>
      <w:r>
        <w:rPr>
          <w:rFonts w:hint="default" w:asciiTheme="minorAscii" w:hAnsiTheme="minorAscii"/>
          <w:sz w:val="24"/>
          <w:highlight w:val="none"/>
        </w:rPr>
        <w:t>投资者进行推广。</w:t>
      </w:r>
    </w:p>
    <w:p>
      <w:pPr>
        <w:spacing w:line="360" w:lineRule="auto"/>
        <w:ind w:firstLine="600" w:firstLineChars="250"/>
        <w:rPr>
          <w:rFonts w:hint="default" w:asciiTheme="minorAscii" w:hAnsiTheme="minorAscii"/>
          <w:sz w:val="24"/>
          <w:highlight w:val="none"/>
        </w:rPr>
      </w:pPr>
    </w:p>
    <w:p>
      <w:pPr>
        <w:spacing w:line="360" w:lineRule="auto"/>
        <w:jc w:val="center"/>
        <w:outlineLvl w:val="0"/>
        <w:rPr>
          <w:rFonts w:hint="eastAsia" w:eastAsia="宋体" w:asciiTheme="minorAscii" w:hAnsiTheme="minorAscii"/>
          <w:b/>
          <w:sz w:val="28"/>
          <w:szCs w:val="28"/>
          <w:highlight w:val="none"/>
          <w:lang w:eastAsia="zh-CN"/>
        </w:rPr>
      </w:pPr>
      <w:r>
        <w:rPr>
          <w:rFonts w:hint="default" w:asciiTheme="minorAscii" w:hAnsiTheme="minorAscii"/>
          <w:b/>
          <w:sz w:val="28"/>
          <w:szCs w:val="28"/>
          <w:highlight w:val="none"/>
        </w:rPr>
        <w:t>四、</w:t>
      </w:r>
      <w:r>
        <w:rPr>
          <w:rFonts w:hint="eastAsia" w:asciiTheme="minorAscii" w:hAnsiTheme="minorAscii"/>
          <w:b/>
          <w:sz w:val="28"/>
          <w:szCs w:val="28"/>
          <w:highlight w:val="none"/>
          <w:lang w:eastAsia="zh-CN"/>
        </w:rPr>
        <w:t>募集期限</w:t>
      </w:r>
    </w:p>
    <w:p>
      <w:pPr>
        <w:spacing w:line="360" w:lineRule="auto"/>
        <w:ind w:firstLine="600" w:firstLineChars="250"/>
        <w:rPr>
          <w:rFonts w:hint="default" w:asciiTheme="minorAscii" w:hAnsiTheme="minorAscii"/>
          <w:sz w:val="24"/>
          <w:highlight w:val="none"/>
        </w:rPr>
      </w:pPr>
      <w:r>
        <w:rPr>
          <w:rFonts w:hint="default" w:asciiTheme="minorAscii" w:hAnsiTheme="minorAscii"/>
          <w:sz w:val="24"/>
          <w:highlight w:val="none"/>
        </w:rPr>
        <w:t>1、募集期参与</w:t>
      </w:r>
    </w:p>
    <w:p>
      <w:pPr>
        <w:spacing w:line="360" w:lineRule="auto"/>
        <w:ind w:firstLine="480" w:firstLineChars="200"/>
        <w:rPr>
          <w:rFonts w:hint="default" w:asciiTheme="minorAscii" w:hAnsiTheme="minorAscii"/>
          <w:sz w:val="24"/>
          <w:highlight w:val="none"/>
        </w:rPr>
      </w:pPr>
      <w:r>
        <w:rPr>
          <w:rFonts w:hint="default" w:asciiTheme="minorAscii" w:hAnsiTheme="minorAscii"/>
          <w:sz w:val="24"/>
          <w:highlight w:val="none"/>
        </w:rPr>
        <w:t>本集合计划定于</w:t>
      </w:r>
      <w:r>
        <w:rPr>
          <w:rFonts w:hint="default" w:asciiTheme="minorAscii" w:hAnsiTheme="minorAscii"/>
          <w:sz w:val="24"/>
          <w:highlight w:val="none"/>
          <w:lang w:val="en-US" w:eastAsia="zh-CN"/>
        </w:rPr>
        <w:t>202</w:t>
      </w:r>
      <w:r>
        <w:rPr>
          <w:rFonts w:hint="eastAsia" w:asciiTheme="minorAscii" w:hAnsiTheme="minorAscii"/>
          <w:sz w:val="24"/>
          <w:highlight w:val="none"/>
          <w:lang w:val="en-US" w:eastAsia="zh-CN"/>
        </w:rPr>
        <w:t>6</w:t>
      </w:r>
      <w:r>
        <w:rPr>
          <w:rFonts w:hint="default" w:asciiTheme="minorAscii" w:hAnsiTheme="minorAscii"/>
          <w:sz w:val="24"/>
          <w:highlight w:val="none"/>
        </w:rPr>
        <w:t>年</w:t>
      </w:r>
      <w:r>
        <w:rPr>
          <w:rFonts w:hint="eastAsia" w:asciiTheme="minorAscii" w:hAnsiTheme="minorAscii"/>
          <w:sz w:val="24"/>
          <w:highlight w:val="none"/>
          <w:lang w:val="en-US" w:eastAsia="zh-CN"/>
        </w:rPr>
        <w:t>3</w:t>
      </w:r>
      <w:r>
        <w:rPr>
          <w:rFonts w:hint="default" w:asciiTheme="minorAscii" w:hAnsiTheme="minorAscii"/>
          <w:sz w:val="24"/>
          <w:highlight w:val="none"/>
        </w:rPr>
        <w:t>月</w:t>
      </w:r>
      <w:r>
        <w:rPr>
          <w:rFonts w:hint="eastAsia" w:asciiTheme="minorAscii" w:hAnsiTheme="minorAscii"/>
          <w:sz w:val="24"/>
          <w:highlight w:val="none"/>
          <w:lang w:val="en-US" w:eastAsia="zh-CN"/>
        </w:rPr>
        <w:t>20</w:t>
      </w:r>
      <w:r>
        <w:rPr>
          <w:rFonts w:hint="default" w:asciiTheme="minorAscii" w:hAnsiTheme="minorAscii"/>
          <w:sz w:val="24"/>
          <w:highlight w:val="none"/>
        </w:rPr>
        <w:t>日至</w:t>
      </w:r>
      <w:r>
        <w:rPr>
          <w:rFonts w:hint="default" w:asciiTheme="minorAscii" w:hAnsiTheme="minorAscii"/>
          <w:sz w:val="24"/>
          <w:highlight w:val="none"/>
          <w:lang w:val="en-US" w:eastAsia="zh-CN"/>
        </w:rPr>
        <w:t>202</w:t>
      </w:r>
      <w:r>
        <w:rPr>
          <w:rFonts w:hint="eastAsia" w:asciiTheme="minorAscii" w:hAnsiTheme="minorAscii"/>
          <w:sz w:val="24"/>
          <w:highlight w:val="none"/>
          <w:lang w:val="en-US" w:eastAsia="zh-CN"/>
        </w:rPr>
        <w:t>6</w:t>
      </w:r>
      <w:r>
        <w:rPr>
          <w:rFonts w:hint="default" w:asciiTheme="minorAscii" w:hAnsiTheme="minorAscii"/>
          <w:sz w:val="24"/>
          <w:highlight w:val="none"/>
        </w:rPr>
        <w:t>年</w:t>
      </w:r>
      <w:r>
        <w:rPr>
          <w:rFonts w:hint="eastAsia" w:asciiTheme="minorAscii" w:hAnsiTheme="minorAscii"/>
          <w:sz w:val="24"/>
          <w:highlight w:val="none"/>
          <w:lang w:val="en-US" w:eastAsia="zh-CN"/>
        </w:rPr>
        <w:t>3</w:t>
      </w:r>
      <w:r>
        <w:rPr>
          <w:rFonts w:hint="default" w:asciiTheme="minorAscii" w:hAnsiTheme="minorAscii"/>
          <w:sz w:val="24"/>
          <w:highlight w:val="none"/>
        </w:rPr>
        <w:t>月</w:t>
      </w:r>
      <w:r>
        <w:rPr>
          <w:rFonts w:hint="eastAsia" w:asciiTheme="minorAscii" w:hAnsiTheme="minorAscii"/>
          <w:sz w:val="24"/>
          <w:highlight w:val="none"/>
          <w:lang w:val="en-US" w:eastAsia="zh-CN"/>
        </w:rPr>
        <w:t>26</w:t>
      </w:r>
      <w:r>
        <w:rPr>
          <w:rFonts w:hint="default" w:asciiTheme="minorAscii" w:hAnsiTheme="minorAscii"/>
          <w:sz w:val="24"/>
          <w:highlight w:val="none"/>
        </w:rPr>
        <w:t>日正式发售。投资者可通过</w:t>
      </w:r>
      <w:r>
        <w:rPr>
          <w:rFonts w:hint="eastAsia" w:asciiTheme="minorAscii" w:hAnsiTheme="minorAscii"/>
          <w:sz w:val="24"/>
          <w:highlight w:val="none"/>
          <w:lang w:val="en-US" w:eastAsia="zh-CN"/>
        </w:rPr>
        <w:t>管理人</w:t>
      </w:r>
      <w:r>
        <w:rPr>
          <w:rFonts w:hint="default" w:asciiTheme="minorAscii" w:hAnsiTheme="minorAscii"/>
          <w:sz w:val="24"/>
          <w:highlight w:val="none"/>
          <w:lang w:val="en-US" w:eastAsia="zh-CN"/>
        </w:rPr>
        <w:t>及其他代理推广机构</w:t>
      </w:r>
      <w:r>
        <w:rPr>
          <w:rFonts w:hint="default" w:asciiTheme="minorAscii" w:hAnsiTheme="minorAscii"/>
          <w:sz w:val="24"/>
          <w:highlight w:val="none"/>
        </w:rPr>
        <w:t>参与本集合计划。管理人有权根据</w:t>
      </w:r>
      <w:r>
        <w:rPr>
          <w:rFonts w:hint="eastAsia" w:asciiTheme="minorAscii" w:hAnsiTheme="minorAscii"/>
          <w:sz w:val="24"/>
          <w:highlight w:val="none"/>
          <w:lang w:eastAsia="zh-CN"/>
        </w:rPr>
        <w:t>本集合计划的募集情况对募集期进行调整</w:t>
      </w:r>
      <w:r>
        <w:rPr>
          <w:rFonts w:hint="default" w:asciiTheme="minorAscii" w:hAnsiTheme="minorAscii"/>
          <w:sz w:val="24"/>
          <w:highlight w:val="none"/>
        </w:rPr>
        <w:t>并及时向投资者披露。</w:t>
      </w:r>
    </w:p>
    <w:p>
      <w:pPr>
        <w:numPr>
          <w:ilvl w:val="-1"/>
          <w:numId w:val="0"/>
        </w:numPr>
        <w:spacing w:line="360" w:lineRule="auto"/>
        <w:ind w:left="0" w:leftChars="0" w:firstLine="600" w:firstLineChars="250"/>
        <w:rPr>
          <w:rFonts w:hint="default" w:asciiTheme="minorAscii" w:hAnsiTheme="minorAscii"/>
          <w:sz w:val="24"/>
          <w:highlight w:val="none"/>
        </w:rPr>
      </w:pPr>
      <w:r>
        <w:rPr>
          <w:rFonts w:hint="eastAsia" w:asciiTheme="minorAscii" w:hAnsiTheme="minorAscii"/>
          <w:sz w:val="24"/>
          <w:highlight w:val="none"/>
          <w:lang w:val="en-US" w:eastAsia="zh-CN"/>
        </w:rPr>
        <w:t>2、</w:t>
      </w:r>
      <w:r>
        <w:rPr>
          <w:rFonts w:hint="default" w:asciiTheme="minorAscii" w:hAnsiTheme="minorAscii"/>
          <w:sz w:val="24"/>
          <w:highlight w:val="none"/>
        </w:rPr>
        <w:t>募集账户信息</w:t>
      </w:r>
    </w:p>
    <w:p>
      <w:pPr>
        <w:spacing w:line="360" w:lineRule="auto"/>
        <w:ind w:left="479" w:leftChars="228" w:firstLine="0" w:firstLineChars="0"/>
        <w:rPr>
          <w:rFonts w:hint="eastAsia" w:asciiTheme="minorAscii" w:hAnsiTheme="minorAscii"/>
          <w:sz w:val="24"/>
          <w:highlight w:val="none"/>
          <w:lang w:val="en-US" w:eastAsia="zh-CN"/>
        </w:rPr>
      </w:pPr>
      <w:r>
        <w:rPr>
          <w:rFonts w:hint="default" w:asciiTheme="minorAscii" w:hAnsiTheme="minorAscii"/>
          <w:sz w:val="24"/>
          <w:highlight w:val="none"/>
          <w:lang w:val="en-US" w:eastAsia="zh-CN"/>
        </w:rPr>
        <w:t>账户：华安证券资产管理有限公司私募资管清算户</w:t>
      </w:r>
      <w:r>
        <w:rPr>
          <w:rFonts w:hint="eastAsia" w:asciiTheme="minorAscii" w:hAnsiTheme="minorAscii"/>
          <w:sz w:val="24"/>
          <w:highlight w:val="none"/>
          <w:lang w:val="en-US" w:eastAsia="zh-CN"/>
        </w:rPr>
        <w:br w:type="textWrapping"/>
      </w:r>
      <w:r>
        <w:rPr>
          <w:rFonts w:hint="eastAsia" w:asciiTheme="minorAscii" w:hAnsiTheme="minorAscii"/>
          <w:sz w:val="24"/>
          <w:highlight w:val="none"/>
          <w:lang w:val="en-US" w:eastAsia="zh-CN"/>
        </w:rPr>
        <w:t>账号：3610000010120100600899</w:t>
      </w:r>
      <w:r>
        <w:rPr>
          <w:rFonts w:hint="eastAsia" w:asciiTheme="minorAscii" w:hAnsiTheme="minorAscii"/>
          <w:sz w:val="24"/>
          <w:highlight w:val="none"/>
          <w:lang w:val="en-US" w:eastAsia="zh-CN"/>
        </w:rPr>
        <w:br w:type="textWrapping"/>
      </w:r>
      <w:r>
        <w:rPr>
          <w:rFonts w:hint="eastAsia" w:asciiTheme="minorAscii" w:hAnsiTheme="minorAscii"/>
          <w:sz w:val="24"/>
          <w:highlight w:val="none"/>
          <w:lang w:val="en-US" w:eastAsia="zh-CN"/>
        </w:rPr>
        <w:t>开户行：浙商银行合肥分行营业部</w:t>
      </w:r>
      <w:r>
        <w:rPr>
          <w:rFonts w:hint="eastAsia" w:asciiTheme="minorAscii" w:hAnsiTheme="minorAscii"/>
          <w:sz w:val="24"/>
          <w:highlight w:val="none"/>
          <w:lang w:val="en-US" w:eastAsia="zh-CN"/>
        </w:rPr>
        <w:br w:type="textWrapping"/>
      </w:r>
      <w:r>
        <w:rPr>
          <w:rFonts w:hint="eastAsia" w:asciiTheme="minorAscii" w:hAnsiTheme="minorAscii"/>
          <w:sz w:val="24"/>
          <w:highlight w:val="none"/>
          <w:lang w:val="en-US" w:eastAsia="zh-CN"/>
        </w:rPr>
        <w:t>大额行号： 316361000019 </w:t>
      </w:r>
    </w:p>
    <w:p>
      <w:pPr>
        <w:spacing w:line="360" w:lineRule="auto"/>
        <w:rPr>
          <w:rFonts w:hint="default" w:asciiTheme="minorAscii" w:hAnsiTheme="minorAscii"/>
          <w:sz w:val="24"/>
          <w:highlight w:val="none"/>
          <w:lang w:val="en-US" w:eastAsia="zh-CN"/>
        </w:rPr>
      </w:pPr>
    </w:p>
    <w:p>
      <w:pPr>
        <w:spacing w:line="360" w:lineRule="auto"/>
        <w:jc w:val="center"/>
        <w:outlineLvl w:val="0"/>
        <w:rPr>
          <w:rFonts w:hint="default" w:asciiTheme="minorAscii" w:hAnsiTheme="minorAscii"/>
          <w:b/>
          <w:sz w:val="28"/>
          <w:szCs w:val="28"/>
          <w:highlight w:val="none"/>
        </w:rPr>
      </w:pPr>
      <w:r>
        <w:rPr>
          <w:rFonts w:hint="default" w:asciiTheme="minorAscii" w:hAnsiTheme="minorAscii"/>
          <w:b/>
          <w:sz w:val="28"/>
          <w:szCs w:val="28"/>
          <w:highlight w:val="none"/>
        </w:rPr>
        <w:t>五、本集合计划推广的当事人</w:t>
      </w:r>
    </w:p>
    <w:p>
      <w:pPr>
        <w:spacing w:line="360" w:lineRule="auto"/>
        <w:ind w:firstLine="470" w:firstLineChars="196"/>
        <w:rPr>
          <w:rFonts w:hint="default" w:asciiTheme="minorAscii" w:hAnsiTheme="minorAscii"/>
          <w:sz w:val="24"/>
          <w:highlight w:val="none"/>
        </w:rPr>
      </w:pPr>
      <w:r>
        <w:rPr>
          <w:rFonts w:hint="default" w:asciiTheme="minorAscii" w:hAnsiTheme="minorAscii"/>
          <w:sz w:val="24"/>
          <w:highlight w:val="none"/>
        </w:rPr>
        <w:t>1、管理人</w:t>
      </w:r>
    </w:p>
    <w:p>
      <w:pPr>
        <w:spacing w:line="360" w:lineRule="auto"/>
        <w:ind w:firstLine="480" w:firstLineChars="200"/>
        <w:rPr>
          <w:rFonts w:hint="default" w:asciiTheme="minorAscii" w:hAnsiTheme="minorAscii"/>
          <w:sz w:val="24"/>
          <w:highlight w:val="none"/>
        </w:rPr>
      </w:pPr>
      <w:r>
        <w:rPr>
          <w:rFonts w:hint="default" w:asciiTheme="minorAscii" w:hAnsiTheme="minorAscii"/>
          <w:sz w:val="24"/>
          <w:highlight w:val="none"/>
        </w:rPr>
        <w:t>机构名称：</w:t>
      </w:r>
      <w:r>
        <w:rPr>
          <w:rFonts w:hint="eastAsia" w:asciiTheme="minorAscii" w:hAnsiTheme="minorAscii"/>
          <w:sz w:val="24"/>
          <w:highlight w:val="none"/>
          <w:lang w:eastAsia="zh-CN"/>
        </w:rPr>
        <w:t>华安证券资产管理有限公司</w:t>
      </w:r>
      <w:r>
        <w:rPr>
          <w:rFonts w:hint="default" w:asciiTheme="minorAscii" w:hAnsiTheme="minorAscii"/>
          <w:sz w:val="24"/>
          <w:highlight w:val="none"/>
        </w:rPr>
        <w:t xml:space="preserve"> </w:t>
      </w:r>
    </w:p>
    <w:p>
      <w:pPr>
        <w:spacing w:line="360" w:lineRule="auto"/>
        <w:ind w:firstLine="480" w:firstLineChars="200"/>
        <w:rPr>
          <w:rFonts w:hint="default" w:asciiTheme="minorAscii" w:hAnsiTheme="minorAscii"/>
          <w:sz w:val="24"/>
          <w:highlight w:val="none"/>
        </w:rPr>
      </w:pPr>
      <w:r>
        <w:rPr>
          <w:rFonts w:hint="default" w:asciiTheme="minorAscii" w:hAnsiTheme="minorAscii"/>
          <w:sz w:val="24"/>
          <w:highlight w:val="none"/>
        </w:rPr>
        <w:t>法定代表人：</w:t>
      </w:r>
      <w:r>
        <w:rPr>
          <w:rFonts w:hint="eastAsia" w:asciiTheme="minorAscii" w:hAnsiTheme="minorAscii"/>
          <w:sz w:val="24"/>
          <w:highlight w:val="none"/>
          <w:lang w:val="en-US" w:eastAsia="zh-CN"/>
        </w:rPr>
        <w:t>唐泳</w:t>
      </w:r>
    </w:p>
    <w:p>
      <w:pPr>
        <w:spacing w:line="360" w:lineRule="auto"/>
        <w:ind w:firstLine="480" w:firstLineChars="200"/>
        <w:rPr>
          <w:rFonts w:hint="default" w:asciiTheme="minorAscii" w:hAnsiTheme="minorAscii"/>
          <w:sz w:val="24"/>
          <w:highlight w:val="none"/>
        </w:rPr>
      </w:pPr>
      <w:r>
        <w:rPr>
          <w:rFonts w:hint="default" w:asciiTheme="minorAscii" w:hAnsiTheme="minorAscii"/>
          <w:sz w:val="24"/>
          <w:highlight w:val="none"/>
        </w:rPr>
        <w:t>通信地址：安徽省合肥市政务文化新区天鹅湖路198号</w:t>
      </w:r>
    </w:p>
    <w:p>
      <w:pPr>
        <w:spacing w:line="360" w:lineRule="auto"/>
        <w:ind w:firstLine="480" w:firstLineChars="200"/>
        <w:rPr>
          <w:rFonts w:hint="default" w:eastAsia="宋体" w:asciiTheme="minorAscii" w:hAnsiTheme="minorAscii"/>
          <w:sz w:val="24"/>
          <w:highlight w:val="none"/>
          <w:lang w:val="en-US" w:eastAsia="zh-CN"/>
        </w:rPr>
      </w:pPr>
      <w:r>
        <w:rPr>
          <w:rFonts w:hint="default" w:asciiTheme="minorAscii" w:hAnsiTheme="minorAscii"/>
          <w:sz w:val="24"/>
          <w:highlight w:val="none"/>
        </w:rPr>
        <w:t>联系电话：</w:t>
      </w:r>
      <w:r>
        <w:rPr>
          <w:rFonts w:hint="default" w:asciiTheme="minorAscii" w:hAnsiTheme="minorAscii"/>
          <w:color w:val="000000"/>
          <w:sz w:val="24"/>
          <w:highlight w:val="none"/>
        </w:rPr>
        <w:t>0551-65</w:t>
      </w:r>
      <w:r>
        <w:rPr>
          <w:rFonts w:hint="eastAsia" w:asciiTheme="minorAscii" w:hAnsiTheme="minorAscii"/>
          <w:color w:val="000000"/>
          <w:sz w:val="24"/>
          <w:highlight w:val="none"/>
          <w:lang w:val="en-US" w:eastAsia="zh-CN"/>
        </w:rPr>
        <w:t>980173</w:t>
      </w:r>
    </w:p>
    <w:p>
      <w:pPr>
        <w:spacing w:line="360" w:lineRule="auto"/>
        <w:ind w:firstLine="470" w:firstLineChars="196"/>
        <w:rPr>
          <w:rFonts w:hint="default" w:asciiTheme="minorAscii" w:hAnsiTheme="minorAscii"/>
          <w:sz w:val="24"/>
          <w:highlight w:val="none"/>
        </w:rPr>
      </w:pPr>
      <w:r>
        <w:rPr>
          <w:rFonts w:hint="default" w:asciiTheme="minorAscii" w:hAnsiTheme="minorAscii"/>
          <w:sz w:val="24"/>
          <w:highlight w:val="none"/>
        </w:rPr>
        <w:t>2、托管人</w:t>
      </w:r>
    </w:p>
    <w:p>
      <w:pPr>
        <w:spacing w:line="360" w:lineRule="auto"/>
        <w:ind w:firstLine="470" w:firstLineChars="196"/>
        <w:rPr>
          <w:rFonts w:hint="eastAsia" w:ascii="Times New Roman" w:hAnsi="Times New Roman" w:eastAsia="宋体"/>
          <w:color w:val="000000" w:themeColor="text1"/>
          <w:sz w:val="24"/>
          <w:lang w:val="en-US" w:eastAsia="zh-CN"/>
          <w14:textFill>
            <w14:solidFill>
              <w14:schemeClr w14:val="tx1"/>
            </w14:solidFill>
          </w14:textFill>
        </w:rPr>
      </w:pPr>
      <w:r>
        <w:rPr>
          <w:rFonts w:ascii="Times New Roman" w:hAnsi="Times New Roman"/>
          <w:color w:val="000000" w:themeColor="text1"/>
          <w:sz w:val="24"/>
          <w14:textFill>
            <w14:solidFill>
              <w14:schemeClr w14:val="tx1"/>
            </w14:solidFill>
          </w14:textFill>
        </w:rPr>
        <w:t>名称：</w:t>
      </w:r>
      <w:r>
        <w:rPr>
          <w:rFonts w:hint="eastAsia" w:ascii="Times New Roman" w:hAnsi="Times New Roman"/>
          <w:color w:val="000000" w:themeColor="text1"/>
          <w:sz w:val="24"/>
          <w:lang w:val="en-US" w:eastAsia="zh-CN"/>
          <w14:textFill>
            <w14:solidFill>
              <w14:schemeClr w14:val="tx1"/>
            </w14:solidFill>
          </w14:textFill>
        </w:rPr>
        <w:t>苏州银行股份有限公司</w:t>
      </w:r>
    </w:p>
    <w:p>
      <w:pPr>
        <w:spacing w:line="360" w:lineRule="auto"/>
        <w:ind w:firstLine="480" w:firstLineChars="200"/>
        <w:rPr>
          <w:rFonts w:hint="eastAsia"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法定代表人：</w:t>
      </w:r>
      <w:r>
        <w:rPr>
          <w:rFonts w:hint="eastAsia" w:ascii="Times New Roman" w:hAnsi="Times New Roman"/>
          <w:color w:val="000000" w:themeColor="text1"/>
          <w:sz w:val="24"/>
          <w14:textFill>
            <w14:solidFill>
              <w14:schemeClr w14:val="tx1"/>
            </w14:solidFill>
          </w14:textFill>
        </w:rPr>
        <w:t>崔庆军</w:t>
      </w:r>
    </w:p>
    <w:p>
      <w:pPr>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通讯地址：</w:t>
      </w:r>
      <w:r>
        <w:rPr>
          <w:rFonts w:hint="eastAsia" w:ascii="Times New Roman" w:hAnsi="Times New Roman"/>
          <w:color w:val="000000" w:themeColor="text1"/>
          <w:sz w:val="24"/>
          <w14:textFill>
            <w14:solidFill>
              <w14:schemeClr w14:val="tx1"/>
            </w14:solidFill>
          </w14:textFill>
        </w:rPr>
        <w:t>江苏省苏州市工业园区钟园路728号苏州银行大厦</w:t>
      </w:r>
    </w:p>
    <w:p>
      <w:pPr>
        <w:spacing w:line="360" w:lineRule="auto"/>
        <w:ind w:firstLine="480" w:firstLineChars="200"/>
        <w:rPr>
          <w:rFonts w:hint="eastAsia"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联系电话：</w:t>
      </w:r>
      <w:r>
        <w:rPr>
          <w:rFonts w:hint="eastAsia" w:ascii="Times New Roman" w:hAnsi="Times New Roman"/>
          <w:color w:val="000000" w:themeColor="text1"/>
          <w:sz w:val="24"/>
          <w14:textFill>
            <w14:solidFill>
              <w14:schemeClr w14:val="tx1"/>
            </w14:solidFill>
          </w14:textFill>
        </w:rPr>
        <w:t>0512-69860270</w:t>
      </w:r>
    </w:p>
    <w:p>
      <w:pPr>
        <w:spacing w:line="360" w:lineRule="auto"/>
        <w:ind w:firstLine="480" w:firstLineChars="200"/>
        <w:rPr>
          <w:rFonts w:hint="default" w:asciiTheme="minorAscii" w:hAnsiTheme="minorAscii"/>
          <w:sz w:val="24"/>
          <w:highlight w:val="none"/>
        </w:rPr>
      </w:pPr>
      <w:r>
        <w:rPr>
          <w:rFonts w:hint="default" w:asciiTheme="minorAscii" w:hAnsiTheme="minorAscii"/>
          <w:sz w:val="24"/>
          <w:highlight w:val="none"/>
        </w:rPr>
        <w:t>3、推广机构</w:t>
      </w:r>
    </w:p>
    <w:p>
      <w:pPr>
        <w:spacing w:line="360" w:lineRule="auto"/>
        <w:ind w:firstLine="470" w:firstLineChars="196"/>
        <w:rPr>
          <w:rFonts w:hint="eastAsia" w:eastAsia="宋体" w:asciiTheme="minorAscii" w:hAnsiTheme="minorAscii"/>
          <w:sz w:val="24"/>
          <w:highlight w:val="none"/>
          <w:lang w:eastAsia="zh-CN"/>
        </w:rPr>
      </w:pPr>
      <w:r>
        <w:rPr>
          <w:rFonts w:hint="default" w:asciiTheme="minorAscii" w:hAnsiTheme="minorAscii"/>
          <w:sz w:val="24"/>
          <w:highlight w:val="none"/>
        </w:rPr>
        <w:t>名称：</w:t>
      </w:r>
      <w:r>
        <w:rPr>
          <w:rFonts w:hint="eastAsia" w:asciiTheme="minorAscii" w:hAnsiTheme="minorAscii"/>
          <w:sz w:val="24"/>
          <w:highlight w:val="none"/>
          <w:lang w:eastAsia="zh-CN"/>
        </w:rPr>
        <w:t>华安证券资产管理有限公司</w:t>
      </w:r>
    </w:p>
    <w:p>
      <w:pPr>
        <w:spacing w:line="360" w:lineRule="auto"/>
        <w:ind w:firstLine="470" w:firstLineChars="196"/>
        <w:rPr>
          <w:rFonts w:hint="default" w:asciiTheme="minorAscii" w:hAnsiTheme="minorAscii"/>
          <w:sz w:val="24"/>
          <w:highlight w:val="none"/>
        </w:rPr>
      </w:pPr>
      <w:r>
        <w:rPr>
          <w:rFonts w:hint="default" w:asciiTheme="minorAscii" w:hAnsiTheme="minorAscii"/>
          <w:sz w:val="24"/>
          <w:highlight w:val="none"/>
        </w:rPr>
        <w:t>通信地址：安徽省合肥市政务文化新区天鹅湖路198号</w:t>
      </w:r>
    </w:p>
    <w:p>
      <w:pPr>
        <w:spacing w:line="360" w:lineRule="auto"/>
        <w:ind w:firstLine="470" w:firstLineChars="196"/>
        <w:rPr>
          <w:rFonts w:hint="default" w:asciiTheme="minorAscii" w:hAnsiTheme="minorAscii"/>
          <w:sz w:val="24"/>
          <w:highlight w:val="none"/>
        </w:rPr>
      </w:pPr>
      <w:r>
        <w:rPr>
          <w:rFonts w:hint="default" w:asciiTheme="minorAscii" w:hAnsiTheme="minorAscii"/>
          <w:sz w:val="24"/>
          <w:highlight w:val="none"/>
        </w:rPr>
        <w:t>网址：www.hazq.com</w:t>
      </w:r>
    </w:p>
    <w:p>
      <w:pPr>
        <w:spacing w:line="360" w:lineRule="auto"/>
        <w:ind w:firstLine="470" w:firstLineChars="196"/>
        <w:rPr>
          <w:rFonts w:hint="default" w:asciiTheme="minorAscii" w:hAnsiTheme="minorAscii"/>
          <w:sz w:val="24"/>
          <w:highlight w:val="none"/>
        </w:rPr>
      </w:pPr>
      <w:r>
        <w:rPr>
          <w:rFonts w:hint="default" w:asciiTheme="minorAscii" w:hAnsiTheme="minorAscii"/>
          <w:sz w:val="24"/>
          <w:highlight w:val="none"/>
        </w:rPr>
        <w:t>服务热线：95318</w:t>
      </w:r>
    </w:p>
    <w:p>
      <w:pPr>
        <w:spacing w:line="360" w:lineRule="auto"/>
        <w:ind w:firstLine="470" w:firstLineChars="196"/>
        <w:rPr>
          <w:rFonts w:hint="eastAsia" w:eastAsia="宋体" w:asciiTheme="minorAscii" w:hAnsiTheme="minorAscii"/>
          <w:sz w:val="24"/>
          <w:highlight w:val="none"/>
          <w:lang w:val="en-US" w:eastAsia="zh-CN"/>
        </w:rPr>
      </w:pPr>
      <w:r>
        <w:rPr>
          <w:rFonts w:hint="default" w:asciiTheme="minorAscii" w:hAnsiTheme="minorAscii"/>
          <w:sz w:val="24"/>
          <w:highlight w:val="none"/>
        </w:rPr>
        <w:t>名称：</w:t>
      </w:r>
      <w:r>
        <w:rPr>
          <w:rFonts w:hint="eastAsia" w:ascii="宋体" w:hAnsi="宋体"/>
          <w:sz w:val="24"/>
        </w:rPr>
        <w:t>湖南</w:t>
      </w:r>
      <w:r>
        <w:rPr>
          <w:rFonts w:hint="default" w:asciiTheme="minorAscii" w:hAnsiTheme="minorAscii"/>
          <w:sz w:val="24"/>
          <w:highlight w:val="none"/>
        </w:rPr>
        <w:t>银行股份有限公司</w:t>
      </w:r>
    </w:p>
    <w:p>
      <w:pPr>
        <w:spacing w:line="360" w:lineRule="auto"/>
        <w:ind w:firstLine="470" w:firstLineChars="196"/>
        <w:rPr>
          <w:rFonts w:ascii="宋体" w:hAnsi="宋体"/>
          <w:sz w:val="24"/>
        </w:rPr>
      </w:pPr>
      <w:r>
        <w:rPr>
          <w:rFonts w:hint="default" w:asciiTheme="minorAscii" w:hAnsiTheme="minorAscii"/>
          <w:sz w:val="24"/>
          <w:highlight w:val="none"/>
        </w:rPr>
        <w:t>通信地址：</w:t>
      </w:r>
      <w:r>
        <w:rPr>
          <w:rFonts w:hint="eastAsia" w:ascii="宋体" w:hAnsi="宋体"/>
          <w:sz w:val="24"/>
        </w:rPr>
        <w:t>湖南省长沙市天心区湘江中路二段</w:t>
      </w:r>
      <w:r>
        <w:rPr>
          <w:rFonts w:hint="default" w:asciiTheme="minorAscii" w:hAnsiTheme="minorAscii"/>
          <w:sz w:val="24"/>
          <w:highlight w:val="none"/>
        </w:rPr>
        <w:t>280</w:t>
      </w:r>
      <w:r>
        <w:rPr>
          <w:rFonts w:hint="eastAsia" w:ascii="宋体" w:hAnsi="宋体"/>
          <w:sz w:val="24"/>
        </w:rPr>
        <w:t>号</w:t>
      </w:r>
    </w:p>
    <w:p>
      <w:pPr>
        <w:spacing w:line="360" w:lineRule="auto"/>
        <w:ind w:firstLine="470" w:firstLineChars="196"/>
        <w:rPr>
          <w:rFonts w:asciiTheme="minorAscii" w:hAnsiTheme="minorAscii"/>
          <w:sz w:val="24"/>
          <w:highlight w:val="none"/>
        </w:rPr>
      </w:pPr>
      <w:r>
        <w:rPr>
          <w:rFonts w:hint="default" w:asciiTheme="minorAscii" w:hAnsiTheme="minorAscii"/>
          <w:sz w:val="24"/>
          <w:highlight w:val="none"/>
        </w:rPr>
        <w:t>网址：www.hunan-bank.com</w:t>
      </w:r>
    </w:p>
    <w:p>
      <w:pPr>
        <w:spacing w:line="360" w:lineRule="auto"/>
        <w:ind w:firstLine="470" w:firstLineChars="196"/>
        <w:rPr>
          <w:rFonts w:hint="default" w:asciiTheme="minorAscii" w:hAnsiTheme="minorAscii"/>
          <w:b/>
          <w:sz w:val="28"/>
          <w:szCs w:val="28"/>
          <w:highlight w:val="none"/>
        </w:rPr>
      </w:pPr>
      <w:r>
        <w:rPr>
          <w:rFonts w:hint="default" w:asciiTheme="minorAscii" w:hAnsiTheme="minorAscii"/>
          <w:sz w:val="24"/>
          <w:highlight w:val="none"/>
        </w:rPr>
        <w:t>服务热线：96599</w:t>
      </w:r>
    </w:p>
    <w:p>
      <w:pPr>
        <w:spacing w:line="360" w:lineRule="auto"/>
        <w:jc w:val="both"/>
        <w:outlineLvl w:val="0"/>
        <w:rPr>
          <w:rFonts w:hint="default" w:asciiTheme="minorAscii" w:hAnsiTheme="minorAscii"/>
          <w:b/>
          <w:sz w:val="28"/>
          <w:szCs w:val="28"/>
          <w:highlight w:val="none"/>
        </w:rPr>
      </w:pPr>
    </w:p>
    <w:p>
      <w:pPr>
        <w:spacing w:line="360" w:lineRule="auto"/>
        <w:jc w:val="center"/>
        <w:outlineLvl w:val="0"/>
        <w:rPr>
          <w:rFonts w:hint="default" w:asciiTheme="minorAscii" w:hAnsiTheme="minorAscii"/>
          <w:b/>
          <w:sz w:val="28"/>
          <w:szCs w:val="28"/>
          <w:highlight w:val="none"/>
        </w:rPr>
      </w:pPr>
      <w:r>
        <w:rPr>
          <w:rFonts w:hint="default" w:asciiTheme="minorAscii" w:hAnsiTheme="minorAscii"/>
          <w:b/>
          <w:sz w:val="28"/>
          <w:szCs w:val="28"/>
          <w:highlight w:val="none"/>
        </w:rPr>
        <w:t>六、本集合计划的成立</w:t>
      </w:r>
    </w:p>
    <w:p>
      <w:pPr>
        <w:spacing w:line="360" w:lineRule="auto"/>
        <w:ind w:firstLine="480" w:firstLineChars="200"/>
        <w:rPr>
          <w:rFonts w:hint="default" w:cs="宋体,Bold" w:asciiTheme="minorAscii" w:hAnsiTheme="minorAscii"/>
          <w:bCs/>
          <w:color w:val="000000"/>
          <w:kern w:val="0"/>
          <w:sz w:val="24"/>
          <w:highlight w:val="none"/>
        </w:rPr>
      </w:pPr>
      <w:r>
        <w:rPr>
          <w:rFonts w:hint="eastAsia" w:eastAsia="宋体" w:cs="宋体,Bold" w:asciiTheme="minorAscii" w:hAnsiTheme="minorAscii"/>
          <w:bCs/>
          <w:color w:val="000000"/>
          <w:kern w:val="0"/>
          <w:sz w:val="24"/>
          <w:highlight w:val="none"/>
          <w:lang w:val="en-US" w:eastAsia="zh-CN"/>
        </w:rPr>
        <w:t>1、</w:t>
      </w:r>
      <w:r>
        <w:rPr>
          <w:rFonts w:hint="default" w:cs="宋体,Bold" w:asciiTheme="minorAscii" w:hAnsiTheme="minorAscii"/>
          <w:bCs/>
          <w:color w:val="000000"/>
          <w:kern w:val="0"/>
          <w:sz w:val="24"/>
          <w:highlight w:val="none"/>
          <w:lang w:eastAsia="zh-CN"/>
        </w:rPr>
        <w:t>资产管理</w:t>
      </w:r>
      <w:r>
        <w:rPr>
          <w:rFonts w:hint="default" w:cs="宋体,Bold" w:asciiTheme="minorAscii" w:hAnsiTheme="minorAscii"/>
          <w:bCs/>
          <w:color w:val="000000"/>
          <w:kern w:val="0"/>
          <w:sz w:val="24"/>
          <w:highlight w:val="none"/>
        </w:rPr>
        <w:t>计划</w:t>
      </w:r>
      <w:r>
        <w:rPr>
          <w:rFonts w:hint="default" w:cs="宋体,Bold" w:asciiTheme="minorAscii" w:hAnsiTheme="minorAscii"/>
          <w:bCs/>
          <w:color w:val="000000"/>
          <w:kern w:val="0"/>
          <w:sz w:val="24"/>
          <w:highlight w:val="none"/>
          <w:lang w:eastAsia="zh-CN"/>
        </w:rPr>
        <w:t>的成立条件</w:t>
      </w:r>
      <w:r>
        <w:rPr>
          <w:rFonts w:hint="default" w:cs="宋体,Bold" w:asciiTheme="minorAscii" w:hAnsiTheme="minorAscii"/>
          <w:bCs/>
          <w:color w:val="000000"/>
          <w:kern w:val="0"/>
          <w:sz w:val="24"/>
          <w:highlight w:val="none"/>
        </w:rPr>
        <w:t>：</w:t>
      </w:r>
    </w:p>
    <w:p>
      <w:pPr>
        <w:adjustRightInd/>
        <w:snapToGrid/>
        <w:spacing w:line="360" w:lineRule="auto"/>
        <w:ind w:firstLine="480" w:firstLineChars="200"/>
        <w:rPr>
          <w:rFonts w:hint="default" w:eastAsia="宋体" w:cs="宋体,Bold" w:asciiTheme="minorAscii" w:hAnsiTheme="minorAscii"/>
          <w:bCs/>
          <w:color w:val="000000"/>
          <w:kern w:val="0"/>
          <w:sz w:val="24"/>
          <w:szCs w:val="24"/>
          <w:highlight w:val="none"/>
        </w:rPr>
      </w:pPr>
      <w:r>
        <w:rPr>
          <w:rFonts w:hint="default" w:eastAsia="宋体" w:cs="宋体,Bold" w:asciiTheme="minorAscii" w:hAnsiTheme="minorAscii"/>
          <w:bCs/>
          <w:color w:val="000000"/>
          <w:kern w:val="0"/>
          <w:sz w:val="24"/>
          <w:szCs w:val="24"/>
          <w:highlight w:val="none"/>
        </w:rPr>
        <w:t>（一）</w:t>
      </w:r>
      <w:r>
        <w:rPr>
          <w:rFonts w:hint="default" w:cs="宋体,Bold" w:asciiTheme="minorAscii" w:hAnsiTheme="minorAscii"/>
          <w:bCs/>
          <w:color w:val="000000"/>
          <w:kern w:val="0"/>
          <w:sz w:val="24"/>
          <w:highlight w:val="none"/>
        </w:rPr>
        <w:t>本集合资产管理计划</w:t>
      </w:r>
      <w:r>
        <w:rPr>
          <w:rFonts w:hint="default" w:eastAsia="宋体" w:cs="宋体,Bold" w:asciiTheme="minorAscii" w:hAnsiTheme="minorAscii"/>
          <w:bCs/>
          <w:color w:val="000000"/>
          <w:kern w:val="0"/>
          <w:sz w:val="24"/>
          <w:szCs w:val="24"/>
          <w:highlight w:val="none"/>
        </w:rPr>
        <w:t>初始募集规模不低于1000万元；</w:t>
      </w:r>
    </w:p>
    <w:p>
      <w:pPr>
        <w:adjustRightInd/>
        <w:snapToGrid/>
        <w:spacing w:line="360" w:lineRule="auto"/>
        <w:ind w:firstLine="480" w:firstLineChars="200"/>
        <w:rPr>
          <w:rFonts w:hint="default" w:eastAsia="宋体" w:cs="宋体,Bold" w:asciiTheme="minorAscii" w:hAnsiTheme="minorAscii"/>
          <w:bCs/>
          <w:color w:val="000000"/>
          <w:kern w:val="0"/>
          <w:sz w:val="24"/>
          <w:szCs w:val="24"/>
          <w:highlight w:val="none"/>
        </w:rPr>
      </w:pPr>
      <w:r>
        <w:rPr>
          <w:rFonts w:hint="default" w:eastAsia="宋体" w:cs="宋体,Bold" w:asciiTheme="minorAscii" w:hAnsiTheme="minorAscii"/>
          <w:bCs/>
          <w:color w:val="000000"/>
          <w:kern w:val="0"/>
          <w:sz w:val="24"/>
          <w:szCs w:val="24"/>
          <w:highlight w:val="none"/>
        </w:rPr>
        <w:t>（二）投资者人数不少于2人，且不超过200人；</w:t>
      </w:r>
    </w:p>
    <w:p>
      <w:pPr>
        <w:adjustRightInd/>
        <w:snapToGrid/>
        <w:spacing w:line="360" w:lineRule="auto"/>
        <w:ind w:firstLine="480" w:firstLineChars="200"/>
        <w:rPr>
          <w:rFonts w:hint="default" w:eastAsia="宋体" w:cs="宋体,Bold" w:asciiTheme="minorAscii" w:hAnsiTheme="minorAscii"/>
          <w:bCs/>
          <w:color w:val="000000"/>
          <w:kern w:val="0"/>
          <w:sz w:val="24"/>
          <w:szCs w:val="24"/>
          <w:highlight w:val="none"/>
        </w:rPr>
      </w:pPr>
      <w:r>
        <w:rPr>
          <w:rFonts w:hint="default" w:eastAsia="宋体" w:cs="宋体,Bold" w:asciiTheme="minorAscii" w:hAnsiTheme="minorAscii"/>
          <w:bCs/>
          <w:color w:val="000000"/>
          <w:kern w:val="0"/>
          <w:sz w:val="24"/>
          <w:szCs w:val="24"/>
          <w:highlight w:val="none"/>
        </w:rPr>
        <w:t>（三）募集过程符合法律、行政法规和中国证监会的规定。</w:t>
      </w:r>
    </w:p>
    <w:p>
      <w:pPr>
        <w:spacing w:line="360" w:lineRule="auto"/>
        <w:ind w:firstLine="480" w:firstLineChars="200"/>
        <w:rPr>
          <w:rFonts w:hint="default" w:cs="宋体,Bold" w:asciiTheme="minorAscii" w:hAnsiTheme="minorAscii"/>
          <w:bCs/>
          <w:color w:val="000000"/>
          <w:kern w:val="0"/>
          <w:sz w:val="24"/>
          <w:highlight w:val="none"/>
        </w:rPr>
      </w:pPr>
      <w:r>
        <w:rPr>
          <w:rFonts w:hint="default" w:cs="宋体,Bold" w:asciiTheme="minorAscii" w:hAnsiTheme="minorAscii"/>
          <w:bCs/>
          <w:color w:val="000000"/>
          <w:kern w:val="0"/>
          <w:sz w:val="24"/>
          <w:highlight w:val="none"/>
        </w:rPr>
        <w:t>在本集合资产管理计划的募集金额缴足之日起十个工作日内，由管理人公告本计划成立。本计划成立前，任何机构和个人不得动用投资者参与资金。</w:t>
      </w:r>
    </w:p>
    <w:p>
      <w:pPr>
        <w:spacing w:line="360" w:lineRule="auto"/>
        <w:ind w:firstLine="480" w:firstLineChars="200"/>
        <w:rPr>
          <w:rFonts w:hint="eastAsia" w:asciiTheme="minorAscii" w:hAnsiTheme="minorAscii"/>
          <w:sz w:val="24"/>
          <w:highlight w:val="none"/>
          <w:lang w:val="en-US" w:eastAsia="zh-CN"/>
        </w:rPr>
      </w:pPr>
      <w:r>
        <w:rPr>
          <w:rFonts w:hint="eastAsia" w:asciiTheme="minorAscii" w:hAnsiTheme="minorAscii"/>
          <w:sz w:val="24"/>
          <w:highlight w:val="none"/>
          <w:lang w:val="en-US" w:eastAsia="zh-CN"/>
        </w:rPr>
        <w:t>2、资产管理计划设立失败</w:t>
      </w:r>
    </w:p>
    <w:p>
      <w:pPr>
        <w:spacing w:line="360" w:lineRule="auto"/>
        <w:ind w:firstLine="480" w:firstLineChars="200"/>
        <w:rPr>
          <w:rFonts w:hint="eastAsia" w:asciiTheme="minorAscii" w:hAnsiTheme="minorAscii"/>
          <w:sz w:val="24"/>
          <w:highlight w:val="none"/>
          <w:lang w:eastAsia="zh-CN"/>
        </w:rPr>
      </w:pPr>
      <w:r>
        <w:rPr>
          <w:rFonts w:hint="default" w:asciiTheme="minorAscii" w:hAnsiTheme="minorAscii"/>
          <w:sz w:val="24"/>
          <w:highlight w:val="none"/>
        </w:rPr>
        <w:t>募集期届满，本计划未达到</w:t>
      </w:r>
      <w:r>
        <w:rPr>
          <w:rFonts w:hint="eastAsia" w:asciiTheme="minorAscii" w:hAnsiTheme="minorAscii"/>
          <w:sz w:val="24"/>
          <w:highlight w:val="none"/>
          <w:lang w:eastAsia="zh-CN"/>
        </w:rPr>
        <w:t>资管</w:t>
      </w:r>
      <w:r>
        <w:rPr>
          <w:rFonts w:hint="default" w:asciiTheme="minorAscii" w:hAnsiTheme="minorAscii"/>
          <w:sz w:val="24"/>
          <w:highlight w:val="none"/>
        </w:rPr>
        <w:t>合同约定的成立条件的，本计划募集失败</w:t>
      </w:r>
      <w:r>
        <w:rPr>
          <w:rFonts w:hint="eastAsia" w:asciiTheme="minorAscii" w:hAnsiTheme="minorAscii"/>
          <w:sz w:val="24"/>
          <w:highlight w:val="none"/>
          <w:lang w:eastAsia="zh-CN"/>
        </w:rPr>
        <w:t>。</w:t>
      </w:r>
    </w:p>
    <w:p>
      <w:pPr>
        <w:spacing w:line="360" w:lineRule="auto"/>
        <w:ind w:right="120" w:firstLine="0" w:firstLineChars="0"/>
        <w:jc w:val="center"/>
        <w:rPr>
          <w:rFonts w:hint="eastAsia" w:asciiTheme="minorAscii" w:hAnsiTheme="minorAscii"/>
          <w:sz w:val="24"/>
          <w:highlight w:val="none"/>
          <w:lang w:eastAsia="zh-CN"/>
        </w:rPr>
      </w:pPr>
    </w:p>
    <w:p>
      <w:pPr>
        <w:spacing w:line="360" w:lineRule="auto"/>
        <w:ind w:right="120" w:firstLine="0" w:firstLineChars="0"/>
        <w:jc w:val="right"/>
        <w:rPr>
          <w:rFonts w:hint="eastAsia" w:asciiTheme="minorAscii" w:hAnsiTheme="minorAscii"/>
          <w:sz w:val="24"/>
          <w:highlight w:val="none"/>
          <w:lang w:eastAsia="zh-CN"/>
        </w:rPr>
      </w:pPr>
    </w:p>
    <w:p>
      <w:pPr>
        <w:spacing w:line="360" w:lineRule="auto"/>
        <w:ind w:right="120" w:firstLine="0" w:firstLineChars="0"/>
        <w:jc w:val="right"/>
        <w:rPr>
          <w:rFonts w:hint="eastAsia" w:asciiTheme="minorAscii" w:hAnsiTheme="minorAscii"/>
          <w:sz w:val="24"/>
          <w:highlight w:val="none"/>
          <w:lang w:eastAsia="zh-CN"/>
        </w:rPr>
      </w:pPr>
    </w:p>
    <w:p>
      <w:pPr>
        <w:spacing w:line="360" w:lineRule="auto"/>
        <w:ind w:right="120" w:firstLine="0" w:firstLineChars="0"/>
        <w:jc w:val="right"/>
        <w:rPr>
          <w:rFonts w:hint="eastAsia" w:eastAsia="宋体" w:asciiTheme="minorAscii" w:hAnsiTheme="minorAscii"/>
          <w:sz w:val="24"/>
          <w:highlight w:val="none"/>
          <w:lang w:eastAsia="zh-CN"/>
        </w:rPr>
      </w:pPr>
      <w:r>
        <w:rPr>
          <w:rFonts w:hint="eastAsia" w:asciiTheme="minorAscii" w:hAnsiTheme="minorAscii"/>
          <w:sz w:val="24"/>
          <w:highlight w:val="none"/>
          <w:lang w:eastAsia="zh-CN"/>
        </w:rPr>
        <w:t>华安证券资产管理有限公司</w:t>
      </w:r>
    </w:p>
    <w:p>
      <w:pPr>
        <w:spacing w:line="360" w:lineRule="auto"/>
        <w:ind w:right="120" w:firstLine="5640" w:firstLineChars="2350"/>
        <w:jc w:val="center"/>
      </w:pPr>
      <w:r>
        <w:rPr>
          <w:rFonts w:hint="eastAsia" w:asciiTheme="minorAscii" w:hAnsiTheme="minorAscii"/>
          <w:sz w:val="24"/>
          <w:highlight w:val="none"/>
          <w:lang w:val="en-US" w:eastAsia="zh-CN"/>
        </w:rPr>
        <w:t xml:space="preserve"> </w:t>
      </w:r>
      <w:r>
        <w:rPr>
          <w:rFonts w:hint="default" w:asciiTheme="minorAscii" w:hAnsiTheme="minorAscii"/>
          <w:sz w:val="24"/>
          <w:highlight w:val="none"/>
          <w:lang w:val="en-US" w:eastAsia="zh-CN"/>
        </w:rPr>
        <w:t>202</w:t>
      </w:r>
      <w:r>
        <w:rPr>
          <w:rFonts w:hint="eastAsia" w:asciiTheme="minorAscii" w:hAnsiTheme="minorAscii"/>
          <w:sz w:val="24"/>
          <w:highlight w:val="none"/>
          <w:lang w:val="en-US" w:eastAsia="zh-CN"/>
        </w:rPr>
        <w:t>6</w:t>
      </w:r>
      <w:r>
        <w:rPr>
          <w:rFonts w:hint="default" w:asciiTheme="minorAscii" w:hAnsiTheme="minorAscii"/>
          <w:sz w:val="24"/>
          <w:highlight w:val="none"/>
        </w:rPr>
        <w:t>年</w:t>
      </w:r>
      <w:r>
        <w:rPr>
          <w:rFonts w:hint="eastAsia" w:asciiTheme="minorAscii" w:hAnsiTheme="minorAscii"/>
          <w:sz w:val="24"/>
          <w:highlight w:val="none"/>
          <w:lang w:val="en-US" w:eastAsia="zh-CN"/>
        </w:rPr>
        <w:t>3</w:t>
      </w:r>
      <w:r>
        <w:rPr>
          <w:rFonts w:hint="default" w:asciiTheme="minorAscii" w:hAnsiTheme="minorAscii"/>
          <w:sz w:val="24"/>
          <w:highlight w:val="none"/>
        </w:rPr>
        <w:t>月</w:t>
      </w:r>
      <w:r>
        <w:rPr>
          <w:rFonts w:hint="eastAsia" w:asciiTheme="minorAscii" w:hAnsiTheme="minorAscii"/>
          <w:sz w:val="24"/>
          <w:highlight w:val="none"/>
          <w:lang w:val="en-US" w:eastAsia="zh-CN"/>
        </w:rPr>
        <w:t>30</w:t>
      </w:r>
      <w:bookmarkStart w:id="0" w:name="_GoBack"/>
      <w:bookmarkEnd w:id="0"/>
      <w:r>
        <w:rPr>
          <w:rFonts w:hint="default" w:asciiTheme="minorAscii" w:hAnsiTheme="minorAscii"/>
          <w:sz w:val="24"/>
          <w:highlight w:val="none"/>
        </w:rPr>
        <w:t>日</w:t>
      </w:r>
    </w:p>
    <w:p/>
    <w:sectPr>
      <w:footerReference r:id="rId5" w:type="default"/>
      <w:pgSz w:w="11906" w:h="16838"/>
      <w:pgMar w:top="1440" w:right="1800" w:bottom="1246"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宋体,Bold">
    <w:altName w:val="方正书宋_GBK"/>
    <w:panose1 w:val="020B0604020202020204"/>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rPr>
        <w:rStyle w:val="8"/>
      </w:rPr>
      <w:instrText xml:space="preserve"> PAGE </w:instrText>
    </w:r>
    <w:r>
      <w:fldChar w:fldCharType="separate"/>
    </w:r>
    <w:r>
      <w:rPr>
        <w:rStyle w:val="8"/>
      </w:rPr>
      <w:t>- 7 -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rPr>
        <w:rFonts w:hint="eastAsia"/>
        <w:lang w:eastAsia="zh-CN"/>
      </w:rPr>
      <w:drawing>
        <wp:anchor distT="0" distB="0" distL="114300" distR="114300" simplePos="0" relativeHeight="251659264" behindDoc="1" locked="0" layoutInCell="1" allowOverlap="1">
          <wp:simplePos x="0" y="0"/>
          <wp:positionH relativeFrom="column">
            <wp:posOffset>13970</wp:posOffset>
          </wp:positionH>
          <wp:positionV relativeFrom="paragraph">
            <wp:posOffset>-118110</wp:posOffset>
          </wp:positionV>
          <wp:extent cx="994410" cy="240030"/>
          <wp:effectExtent l="0" t="0" r="15240" b="7620"/>
          <wp:wrapNone/>
          <wp:docPr id="1" name="图片 1" descr="华安资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华安资管LOGO"/>
                  <pic:cNvPicPr>
                    <a:picLocks noChangeAspect="1"/>
                  </pic:cNvPicPr>
                </pic:nvPicPr>
                <pic:blipFill>
                  <a:blip r:embed="rId1"/>
                  <a:stretch>
                    <a:fillRect/>
                  </a:stretch>
                </pic:blipFill>
                <pic:spPr>
                  <a:xfrm>
                    <a:off x="0" y="0"/>
                    <a:ext cx="994410" cy="240030"/>
                  </a:xfrm>
                  <a:prstGeom prst="rect">
                    <a:avLst/>
                  </a:prstGeom>
                </pic:spPr>
              </pic:pic>
            </a:graphicData>
          </a:graphic>
        </wp:anchor>
      </w:drawing>
    </w:r>
    <w:r>
      <w:rPr>
        <w:rFonts w:hint="eastAsia"/>
        <w:lang w:val="en-US" w:eastAsia="zh-CN"/>
      </w:rPr>
      <w:t xml:space="preserve">                    </w:t>
    </w:r>
    <w:r>
      <w:rPr>
        <w:rFonts w:hint="eastAsia"/>
        <w:lang w:eastAsia="zh-CN"/>
      </w:rPr>
      <w:t>华安资管</w:t>
    </w:r>
    <w:r>
      <w:rPr>
        <w:rFonts w:hint="eastAsia"/>
        <w:lang w:val="en-US" w:eastAsia="zh-CN"/>
      </w:rPr>
      <w:t>湘赢36M035</w:t>
    </w:r>
    <w:r>
      <w:rPr>
        <w:rFonts w:hint="eastAsia"/>
        <w:lang w:eastAsia="zh-CN"/>
      </w:rPr>
      <w:t>号</w:t>
    </w:r>
    <w:r>
      <w:rPr>
        <w:rFonts w:hint="eastAsia"/>
      </w:rPr>
      <w:t>集合资产管理计划发行公告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592EC4"/>
    <w:multiLevelType w:val="singleLevel"/>
    <w:tmpl w:val="E6592EC4"/>
    <w:lvl w:ilvl="0" w:tentative="0">
      <w:start w:val="1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M2E4MzUxMDk5NmMzNGM2OTJjOWQ0NzEyMzhhNDgifQ=="/>
  </w:docVars>
  <w:rsids>
    <w:rsidRoot w:val="2FD27F14"/>
    <w:rsid w:val="04E728B4"/>
    <w:rsid w:val="059C160D"/>
    <w:rsid w:val="0DEDF8E7"/>
    <w:rsid w:val="109F7E07"/>
    <w:rsid w:val="116326A0"/>
    <w:rsid w:val="1BF68A1A"/>
    <w:rsid w:val="24CD15F1"/>
    <w:rsid w:val="25C01E7E"/>
    <w:rsid w:val="2B5F0E0B"/>
    <w:rsid w:val="2FD27F14"/>
    <w:rsid w:val="31245BB5"/>
    <w:rsid w:val="33DB245B"/>
    <w:rsid w:val="35AFEC61"/>
    <w:rsid w:val="36B770F5"/>
    <w:rsid w:val="37FD0CA2"/>
    <w:rsid w:val="399FE9C3"/>
    <w:rsid w:val="3EFDB124"/>
    <w:rsid w:val="3EFF8E87"/>
    <w:rsid w:val="4A7E7ED8"/>
    <w:rsid w:val="4BC43AE7"/>
    <w:rsid w:val="4C65464A"/>
    <w:rsid w:val="4D3DEEAB"/>
    <w:rsid w:val="4E1C4964"/>
    <w:rsid w:val="4F2A4B35"/>
    <w:rsid w:val="4FFD3F47"/>
    <w:rsid w:val="4FFF9A44"/>
    <w:rsid w:val="501A5E96"/>
    <w:rsid w:val="53435031"/>
    <w:rsid w:val="53CC7BF0"/>
    <w:rsid w:val="5656CC93"/>
    <w:rsid w:val="57647347"/>
    <w:rsid w:val="57FFB124"/>
    <w:rsid w:val="5F73E409"/>
    <w:rsid w:val="5FFC6E50"/>
    <w:rsid w:val="6045009A"/>
    <w:rsid w:val="66421087"/>
    <w:rsid w:val="67474839"/>
    <w:rsid w:val="677E871F"/>
    <w:rsid w:val="6B7E74B0"/>
    <w:rsid w:val="6DBE71AC"/>
    <w:rsid w:val="6EFCB7F9"/>
    <w:rsid w:val="6FEC6159"/>
    <w:rsid w:val="71CEB6CF"/>
    <w:rsid w:val="73B1645D"/>
    <w:rsid w:val="73F3357B"/>
    <w:rsid w:val="75F59D88"/>
    <w:rsid w:val="772ED7D0"/>
    <w:rsid w:val="77D43A43"/>
    <w:rsid w:val="77EF8FB6"/>
    <w:rsid w:val="7B8E7AF4"/>
    <w:rsid w:val="7E9F9D29"/>
    <w:rsid w:val="7EAD1D93"/>
    <w:rsid w:val="7EEFA874"/>
    <w:rsid w:val="7F2607BE"/>
    <w:rsid w:val="7F5FEDE3"/>
    <w:rsid w:val="7F6FA225"/>
    <w:rsid w:val="7F7DC6D8"/>
    <w:rsid w:val="7FD39087"/>
    <w:rsid w:val="A5DFEA95"/>
    <w:rsid w:val="ABFF0AAD"/>
    <w:rsid w:val="AFDEAFB0"/>
    <w:rsid w:val="B3BFF88A"/>
    <w:rsid w:val="BE2DF62F"/>
    <w:rsid w:val="BECF9A99"/>
    <w:rsid w:val="CE77D2BE"/>
    <w:rsid w:val="D5DB09B9"/>
    <w:rsid w:val="D77F269C"/>
    <w:rsid w:val="E3C61F05"/>
    <w:rsid w:val="E57D7CCB"/>
    <w:rsid w:val="EEEE6467"/>
    <w:rsid w:val="EF19111F"/>
    <w:rsid w:val="EFDA4645"/>
    <w:rsid w:val="F4B48D33"/>
    <w:rsid w:val="F5BACA20"/>
    <w:rsid w:val="F9771E37"/>
    <w:rsid w:val="FBF310D1"/>
    <w:rsid w:val="FD7E5C45"/>
    <w:rsid w:val="FF253E9A"/>
    <w:rsid w:val="FFAFA368"/>
    <w:rsid w:val="FFDF98E4"/>
    <w:rsid w:val="FFFC2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style>
  <w:style w:type="paragraph" w:styleId="3">
    <w:name w:val="Body Text Indent"/>
    <w:basedOn w:val="1"/>
    <w:semiHidden/>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3033</Words>
  <Characters>3282</Characters>
  <Lines>0</Lines>
  <Paragraphs>0</Paragraphs>
  <TotalTime>57</TotalTime>
  <ScaleCrop>false</ScaleCrop>
  <LinksUpToDate>false</LinksUpToDate>
  <CharactersWithSpaces>3289</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2024-10-31T02:15:00Z</dcterms:created>
  <dc:creator>薛晓奥</dc:creator>
  <cp:lastModifiedBy>唐正青</cp:lastModifiedBy>
  <cp:lastPrinted>2025-12-13T01:56:00Z</cp:lastPrinted>
  <dcterms:modified xsi:type="dcterms:W3CDTF">2026-02-27T10:16:22Z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FFC6E0F78F144C31BB9B3E50D8C254DB_13</vt:lpwstr>
  </property>
  <property fmtid="{D5CDD505-2E9C-101B-9397-08002B2CF9AE}" pid="4" name="KSOTemplateDocerSaveRecord">
    <vt:lpwstr>eyJoZGlkIjoiOGI0NjAyOGM2YjkyMTczM2FkMjAwNjkxYjdlZWVkZjIiLCJ1c2VySWQiOiIxNzUzODQ5MDc5In0=</vt:lpwstr>
  </property>
</Properties>
</file>