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3E4" w:rsidRDefault="00D26BB4">
      <w:pPr>
        <w:spacing w:line="360" w:lineRule="atLeast"/>
        <w:ind w:firstLineChars="800" w:firstLine="2570"/>
        <w:outlineLvl w:val="0"/>
        <w:rPr>
          <w:rFonts w:ascii="宋体" w:hAnsi="宋体"/>
          <w:b/>
          <w:sz w:val="32"/>
          <w:szCs w:val="32"/>
        </w:rPr>
        <w:sectPr w:rsidR="009643E4">
          <w:pgSz w:w="11906" w:h="16838"/>
          <w:pgMar w:top="720" w:right="720" w:bottom="720" w:left="720" w:header="851" w:footer="992" w:gutter="0"/>
          <w:cols w:space="720"/>
          <w:docGrid w:type="lines" w:linePitch="312"/>
        </w:sectPr>
      </w:pPr>
      <w:bookmarkStart w:id="0" w:name="TITLE_5183a047188a4f42b912b56b5e280115"/>
      <w:r>
        <w:rPr>
          <w:rFonts w:ascii="宋体" w:hAnsi="宋体" w:hint="eastAsia"/>
          <w:b/>
          <w:sz w:val="32"/>
          <w:szCs w:val="32"/>
        </w:rPr>
        <w:t>湖南</w:t>
      </w:r>
      <w:r>
        <w:rPr>
          <w:rFonts w:ascii="宋体" w:hAnsi="宋体" w:hint="eastAsia"/>
          <w:b/>
          <w:sz w:val="32"/>
          <w:szCs w:val="32"/>
        </w:rPr>
        <w:t>银行净值型人民币理财产品说明书</w:t>
      </w:r>
      <w:bookmarkEnd w:id="0"/>
    </w:p>
    <w:p w:rsidR="009643E4" w:rsidRDefault="00D26BB4">
      <w:pPr>
        <w:spacing w:line="360" w:lineRule="atLeast"/>
        <w:jc w:val="center"/>
        <w:rPr>
          <w:rFonts w:ascii="仿宋" w:eastAsia="仿宋" w:hAnsi="仿宋" w:cs="宋体"/>
          <w:b/>
          <w:bCs/>
          <w:sz w:val="28"/>
          <w:szCs w:val="28"/>
        </w:rPr>
      </w:pPr>
      <w:bookmarkStart w:id="1" w:name="CLAUSE_2da139df3f3e4813bca3ef4e4479ba0c"/>
      <w:r>
        <w:lastRenderedPageBreak/>
        <w:t xml:space="preserve"> </w:t>
      </w:r>
      <w:bookmarkStart w:id="2" w:name="CTS_2da139df3f3e4813bca3ef4e4479ba0c"/>
      <w:bookmarkEnd w:id="2"/>
      <w:r>
        <w:rPr>
          <w:rFonts w:ascii="仿宋" w:eastAsia="仿宋" w:hAnsi="仿宋" w:cs="宋体"/>
          <w:b/>
          <w:bCs/>
          <w:sz w:val="28"/>
          <w:szCs w:val="28"/>
        </w:rPr>
        <w:t>理财非存款</w:t>
      </w:r>
      <w:r>
        <w:rPr>
          <w:rFonts w:ascii="仿宋" w:eastAsia="仿宋" w:hAnsi="仿宋" w:cs="宋体" w:hint="eastAsia"/>
          <w:b/>
          <w:bCs/>
          <w:sz w:val="28"/>
          <w:szCs w:val="28"/>
        </w:rPr>
        <w:t>、</w:t>
      </w:r>
      <w:r>
        <w:rPr>
          <w:rFonts w:ascii="仿宋" w:eastAsia="仿宋" w:hAnsi="仿宋" w:cs="宋体"/>
          <w:b/>
          <w:bCs/>
          <w:sz w:val="28"/>
          <w:szCs w:val="28"/>
        </w:rPr>
        <w:t>产品有风险</w:t>
      </w:r>
      <w:r>
        <w:rPr>
          <w:rFonts w:ascii="仿宋" w:eastAsia="仿宋" w:hAnsi="仿宋" w:cs="宋体" w:hint="eastAsia"/>
          <w:b/>
          <w:bCs/>
          <w:sz w:val="28"/>
          <w:szCs w:val="28"/>
        </w:rPr>
        <w:t>、</w:t>
      </w:r>
      <w:r>
        <w:rPr>
          <w:rFonts w:ascii="仿宋" w:eastAsia="仿宋" w:hAnsi="仿宋" w:cs="宋体"/>
          <w:b/>
          <w:bCs/>
          <w:sz w:val="28"/>
          <w:szCs w:val="28"/>
        </w:rPr>
        <w:t>投资须谨慎</w:t>
      </w:r>
    </w:p>
    <w:p w:rsidR="009643E4" w:rsidRDefault="00D26BB4">
      <w:pPr>
        <w:spacing w:line="360" w:lineRule="atLeast"/>
        <w:ind w:rightChars="15" w:right="31" w:firstLineChars="3750" w:firstLine="7875"/>
        <w:jc w:val="left"/>
        <w:rPr>
          <w:rFonts w:ascii="宋体" w:hAnsi="宋体" w:cs="宋体"/>
          <w:bCs/>
          <w:szCs w:val="21"/>
          <w:u w:val="single"/>
        </w:rPr>
      </w:pPr>
      <w:r>
        <w:rPr>
          <w:rFonts w:ascii="宋体" w:hAnsi="宋体" w:cs="宋体" w:hint="eastAsia"/>
          <w:bCs/>
          <w:szCs w:val="21"/>
        </w:rPr>
        <w:t>协议编号</w:t>
      </w:r>
      <w:r>
        <w:rPr>
          <w:rFonts w:ascii="宋体" w:hAnsi="宋体" w:cs="宋体"/>
          <w:bCs/>
          <w:szCs w:val="21"/>
        </w:rPr>
        <w:t>:</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9643E4">
        <w:tc>
          <w:tcPr>
            <w:tcW w:w="10682" w:type="dxa"/>
            <w:shd w:val="clear" w:color="auto" w:fill="auto"/>
          </w:tcPr>
          <w:p w:rsidR="009643E4" w:rsidRDefault="00D26BB4">
            <w:pPr>
              <w:rPr>
                <w:rFonts w:ascii="宋体" w:hAnsi="宋体" w:cs="宋体"/>
                <w:szCs w:val="21"/>
              </w:rPr>
            </w:pPr>
            <w:r>
              <w:t xml:space="preserve">1. </w:t>
            </w:r>
            <w:r>
              <w:rPr>
                <w:rFonts w:ascii="宋体" w:hAnsi="宋体" w:cs="宋体" w:hint="eastAsia"/>
                <w:szCs w:val="21"/>
              </w:rPr>
              <w:t>本理财产品仅向依据中华人民共和国有关法律法规及本产品理财合同规定可以购买本理财产品的投资者发售。</w:t>
            </w:r>
          </w:p>
          <w:p w:rsidR="009643E4" w:rsidRDefault="00D26BB4">
            <w:r>
              <w:t xml:space="preserve">2. </w:t>
            </w:r>
            <w:r>
              <w:rPr>
                <w:rFonts w:hint="eastAsia"/>
              </w:rPr>
              <w:t>本理财产品不同于银行存款，湖南银行不保证本金及收益，您的本金可能因为市场变动而蒙受相应损失，您应充分认识投资风险，谨慎投资。</w:t>
            </w:r>
          </w:p>
          <w:p w:rsidR="009643E4" w:rsidRDefault="00D26BB4">
            <w:r>
              <w:t xml:space="preserve">3. </w:t>
            </w:r>
            <w:r>
              <w:rPr>
                <w:rFonts w:hint="eastAsia"/>
              </w:rPr>
              <w:t>投资者不得使用贷款、发行债券等筹集的非自有资金投资本理财产品。</w:t>
            </w:r>
          </w:p>
          <w:p w:rsidR="009643E4" w:rsidRDefault="00D26BB4">
            <w:r>
              <w:t xml:space="preserve">4. </w:t>
            </w:r>
            <w:r>
              <w:rPr>
                <w:rFonts w:hint="eastAsia"/>
              </w:rPr>
              <w:t>在购买本理财产品前，请仔细阅读本理财产品销售文件，确保自己完全理解该项投资的性质和涉及的风险，详细了解并审慎评估本理财产品的投资方向、风险类型等基本情况，在慎重考虑后自行决定购买与自身风险承受能力和资产管理需求匹配的理财产品。</w:t>
            </w:r>
          </w:p>
          <w:p w:rsidR="009643E4" w:rsidRDefault="00D26BB4">
            <w:r>
              <w:t xml:space="preserve">5. </w:t>
            </w:r>
            <w:r>
              <w:rPr>
                <w:rFonts w:hint="eastAsia"/>
              </w:rPr>
              <w:t>本理财产品为非保本类理财产品，存在本金损失的可能。本理财产品的任何业绩比较区间、业绩比较基准或类似表述</w:t>
            </w:r>
            <w:r>
              <w:rPr>
                <w:rFonts w:ascii="宋体" w:hAnsi="宋体" w:hint="eastAsia"/>
                <w:szCs w:val="21"/>
              </w:rPr>
              <w:t>均属不具有法律约束力的用语，不代表投资者可能获得的实际收益</w:t>
            </w:r>
            <w:r>
              <w:rPr>
                <w:rFonts w:hint="eastAsia"/>
              </w:rPr>
              <w:t>，亦不构成湖南银行对本理财产品的任何收益承诺。</w:t>
            </w:r>
          </w:p>
          <w:p w:rsidR="009643E4" w:rsidRDefault="00D26BB4">
            <w:r>
              <w:t>6.</w:t>
            </w:r>
            <w:r>
              <w:rPr>
                <w:rFonts w:hint="eastAsia"/>
              </w:rPr>
              <w:t>理财产品过往业绩不代表其未来表现，不等于理财产品实际收益，投资须谨</w:t>
            </w:r>
            <w:r>
              <w:rPr>
                <w:rFonts w:hint="eastAsia"/>
              </w:rPr>
              <w:t>慎。</w:t>
            </w:r>
          </w:p>
          <w:p w:rsidR="009643E4" w:rsidRDefault="00D26BB4">
            <w:pPr>
              <w:rPr>
                <w:rFonts w:ascii="宋体" w:hAnsi="宋体"/>
                <w:szCs w:val="21"/>
              </w:rPr>
            </w:pPr>
            <w:r>
              <w:rPr>
                <w:rFonts w:hint="eastAsia"/>
              </w:rPr>
              <w:t>7</w:t>
            </w:r>
            <w:r>
              <w:t xml:space="preserve">. </w:t>
            </w:r>
            <w:r>
              <w:rPr>
                <w:rFonts w:ascii="宋体" w:hAnsi="宋体" w:hint="eastAsia"/>
                <w:szCs w:val="21"/>
              </w:rPr>
              <w:t>本《理财产品说明书》与《风险揭示书》《理财产品协议书》（包括《湖南银行个人理财产品协议书》《湖南银行机构理财产品协议书》）</w:t>
            </w:r>
            <w:r>
              <w:rPr>
                <w:rFonts w:ascii="宋体" w:hAnsi="宋体" w:hint="eastAsia"/>
                <w:spacing w:val="10"/>
                <w:szCs w:val="21"/>
              </w:rPr>
              <w:t>《客户权益须知》</w:t>
            </w:r>
            <w:r>
              <w:rPr>
                <w:rFonts w:ascii="宋体" w:hAnsi="宋体" w:hint="eastAsia"/>
                <w:szCs w:val="21"/>
              </w:rPr>
              <w:t>共同构成客户与湖南银行之间的完整的不可分割的理财产品购买合同（简称“本合同”）。本理财产品说明书在法律许可的范围内由湖南银行负责解释。</w:t>
            </w:r>
            <w:r>
              <w:rPr>
                <w:rFonts w:hint="eastAsia"/>
              </w:rPr>
              <w:t>若对本产品说明书的内容有任何疑问，请向湖南银行各营业网点咨询。</w:t>
            </w:r>
          </w:p>
          <w:p w:rsidR="009643E4" w:rsidRDefault="00D26BB4">
            <w:pPr>
              <w:rPr>
                <w:rFonts w:ascii="宋体" w:hAnsi="宋体"/>
                <w:szCs w:val="21"/>
              </w:rPr>
            </w:pPr>
            <w:r>
              <w:rPr>
                <w:rFonts w:ascii="宋体" w:hAnsi="宋体"/>
                <w:szCs w:val="21"/>
              </w:rPr>
              <w:t>8.</w:t>
            </w:r>
            <w:r>
              <w:rPr>
                <w:rFonts w:ascii="宋体" w:hAnsi="宋体" w:hint="eastAsia"/>
                <w:szCs w:val="21"/>
              </w:rPr>
              <w:t>在购买理财产品后，投资者应随时关注该理财产品的信息披露情况，及时获取相关信息。</w:t>
            </w:r>
          </w:p>
          <w:p w:rsidR="009643E4" w:rsidRDefault="00D26BB4">
            <w:pPr>
              <w:rPr>
                <w:rFonts w:ascii="宋体" w:hAnsi="宋体"/>
                <w:szCs w:val="21"/>
              </w:rPr>
            </w:pPr>
            <w:r>
              <w:rPr>
                <w:rFonts w:ascii="宋体" w:hAnsi="宋体"/>
                <w:szCs w:val="21"/>
              </w:rPr>
              <w:t>9.</w:t>
            </w:r>
            <w:r>
              <w:rPr>
                <w:rFonts w:ascii="宋体" w:hAnsi="宋体" w:hint="eastAsia"/>
                <w:szCs w:val="21"/>
              </w:rPr>
              <w:t>湖南银行承诺秉承诚实信用、勤勉尽责的原则，并根据本《产品说明书》所载要求管理和运用理财产品认购资金。</w:t>
            </w:r>
          </w:p>
          <w:p w:rsidR="009643E4" w:rsidRDefault="00D26BB4">
            <w:pPr>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为贯彻落实银行业理财登记托管中心发布的《</w:t>
            </w:r>
            <w:r>
              <w:rPr>
                <w:rFonts w:ascii="宋体" w:hAnsi="宋体" w:cs="宋体" w:hint="eastAsia"/>
                <w:kern w:val="0"/>
                <w:szCs w:val="21"/>
              </w:rPr>
              <w:t>&lt;</w:t>
            </w:r>
            <w:r>
              <w:rPr>
                <w:rFonts w:ascii="宋体" w:hAnsi="宋体" w:cs="宋体" w:hint="eastAsia"/>
                <w:kern w:val="0"/>
                <w:szCs w:val="21"/>
              </w:rPr>
              <w:t>中国银行保险监督管理委员会办公厅</w:t>
            </w:r>
            <w:r>
              <w:rPr>
                <w:rFonts w:ascii="宋体" w:hAnsi="宋体" w:cs="宋体" w:hint="eastAsia"/>
                <w:kern w:val="0"/>
                <w:szCs w:val="21"/>
              </w:rPr>
              <w:t>&lt;</w:t>
            </w:r>
            <w:r>
              <w:rPr>
                <w:rFonts w:ascii="宋体" w:hAnsi="宋体" w:cs="宋体" w:hint="eastAsia"/>
                <w:kern w:val="0"/>
                <w:szCs w:val="21"/>
              </w:rPr>
              <w:t>关于进一步做好银行理财登记工作有关事项的通知</w:t>
            </w:r>
            <w:r>
              <w:rPr>
                <w:rFonts w:ascii="宋体" w:hAnsi="宋体" w:cs="宋体" w:hint="eastAsia"/>
                <w:kern w:val="0"/>
                <w:szCs w:val="21"/>
              </w:rPr>
              <w:t>&gt;</w:t>
            </w:r>
            <w:r>
              <w:rPr>
                <w:rFonts w:ascii="宋体" w:hAnsi="宋体" w:cs="宋体" w:hint="eastAsia"/>
                <w:kern w:val="0"/>
                <w:szCs w:val="21"/>
              </w:rPr>
              <w:t>实施细则》（理财中心发</w:t>
            </w:r>
            <w:r>
              <w:rPr>
                <w:rFonts w:ascii="宋体" w:hAnsi="宋体" w:cs="宋体" w:hint="eastAsia"/>
                <w:kern w:val="0"/>
                <w:szCs w:val="21"/>
              </w:rPr>
              <w:t>[2018]18</w:t>
            </w:r>
            <w:r>
              <w:rPr>
                <w:rFonts w:ascii="宋体" w:hAnsi="宋体" w:cs="宋体" w:hint="eastAsia"/>
                <w:kern w:val="0"/>
                <w:szCs w:val="21"/>
              </w:rPr>
              <w:t>号）文件的精神及相关实施细则及《银行业理财登记托管中心关于</w:t>
            </w:r>
            <w:r>
              <w:rPr>
                <w:rFonts w:ascii="宋体" w:hAnsi="宋体" w:cs="宋体" w:hint="eastAsia"/>
                <w:kern w:val="0"/>
                <w:szCs w:val="21"/>
              </w:rPr>
              <w:t>&lt;</w:t>
            </w:r>
            <w:r>
              <w:rPr>
                <w:rFonts w:ascii="宋体" w:hAnsi="宋体" w:cs="宋体" w:hint="eastAsia"/>
                <w:kern w:val="0"/>
                <w:szCs w:val="21"/>
              </w:rPr>
              <w:t>中国银保监会办公厅关于印发银行业金融机构监管数据标准化规范（</w:t>
            </w:r>
            <w:r>
              <w:rPr>
                <w:rFonts w:ascii="宋体" w:hAnsi="宋体" w:cs="宋体" w:hint="eastAsia"/>
                <w:kern w:val="0"/>
                <w:szCs w:val="21"/>
              </w:rPr>
              <w:t>2019</w:t>
            </w:r>
            <w:r>
              <w:rPr>
                <w:rFonts w:ascii="宋体" w:hAnsi="宋体" w:cs="宋体" w:hint="eastAsia"/>
                <w:kern w:val="0"/>
                <w:szCs w:val="21"/>
              </w:rPr>
              <w:t>版）</w:t>
            </w:r>
            <w:r>
              <w:rPr>
                <w:rFonts w:ascii="宋体" w:hAnsi="宋体" w:cs="宋体" w:hint="eastAsia"/>
                <w:kern w:val="0"/>
                <w:szCs w:val="21"/>
              </w:rPr>
              <w:t>&gt;</w:t>
            </w:r>
            <w:r>
              <w:rPr>
                <w:rFonts w:ascii="宋体" w:hAnsi="宋体" w:cs="宋体" w:hint="eastAsia"/>
                <w:kern w:val="0"/>
                <w:szCs w:val="21"/>
              </w:rPr>
              <w:t>数据报送工作的通知》的要求，</w:t>
            </w:r>
            <w:r>
              <w:rPr>
                <w:rFonts w:ascii="宋体" w:hAnsi="宋体" w:hint="eastAsia"/>
                <w:szCs w:val="21"/>
              </w:rPr>
              <w:t>湖南银行</w:t>
            </w:r>
            <w:r>
              <w:rPr>
                <w:rFonts w:ascii="宋体" w:hAnsi="宋体" w:cs="宋体" w:hint="eastAsia"/>
                <w:kern w:val="0"/>
                <w:szCs w:val="21"/>
              </w:rPr>
              <w:t>将向监管机构报送投资者身份信息、每日交易、持仓等信息。后续</w:t>
            </w:r>
            <w:r>
              <w:rPr>
                <w:rFonts w:ascii="宋体" w:hAnsi="宋体" w:cs="宋体" w:hint="eastAsia"/>
                <w:kern w:val="0"/>
                <w:szCs w:val="21"/>
              </w:rPr>
              <w:t>监管机构</w:t>
            </w:r>
            <w:r>
              <w:rPr>
                <w:rFonts w:ascii="宋体" w:hAnsi="宋体" w:cs="宋体" w:hint="eastAsia"/>
                <w:kern w:val="0"/>
                <w:szCs w:val="21"/>
              </w:rPr>
              <w:t>和银行业</w:t>
            </w:r>
            <w:r>
              <w:rPr>
                <w:rFonts w:ascii="宋体" w:hAnsi="宋体" w:cs="宋体" w:hint="eastAsia"/>
                <w:kern w:val="0"/>
                <w:szCs w:val="21"/>
              </w:rPr>
              <w:t>理财登记中心等机关如果提出新的信息报送要求，</w:t>
            </w:r>
            <w:r>
              <w:rPr>
                <w:rFonts w:ascii="宋体" w:hAnsi="宋体" w:hint="eastAsia"/>
                <w:szCs w:val="21"/>
              </w:rPr>
              <w:t>湖南银行将按照该等机关的要求执行。投资者签署本合同即视为已经同意管理人将投资者身份信息及每日持仓信息报送相关监管机构。</w:t>
            </w:r>
            <w:r>
              <w:rPr>
                <w:rFonts w:ascii="宋体" w:hAnsi="宋体" w:cs="宋体" w:hint="eastAsia"/>
                <w:kern w:val="0"/>
                <w:szCs w:val="21"/>
              </w:rPr>
              <w:t>投资者可在“中国理财网”（</w:t>
            </w:r>
            <w:r>
              <w:rPr>
                <w:rFonts w:ascii="宋体" w:hAnsi="宋体" w:cs="宋体" w:hint="eastAsia"/>
                <w:kern w:val="0"/>
                <w:szCs w:val="21"/>
              </w:rPr>
              <w:t>https:</w:t>
            </w:r>
            <w:r>
              <w:rPr>
                <w:rFonts w:ascii="宋体" w:hAnsi="宋体" w:cs="宋体"/>
                <w:kern w:val="0"/>
                <w:szCs w:val="21"/>
              </w:rPr>
              <w:t>//</w:t>
            </w:r>
            <w:r>
              <w:rPr>
                <w:rFonts w:ascii="宋体" w:hAnsi="宋体" w:cs="宋体" w:hint="eastAsia"/>
                <w:kern w:val="0"/>
                <w:szCs w:val="21"/>
              </w:rPr>
              <w:t>www.chinawealth.com.cn</w:t>
            </w:r>
            <w:r>
              <w:rPr>
                <w:rFonts w:ascii="宋体" w:hAnsi="宋体" w:cs="宋体"/>
                <w:kern w:val="0"/>
                <w:szCs w:val="21"/>
              </w:rPr>
              <w:t>）</w:t>
            </w:r>
            <w:r>
              <w:rPr>
                <w:rFonts w:ascii="宋体" w:hAnsi="宋体" w:cs="宋体" w:hint="eastAsia"/>
                <w:kern w:val="0"/>
                <w:szCs w:val="21"/>
              </w:rPr>
              <w:t>查询产品信息。</w:t>
            </w:r>
          </w:p>
          <w:p w:rsidR="009643E4" w:rsidRDefault="00D26BB4">
            <w:pPr>
              <w:rPr>
                <w:rFonts w:ascii="宋体" w:hAnsi="宋体" w:cs="宋体"/>
                <w:b/>
                <w:bCs/>
                <w:szCs w:val="21"/>
              </w:rPr>
            </w:pPr>
            <w:r>
              <w:rPr>
                <w:rFonts w:ascii="宋体" w:hAnsi="宋体" w:cs="宋体" w:hint="eastAsia"/>
                <w:kern w:val="0"/>
                <w:szCs w:val="21"/>
              </w:rPr>
              <w:t>11.</w:t>
            </w:r>
            <w:r>
              <w:rPr>
                <w:rFonts w:ascii="宋体" w:hAnsi="宋体" w:cs="宋体" w:hint="eastAsia"/>
                <w:kern w:val="0"/>
                <w:szCs w:val="21"/>
              </w:rPr>
              <w:t>根据监管要求，理财资产管理人（特指除湖南银行以外的其他管理人，包括但不限于本理财产品投资的信托计划</w:t>
            </w:r>
            <w:r>
              <w:rPr>
                <w:rFonts w:ascii="宋体" w:hAnsi="宋体" w:cs="宋体" w:hint="eastAsia"/>
                <w:kern w:val="0"/>
                <w:szCs w:val="21"/>
              </w:rPr>
              <w:t>/</w:t>
            </w:r>
            <w:proofErr w:type="gramStart"/>
            <w:r>
              <w:rPr>
                <w:rFonts w:ascii="宋体" w:hAnsi="宋体" w:cs="宋体" w:hint="eastAsia"/>
                <w:kern w:val="0"/>
                <w:szCs w:val="21"/>
              </w:rPr>
              <w:t>资管计划</w:t>
            </w:r>
            <w:proofErr w:type="gramEnd"/>
            <w:r>
              <w:rPr>
                <w:rFonts w:ascii="宋体" w:hAnsi="宋体" w:cs="宋体" w:hint="eastAsia"/>
                <w:kern w:val="0"/>
                <w:szCs w:val="21"/>
              </w:rPr>
              <w:t>的受托人、相关投资顾问等，下同）有可能需要向监管机构报送投资者身份信息和持仓信息等，湖南银行将应管理人申请，在法律法规允许范围内向管</w:t>
            </w:r>
            <w:r>
              <w:rPr>
                <w:rFonts w:ascii="宋体" w:hAnsi="宋体" w:cs="宋体" w:hint="eastAsia"/>
                <w:kern w:val="0"/>
                <w:szCs w:val="21"/>
              </w:rPr>
              <w:t>理人提供相关信息，并要求该等管理人履行投资者信息保密义务。</w:t>
            </w:r>
          </w:p>
        </w:tc>
      </w:tr>
    </w:tbl>
    <w:p w:rsidR="009643E4" w:rsidRDefault="009643E4">
      <w:pPr>
        <w:spacing w:line="360" w:lineRule="atLeast"/>
        <w:ind w:rightChars="15" w:right="31"/>
        <w:jc w:val="left"/>
        <w:rPr>
          <w:rFonts w:ascii="宋体" w:hAnsi="宋体" w:cs="宋体"/>
          <w:b/>
          <w:bCs/>
          <w:szCs w:val="21"/>
        </w:rPr>
      </w:pPr>
    </w:p>
    <w:p w:rsidR="009643E4" w:rsidRDefault="00D26BB4">
      <w:pPr>
        <w:widowControl/>
        <w:spacing w:beforeLines="50" w:before="156" w:afterLines="50" w:after="156" w:line="360" w:lineRule="atLeast"/>
        <w:ind w:left="-2" w:rightChars="15" w:right="31"/>
        <w:rPr>
          <w:rFonts w:ascii="宋体" w:hAnsi="宋体" w:cs="宋体"/>
          <w:b/>
          <w:bCs/>
          <w:szCs w:val="21"/>
        </w:rPr>
      </w:pPr>
      <w:r>
        <w:rPr>
          <w:rFonts w:ascii="宋体" w:hAnsi="宋体" w:cs="宋体" w:hint="eastAsia"/>
          <w:b/>
          <w:bCs/>
          <w:szCs w:val="21"/>
        </w:rPr>
        <w:t>一、产品概述</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647"/>
      </w:tblGrid>
      <w:tr w:rsidR="009643E4">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jc w:val="center"/>
              <w:rPr>
                <w:rFonts w:ascii="宋体" w:hAnsi="宋体"/>
                <w:kern w:val="0"/>
                <w:szCs w:val="21"/>
              </w:rPr>
            </w:pPr>
            <w:r>
              <w:rPr>
                <w:rFonts w:ascii="宋体" w:hAnsi="宋体" w:cs="宋体" w:hint="eastAsia"/>
                <w:kern w:val="0"/>
                <w:szCs w:val="21"/>
              </w:rPr>
              <w:t>产品名称</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rightChars="15" w:right="31"/>
              <w:rPr>
                <w:rFonts w:ascii="宋体" w:hAnsi="宋体"/>
                <w:szCs w:val="21"/>
              </w:rPr>
            </w:pPr>
            <w:proofErr w:type="gramStart"/>
            <w:r>
              <w:rPr>
                <w:rFonts w:ascii="宋体" w:hAnsi="宋体" w:hint="eastAsia"/>
                <w:szCs w:val="21"/>
              </w:rPr>
              <w:t>富盈系列</w:t>
            </w:r>
            <w:proofErr w:type="gramEnd"/>
            <w:r>
              <w:rPr>
                <w:rFonts w:ascii="宋体" w:hAnsi="宋体" w:hint="eastAsia"/>
                <w:szCs w:val="21"/>
              </w:rPr>
              <w:t>（净值型）</w:t>
            </w:r>
            <w:r>
              <w:rPr>
                <w:rFonts w:ascii="宋体" w:hAnsi="宋体" w:hint="eastAsia"/>
                <w:szCs w:val="21"/>
              </w:rPr>
              <w:t>26006</w:t>
            </w:r>
            <w:r>
              <w:rPr>
                <w:rFonts w:ascii="宋体" w:hAnsi="宋体" w:hint="eastAsia"/>
                <w:szCs w:val="21"/>
              </w:rPr>
              <w:t>号理财产品</w:t>
            </w:r>
          </w:p>
        </w:tc>
      </w:tr>
      <w:tr w:rsidR="009643E4">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产品编号</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rightChars="15" w:right="31"/>
              <w:rPr>
                <w:rFonts w:ascii="宋体" w:hAnsi="宋体"/>
                <w:szCs w:val="21"/>
              </w:rPr>
            </w:pPr>
            <w:r>
              <w:rPr>
                <w:rFonts w:ascii="宋体" w:hAnsi="宋体" w:hint="eastAsia"/>
                <w:szCs w:val="21"/>
              </w:rPr>
              <w:t>G26006</w:t>
            </w:r>
          </w:p>
        </w:tc>
      </w:tr>
      <w:tr w:rsidR="009643E4">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jc w:val="center"/>
              <w:rPr>
                <w:rFonts w:ascii="宋体" w:hAnsi="宋体" w:cs="宋体"/>
                <w:kern w:val="0"/>
                <w:szCs w:val="21"/>
              </w:rPr>
            </w:pPr>
            <w:r>
              <w:rPr>
                <w:rFonts w:ascii="宋体" w:hAnsi="宋体" w:cs="宋体" w:hint="eastAsia"/>
                <w:kern w:val="0"/>
                <w:szCs w:val="21"/>
              </w:rPr>
              <w:t>登记编码</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A82636">
            <w:pPr>
              <w:spacing w:line="360" w:lineRule="atLeast"/>
              <w:ind w:rightChars="15" w:right="31"/>
              <w:rPr>
                <w:rFonts w:ascii="宋体" w:hAnsi="宋体" w:cs="宋体"/>
                <w:kern w:val="0"/>
                <w:szCs w:val="21"/>
              </w:rPr>
            </w:pPr>
            <w:r>
              <w:rPr>
                <w:rFonts w:ascii="宋体" w:hAnsi="宋体" w:hint="eastAsia"/>
                <w:szCs w:val="21"/>
              </w:rPr>
              <w:t>C1136026000004</w:t>
            </w:r>
            <w:r w:rsidR="00D26BB4">
              <w:rPr>
                <w:rFonts w:ascii="宋体" w:hAnsi="宋体" w:hint="eastAsia"/>
                <w:szCs w:val="21"/>
              </w:rPr>
              <w:t>（为全国银行业理财信息登记系统的登记编码，客户可依据该登记编码在中国</w:t>
            </w:r>
            <w:proofErr w:type="gramStart"/>
            <w:r w:rsidR="00D26BB4">
              <w:rPr>
                <w:rFonts w:ascii="宋体" w:hAnsi="宋体" w:hint="eastAsia"/>
                <w:szCs w:val="21"/>
              </w:rPr>
              <w:t>理财网</w:t>
            </w:r>
            <w:proofErr w:type="gramEnd"/>
            <w:r w:rsidR="00D26BB4">
              <w:rPr>
                <w:rFonts w:ascii="宋体" w:hAnsi="宋体" w:hint="eastAsia"/>
                <w:szCs w:val="21"/>
              </w:rPr>
              <w:t>查询该产品信息）</w:t>
            </w:r>
          </w:p>
        </w:tc>
      </w:tr>
      <w:tr w:rsidR="009643E4">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jc w:val="center"/>
              <w:rPr>
                <w:rFonts w:ascii="宋体" w:hAnsi="宋体" w:cs="宋体"/>
                <w:kern w:val="0"/>
                <w:szCs w:val="21"/>
              </w:rPr>
            </w:pPr>
            <w:r>
              <w:rPr>
                <w:rFonts w:ascii="宋体" w:hAnsi="宋体" w:cs="宋体" w:hint="eastAsia"/>
                <w:kern w:val="0"/>
                <w:szCs w:val="21"/>
              </w:rPr>
              <w:t>理财币种</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rightChars="15" w:right="31"/>
              <w:rPr>
                <w:rFonts w:ascii="宋体" w:hAnsi="宋体" w:cs="宋体"/>
                <w:kern w:val="0"/>
                <w:szCs w:val="21"/>
              </w:rPr>
            </w:pPr>
            <w:r>
              <w:rPr>
                <w:rFonts w:ascii="宋体" w:hAnsi="宋体" w:cs="宋体"/>
                <w:szCs w:val="21"/>
              </w:rPr>
              <w:t>人民币</w:t>
            </w:r>
          </w:p>
        </w:tc>
      </w:tr>
      <w:tr w:rsidR="009643E4">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jc w:val="center"/>
              <w:rPr>
                <w:rFonts w:ascii="宋体" w:hAnsi="宋体"/>
                <w:kern w:val="0"/>
                <w:szCs w:val="21"/>
              </w:rPr>
            </w:pPr>
            <w:r>
              <w:rPr>
                <w:rFonts w:ascii="宋体" w:hAnsi="宋体" w:cs="宋体" w:hint="eastAsia"/>
                <w:kern w:val="0"/>
                <w:szCs w:val="21"/>
              </w:rPr>
              <w:t>产品类型</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rightChars="15" w:right="31"/>
              <w:rPr>
                <w:rFonts w:ascii="宋体" w:hAnsi="宋体"/>
                <w:kern w:val="0"/>
                <w:szCs w:val="21"/>
              </w:rPr>
            </w:pPr>
            <w:r>
              <w:rPr>
                <w:rFonts w:ascii="宋体" w:hAnsi="宋体" w:cs="宋体" w:hint="eastAsia"/>
                <w:kern w:val="0"/>
                <w:szCs w:val="21"/>
              </w:rPr>
              <w:t>公募、封闭式、固定收益类净值型产品</w:t>
            </w:r>
          </w:p>
        </w:tc>
      </w:tr>
      <w:tr w:rsidR="009643E4">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jc w:val="center"/>
              <w:rPr>
                <w:rFonts w:ascii="宋体" w:hAnsi="宋体" w:cs="宋体"/>
                <w:kern w:val="0"/>
                <w:szCs w:val="21"/>
              </w:rPr>
            </w:pPr>
            <w:r>
              <w:rPr>
                <w:rFonts w:ascii="宋体" w:hAnsi="宋体" w:cs="宋体" w:hint="eastAsia"/>
                <w:kern w:val="0"/>
                <w:szCs w:val="21"/>
              </w:rPr>
              <w:t>内部风险评级</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rightChars="15" w:right="31"/>
              <w:rPr>
                <w:rFonts w:ascii="宋体" w:hAnsi="宋体" w:cs="宋体"/>
                <w:kern w:val="0"/>
                <w:szCs w:val="21"/>
              </w:rPr>
            </w:pPr>
            <w:r>
              <w:rPr>
                <w:rFonts w:ascii="宋体" w:hAnsi="宋体" w:cs="宋体"/>
                <w:szCs w:val="21"/>
              </w:rPr>
              <w:t>根据本行理财产品风险评级，本产品属于【</w:t>
            </w:r>
            <w:r>
              <w:rPr>
                <w:rFonts w:ascii="宋体" w:hAnsi="宋体" w:cs="宋体"/>
                <w:szCs w:val="21"/>
              </w:rPr>
              <w:t>□</w:t>
            </w:r>
            <w:r>
              <w:rPr>
                <w:rFonts w:ascii="宋体" w:hAnsi="宋体" w:cs="宋体"/>
                <w:szCs w:val="21"/>
              </w:rPr>
              <w:t>低风险（</w:t>
            </w:r>
            <w:r>
              <w:rPr>
                <w:rFonts w:ascii="宋体" w:hAnsi="宋体" w:cs="宋体"/>
                <w:szCs w:val="21"/>
              </w:rPr>
              <w:t>R1</w:t>
            </w:r>
            <w:r>
              <w:rPr>
                <w:rFonts w:ascii="宋体" w:hAnsi="宋体" w:cs="宋体"/>
                <w:szCs w:val="21"/>
              </w:rPr>
              <w:t>）、</w:t>
            </w:r>
            <w:r>
              <w:rPr>
                <w:rFonts w:ascii="宋体" w:hAnsi="宋体" w:cs="宋体"/>
                <w:szCs w:val="21"/>
              </w:rPr>
              <w:t>■</w:t>
            </w:r>
            <w:r>
              <w:rPr>
                <w:rFonts w:ascii="宋体" w:hAnsi="宋体" w:cs="宋体"/>
                <w:szCs w:val="21"/>
              </w:rPr>
              <w:t>中低风险（</w:t>
            </w:r>
            <w:r>
              <w:rPr>
                <w:rFonts w:ascii="宋体" w:hAnsi="宋体" w:cs="宋体"/>
                <w:szCs w:val="21"/>
              </w:rPr>
              <w:t>R2</w:t>
            </w:r>
            <w:r>
              <w:rPr>
                <w:rFonts w:ascii="宋体" w:hAnsi="宋体" w:cs="宋体"/>
                <w:szCs w:val="21"/>
              </w:rPr>
              <w:t>）、</w:t>
            </w:r>
            <w:r>
              <w:rPr>
                <w:rFonts w:ascii="宋体" w:hAnsi="宋体" w:cs="宋体"/>
                <w:szCs w:val="21"/>
              </w:rPr>
              <w:t>□</w:t>
            </w:r>
            <w:r>
              <w:rPr>
                <w:rFonts w:ascii="宋体" w:hAnsi="宋体" w:cs="宋体"/>
                <w:szCs w:val="21"/>
              </w:rPr>
              <w:t>中等风险（</w:t>
            </w:r>
            <w:r>
              <w:rPr>
                <w:rFonts w:ascii="宋体" w:hAnsi="宋体" w:cs="宋体"/>
                <w:szCs w:val="21"/>
              </w:rPr>
              <w:t>R3</w:t>
            </w:r>
            <w:r>
              <w:rPr>
                <w:rFonts w:ascii="宋体" w:hAnsi="宋体" w:cs="宋体"/>
                <w:szCs w:val="21"/>
              </w:rPr>
              <w:t>）、</w:t>
            </w:r>
            <w:r>
              <w:rPr>
                <w:rFonts w:ascii="宋体" w:hAnsi="宋体" w:cs="宋体"/>
                <w:szCs w:val="21"/>
              </w:rPr>
              <w:t>□</w:t>
            </w:r>
            <w:r>
              <w:rPr>
                <w:rFonts w:ascii="宋体" w:hAnsi="宋体" w:cs="宋体"/>
                <w:szCs w:val="21"/>
              </w:rPr>
              <w:t>中高风险（</w:t>
            </w:r>
            <w:r>
              <w:rPr>
                <w:rFonts w:ascii="宋体" w:hAnsi="宋体" w:cs="宋体"/>
                <w:szCs w:val="21"/>
              </w:rPr>
              <w:t>R4</w:t>
            </w:r>
            <w:r>
              <w:rPr>
                <w:rFonts w:ascii="宋体" w:hAnsi="宋体" w:cs="宋体"/>
                <w:szCs w:val="21"/>
              </w:rPr>
              <w:t>）、</w:t>
            </w:r>
            <w:r>
              <w:rPr>
                <w:rFonts w:ascii="宋体" w:hAnsi="宋体" w:cs="宋体"/>
                <w:szCs w:val="21"/>
              </w:rPr>
              <w:t>□</w:t>
            </w:r>
            <w:r>
              <w:rPr>
                <w:rFonts w:ascii="宋体" w:hAnsi="宋体" w:cs="宋体"/>
                <w:szCs w:val="21"/>
              </w:rPr>
              <w:t>高风险（</w:t>
            </w:r>
            <w:r>
              <w:rPr>
                <w:rFonts w:ascii="宋体" w:hAnsi="宋体" w:cs="宋体"/>
                <w:szCs w:val="21"/>
              </w:rPr>
              <w:t>R5</w:t>
            </w:r>
            <w:r>
              <w:rPr>
                <w:rFonts w:ascii="宋体" w:hAnsi="宋体" w:cs="宋体"/>
                <w:szCs w:val="21"/>
              </w:rPr>
              <w:t>）】理财产品</w:t>
            </w:r>
            <w:r>
              <w:rPr>
                <w:rFonts w:ascii="宋体" w:hAnsi="宋体" w:hint="eastAsia"/>
                <w:kern w:val="0"/>
                <w:szCs w:val="21"/>
              </w:rPr>
              <w:t>。</w:t>
            </w:r>
          </w:p>
        </w:tc>
      </w:tr>
      <w:tr w:rsidR="009643E4">
        <w:trPr>
          <w:trHeight w:val="112"/>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jc w:val="center"/>
              <w:rPr>
                <w:rFonts w:ascii="宋体" w:hAnsi="宋体" w:cs="宋体"/>
                <w:kern w:val="0"/>
                <w:szCs w:val="21"/>
              </w:rPr>
            </w:pPr>
            <w:r>
              <w:rPr>
                <w:rFonts w:ascii="宋体" w:hAnsi="宋体" w:cs="宋体" w:hint="eastAsia"/>
                <w:kern w:val="0"/>
                <w:szCs w:val="21"/>
              </w:rPr>
              <w:t>适合客户类型</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rightChars="15" w:right="31"/>
              <w:rPr>
                <w:rFonts w:ascii="宋体" w:hAnsi="宋体"/>
                <w:szCs w:val="21"/>
              </w:rPr>
            </w:pPr>
            <w:r>
              <w:rPr>
                <w:rFonts w:ascii="宋体" w:hAnsi="宋体" w:hint="eastAsia"/>
                <w:szCs w:val="21"/>
              </w:rPr>
              <w:t>经本行风险评估，本产品评定为适合【</w:t>
            </w:r>
            <w:r>
              <w:rPr>
                <w:rFonts w:ascii="宋体" w:hAnsi="宋体" w:cs="宋体"/>
                <w:szCs w:val="21"/>
              </w:rPr>
              <w:t>□</w:t>
            </w:r>
            <w:r>
              <w:rPr>
                <w:rFonts w:ascii="宋体" w:hAnsi="宋体" w:cs="宋体"/>
                <w:szCs w:val="21"/>
              </w:rPr>
              <w:t>保守型、</w:t>
            </w:r>
            <w:r>
              <w:rPr>
                <w:rFonts w:ascii="宋体" w:hAnsi="宋体" w:cs="宋体"/>
                <w:szCs w:val="21"/>
              </w:rPr>
              <w:t>■</w:t>
            </w:r>
            <w:r>
              <w:rPr>
                <w:rFonts w:ascii="宋体" w:hAnsi="宋体" w:cs="宋体"/>
                <w:szCs w:val="21"/>
              </w:rPr>
              <w:t>谨慎型、</w:t>
            </w:r>
            <w:r>
              <w:rPr>
                <w:rFonts w:ascii="宋体" w:hAnsi="宋体" w:cs="宋体"/>
                <w:szCs w:val="21"/>
              </w:rPr>
              <w:t>■</w:t>
            </w:r>
            <w:r>
              <w:rPr>
                <w:rFonts w:ascii="宋体" w:hAnsi="宋体" w:cs="宋体"/>
                <w:szCs w:val="21"/>
              </w:rPr>
              <w:t>稳健型、</w:t>
            </w:r>
            <w:r>
              <w:rPr>
                <w:rFonts w:ascii="宋体" w:hAnsi="宋体" w:cs="宋体"/>
                <w:szCs w:val="21"/>
              </w:rPr>
              <w:t>■</w:t>
            </w:r>
            <w:r>
              <w:rPr>
                <w:rFonts w:ascii="宋体" w:hAnsi="宋体" w:cs="宋体"/>
                <w:szCs w:val="21"/>
              </w:rPr>
              <w:t>进取型、</w:t>
            </w:r>
            <w:r>
              <w:rPr>
                <w:rFonts w:ascii="宋体" w:hAnsi="宋体" w:cs="宋体"/>
                <w:szCs w:val="21"/>
              </w:rPr>
              <w:t>■</w:t>
            </w:r>
            <w:r>
              <w:rPr>
                <w:rFonts w:ascii="宋体" w:hAnsi="宋体" w:cs="宋体"/>
                <w:szCs w:val="21"/>
              </w:rPr>
              <w:t>激进型</w:t>
            </w:r>
            <w:r>
              <w:rPr>
                <w:rFonts w:ascii="宋体" w:hAnsi="宋体" w:hint="eastAsia"/>
                <w:szCs w:val="21"/>
              </w:rPr>
              <w:t>】的</w:t>
            </w:r>
            <w:r>
              <w:rPr>
                <w:rFonts w:ascii="宋体" w:hAnsi="宋体" w:cs="宋体"/>
                <w:szCs w:val="21"/>
              </w:rPr>
              <w:t>不特定社会公众</w:t>
            </w:r>
            <w:r>
              <w:rPr>
                <w:rFonts w:ascii="宋体" w:hAnsi="宋体" w:hint="eastAsia"/>
                <w:szCs w:val="21"/>
              </w:rPr>
              <w:t>。</w:t>
            </w:r>
          </w:p>
        </w:tc>
      </w:tr>
      <w:tr w:rsidR="009643E4">
        <w:trPr>
          <w:trHeight w:val="409"/>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tabs>
                <w:tab w:val="center" w:pos="4153"/>
                <w:tab w:val="right" w:pos="8306"/>
              </w:tabs>
              <w:snapToGrid w:val="0"/>
              <w:spacing w:line="360" w:lineRule="atLeast"/>
              <w:ind w:left="-2" w:rightChars="15" w:right="31"/>
              <w:jc w:val="center"/>
              <w:rPr>
                <w:rFonts w:ascii="宋体" w:hAnsi="宋体" w:cs="宋体"/>
                <w:kern w:val="0"/>
                <w:szCs w:val="21"/>
              </w:rPr>
            </w:pPr>
            <w:r>
              <w:rPr>
                <w:rFonts w:ascii="宋体" w:hAnsi="宋体" w:cs="宋体" w:hint="eastAsia"/>
                <w:kern w:val="0"/>
                <w:szCs w:val="21"/>
              </w:rPr>
              <w:t>业绩比较基准</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tabs>
                <w:tab w:val="center" w:pos="4153"/>
                <w:tab w:val="right" w:pos="8306"/>
              </w:tabs>
              <w:snapToGrid w:val="0"/>
              <w:spacing w:line="360" w:lineRule="atLeast"/>
              <w:ind w:rightChars="15" w:right="31"/>
              <w:rPr>
                <w:rFonts w:ascii="宋体" w:hAnsi="宋体" w:cs="宋体"/>
                <w:szCs w:val="21"/>
              </w:rPr>
            </w:pPr>
            <w:r>
              <w:rPr>
                <w:rFonts w:ascii="宋体" w:hAnsi="宋体" w:cs="宋体" w:hint="eastAsia"/>
                <w:szCs w:val="21"/>
              </w:rPr>
              <w:t>本产品根据产品说明书约定投资范围内各类资产的收益率水平、投资比例、市场情况等因素</w:t>
            </w:r>
            <w:r>
              <w:rPr>
                <w:rFonts w:ascii="宋体" w:hAnsi="宋体" w:cs="宋体" w:hint="eastAsia"/>
                <w:szCs w:val="21"/>
              </w:rPr>
              <w:lastRenderedPageBreak/>
              <w:t>进行静态测算和情景分析，业绩比较基准为</w:t>
            </w:r>
            <w:r>
              <w:rPr>
                <w:rFonts w:ascii="宋体" w:hAnsi="宋体" w:cs="宋体" w:hint="eastAsia"/>
                <w:b/>
                <w:bCs/>
                <w:szCs w:val="21"/>
                <w:u w:val="single"/>
              </w:rPr>
              <w:t>2.2%-2.6%</w:t>
            </w:r>
            <w:r>
              <w:rPr>
                <w:rFonts w:ascii="宋体" w:hAnsi="宋体" w:cs="宋体" w:hint="eastAsia"/>
                <w:szCs w:val="21"/>
              </w:rPr>
              <w:t>，产品表现跟随市场波动，业绩比较基准不是预期收益率，不代表产品的未来表现和实际收益，不构成对产品收益的承诺</w:t>
            </w:r>
            <w:r>
              <w:rPr>
                <w:rFonts w:ascii="宋体" w:hAnsi="宋体" w:cs="宋体" w:hint="eastAsia"/>
                <w:szCs w:val="21"/>
              </w:rPr>
              <w:t>。</w:t>
            </w:r>
          </w:p>
        </w:tc>
      </w:tr>
      <w:tr w:rsidR="009643E4">
        <w:trPr>
          <w:trHeight w:val="466"/>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jc w:val="center"/>
              <w:rPr>
                <w:rFonts w:ascii="宋体" w:hAnsi="宋体" w:cs="宋体"/>
                <w:kern w:val="0"/>
                <w:szCs w:val="21"/>
              </w:rPr>
            </w:pPr>
            <w:r>
              <w:rPr>
                <w:rFonts w:ascii="宋体" w:hAnsi="宋体" w:cs="宋体" w:hint="eastAsia"/>
                <w:kern w:val="0"/>
                <w:szCs w:val="21"/>
              </w:rPr>
              <w:lastRenderedPageBreak/>
              <w:t>分红方式</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rPr>
                <w:rFonts w:ascii="宋体" w:hAnsi="宋体" w:cs="宋体"/>
                <w:szCs w:val="21"/>
              </w:rPr>
            </w:pPr>
            <w:r>
              <w:rPr>
                <w:rFonts w:hint="eastAsia"/>
              </w:rPr>
              <w:t>具体分红方案以我行公告为准。</w:t>
            </w:r>
          </w:p>
        </w:tc>
      </w:tr>
      <w:tr w:rsidR="009643E4">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rPr>
                <w:rFonts w:ascii="宋体" w:hAnsi="宋体"/>
                <w:szCs w:val="21"/>
              </w:rPr>
            </w:pPr>
            <w:r>
              <w:rPr>
                <w:rFonts w:ascii="宋体" w:hAnsi="宋体" w:hint="eastAsia"/>
                <w:szCs w:val="21"/>
              </w:rPr>
              <w:t>理财产品份额以人民币计价，单位</w:t>
            </w:r>
            <w:r>
              <w:rPr>
                <w:rFonts w:ascii="宋体" w:hAnsi="宋体"/>
                <w:szCs w:val="21"/>
              </w:rPr>
              <w:t>1</w:t>
            </w:r>
            <w:r>
              <w:rPr>
                <w:rFonts w:ascii="宋体" w:hAnsi="宋体"/>
                <w:szCs w:val="21"/>
              </w:rPr>
              <w:t>份。</w:t>
            </w:r>
          </w:p>
        </w:tc>
      </w:tr>
      <w:tr w:rsidR="009643E4">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理财产品份额面值</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rPr>
                <w:rFonts w:ascii="宋体" w:hAnsi="宋体"/>
                <w:szCs w:val="21"/>
              </w:rPr>
            </w:pPr>
            <w:r>
              <w:rPr>
                <w:rFonts w:ascii="宋体" w:hAnsi="宋体" w:hint="eastAsia"/>
                <w:szCs w:val="21"/>
              </w:rPr>
              <w:t>每份理财产品份额面值为人民币</w:t>
            </w:r>
            <w:r>
              <w:rPr>
                <w:rFonts w:ascii="宋体" w:hAnsi="宋体"/>
                <w:szCs w:val="21"/>
              </w:rPr>
              <w:t>1</w:t>
            </w:r>
            <w:r>
              <w:rPr>
                <w:rFonts w:ascii="宋体" w:hAnsi="宋体"/>
                <w:szCs w:val="21"/>
              </w:rPr>
              <w:t>元。</w:t>
            </w:r>
          </w:p>
        </w:tc>
      </w:tr>
      <w:tr w:rsidR="009643E4">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jc w:val="center"/>
              <w:rPr>
                <w:rFonts w:ascii="宋体" w:hAnsi="宋体" w:cs="宋体"/>
                <w:kern w:val="0"/>
                <w:szCs w:val="21"/>
              </w:rPr>
            </w:pPr>
            <w:r>
              <w:rPr>
                <w:rFonts w:ascii="宋体" w:hAnsi="宋体" w:hint="eastAsia"/>
                <w:kern w:val="0"/>
                <w:szCs w:val="21"/>
              </w:rPr>
              <w:t>发行规模</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rightChars="15" w:right="31"/>
              <w:rPr>
                <w:rFonts w:ascii="宋体" w:hAnsi="宋体" w:cs="宋体"/>
                <w:kern w:val="0"/>
                <w:szCs w:val="21"/>
              </w:rPr>
            </w:pPr>
            <w:r>
              <w:rPr>
                <w:rFonts w:ascii="宋体" w:hAnsi="宋体" w:hint="eastAsia"/>
                <w:szCs w:val="21"/>
              </w:rPr>
              <w:t>本产品发行规模下限</w:t>
            </w:r>
            <w:r>
              <w:rPr>
                <w:rFonts w:ascii="宋体" w:hAnsi="宋体" w:cs="宋体"/>
                <w:szCs w:val="21"/>
                <w:u w:val="single"/>
              </w:rPr>
              <w:t>500</w:t>
            </w:r>
            <w:r>
              <w:rPr>
                <w:rFonts w:ascii="宋体" w:hAnsi="宋体"/>
                <w:szCs w:val="21"/>
              </w:rPr>
              <w:t>万份，上限</w:t>
            </w:r>
            <w:r>
              <w:rPr>
                <w:rFonts w:ascii="宋体" w:hAnsi="宋体" w:cs="宋体"/>
                <w:szCs w:val="21"/>
                <w:u w:val="single"/>
              </w:rPr>
              <w:t>2</w:t>
            </w:r>
            <w:r>
              <w:rPr>
                <w:rFonts w:ascii="宋体" w:hAnsi="宋体"/>
                <w:szCs w:val="21"/>
              </w:rPr>
              <w:t>亿份，若产品发行规模超出上限，</w:t>
            </w:r>
            <w:r>
              <w:rPr>
                <w:rFonts w:ascii="宋体" w:hAnsi="宋体" w:hint="eastAsia"/>
                <w:szCs w:val="21"/>
              </w:rPr>
              <w:t>产品管理人有权暂停接受认购</w:t>
            </w:r>
            <w:r>
              <w:rPr>
                <w:rFonts w:ascii="宋体" w:hAnsi="宋体"/>
                <w:szCs w:val="21"/>
              </w:rPr>
              <w:t>\</w:t>
            </w:r>
            <w:r>
              <w:rPr>
                <w:rFonts w:ascii="宋体" w:hAnsi="宋体"/>
                <w:szCs w:val="21"/>
              </w:rPr>
              <w:t>申购申请，若产品发行规模未达</w:t>
            </w:r>
            <w:r>
              <w:rPr>
                <w:rFonts w:ascii="宋体" w:hAnsi="宋体" w:hint="eastAsia"/>
                <w:szCs w:val="21"/>
              </w:rPr>
              <w:t>下限，产品管理人有权宣布该产品不成立。</w:t>
            </w:r>
          </w:p>
        </w:tc>
      </w:tr>
      <w:tr w:rsidR="009643E4">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认购起点</w:t>
            </w:r>
            <w:r>
              <w:rPr>
                <w:rFonts w:ascii="宋体" w:hAnsi="宋体" w:cs="宋体"/>
                <w:kern w:val="0"/>
                <w:szCs w:val="21"/>
              </w:rPr>
              <w:t>/</w:t>
            </w:r>
            <w:r>
              <w:rPr>
                <w:rFonts w:ascii="宋体" w:hAnsi="宋体" w:cs="宋体"/>
                <w:kern w:val="0"/>
                <w:szCs w:val="21"/>
              </w:rPr>
              <w:t>追加</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rPr>
                <w:rFonts w:ascii="宋体" w:hAnsi="宋体"/>
                <w:kern w:val="0"/>
                <w:szCs w:val="21"/>
              </w:rPr>
            </w:pPr>
            <w:r>
              <w:rPr>
                <w:rFonts w:ascii="宋体" w:hAnsi="宋体" w:cs="宋体"/>
                <w:kern w:val="0"/>
                <w:szCs w:val="21"/>
              </w:rPr>
              <w:t>1</w:t>
            </w:r>
            <w:r>
              <w:rPr>
                <w:rFonts w:ascii="宋体" w:hAnsi="宋体" w:cs="宋体"/>
                <w:kern w:val="0"/>
                <w:szCs w:val="21"/>
              </w:rPr>
              <w:t>元人民币为</w:t>
            </w:r>
            <w:r>
              <w:rPr>
                <w:rFonts w:ascii="宋体" w:hAnsi="宋体" w:cs="宋体"/>
                <w:kern w:val="0"/>
                <w:szCs w:val="21"/>
              </w:rPr>
              <w:t>1</w:t>
            </w:r>
            <w:r>
              <w:rPr>
                <w:rFonts w:ascii="宋体" w:hAnsi="宋体" w:cs="宋体"/>
                <w:kern w:val="0"/>
                <w:szCs w:val="21"/>
              </w:rPr>
              <w:t>份，首次投资最低份额为</w:t>
            </w:r>
            <w:r>
              <w:rPr>
                <w:rFonts w:ascii="宋体" w:hAnsi="宋体" w:cs="宋体"/>
                <w:szCs w:val="21"/>
                <w:u w:val="single"/>
              </w:rPr>
              <w:t>1</w:t>
            </w:r>
            <w:r>
              <w:rPr>
                <w:rFonts w:ascii="宋体" w:hAnsi="宋体" w:cs="宋体"/>
                <w:kern w:val="0"/>
                <w:szCs w:val="21"/>
              </w:rPr>
              <w:t>万份；超出首次投资最低份额部分，须为</w:t>
            </w:r>
            <w:r>
              <w:rPr>
                <w:rFonts w:ascii="宋体" w:hAnsi="宋体" w:cs="宋体"/>
                <w:szCs w:val="21"/>
                <w:u w:val="single"/>
              </w:rPr>
              <w:t>1000</w:t>
            </w:r>
            <w:r>
              <w:rPr>
                <w:rFonts w:ascii="宋体" w:hAnsi="宋体" w:cs="宋体"/>
                <w:kern w:val="0"/>
                <w:szCs w:val="21"/>
              </w:rPr>
              <w:t>份或</w:t>
            </w:r>
            <w:r>
              <w:rPr>
                <w:rFonts w:ascii="宋体" w:hAnsi="宋体" w:cs="宋体"/>
                <w:szCs w:val="21"/>
                <w:u w:val="single"/>
              </w:rPr>
              <w:t>1000</w:t>
            </w:r>
            <w:r>
              <w:rPr>
                <w:rFonts w:ascii="宋体" w:hAnsi="宋体" w:cs="宋体"/>
                <w:kern w:val="0"/>
                <w:szCs w:val="21"/>
              </w:rPr>
              <w:t>份的整数</w:t>
            </w:r>
            <w:proofErr w:type="gramStart"/>
            <w:r>
              <w:rPr>
                <w:rFonts w:ascii="宋体" w:hAnsi="宋体" w:cs="宋体" w:hint="eastAsia"/>
                <w:kern w:val="0"/>
                <w:szCs w:val="21"/>
              </w:rPr>
              <w:t>倍</w:t>
            </w:r>
            <w:proofErr w:type="gramEnd"/>
            <w:r>
              <w:rPr>
                <w:rFonts w:ascii="宋体" w:hAnsi="宋体" w:cs="宋体" w:hint="eastAsia"/>
                <w:kern w:val="0"/>
                <w:szCs w:val="21"/>
              </w:rPr>
              <w:t>。</w:t>
            </w:r>
          </w:p>
        </w:tc>
      </w:tr>
      <w:tr w:rsidR="009643E4">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Chars="-1" w:left="-2" w:rightChars="15" w:right="31"/>
              <w:jc w:val="center"/>
              <w:rPr>
                <w:rFonts w:ascii="宋体" w:hAnsi="宋体"/>
                <w:kern w:val="0"/>
                <w:szCs w:val="21"/>
              </w:rPr>
            </w:pPr>
            <w:r>
              <w:rPr>
                <w:rFonts w:ascii="宋体" w:hAnsi="宋体" w:hint="eastAsia"/>
                <w:kern w:val="0"/>
                <w:szCs w:val="21"/>
              </w:rPr>
              <w:t>单笔认购上限</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Chars="-1" w:left="-2" w:rightChars="15" w:right="31"/>
              <w:jc w:val="left"/>
              <w:rPr>
                <w:rFonts w:ascii="宋体" w:hAnsi="宋体"/>
                <w:kern w:val="0"/>
                <w:szCs w:val="21"/>
                <w:u w:val="single"/>
              </w:rPr>
            </w:pPr>
            <w:r>
              <w:rPr>
                <w:rFonts w:ascii="宋体" w:hAnsi="宋体" w:cs="宋体" w:hint="eastAsia"/>
                <w:szCs w:val="21"/>
                <w:u w:val="single"/>
              </w:rPr>
              <w:t xml:space="preserve"> </w:t>
            </w:r>
            <w:r>
              <w:rPr>
                <w:rFonts w:ascii="宋体" w:hAnsi="宋体" w:cs="宋体" w:hint="eastAsia"/>
                <w:szCs w:val="21"/>
                <w:u w:val="single"/>
              </w:rPr>
              <w:t>1000</w:t>
            </w:r>
            <w:r>
              <w:rPr>
                <w:rFonts w:ascii="宋体" w:hAnsi="宋体" w:cs="宋体" w:hint="eastAsia"/>
                <w:szCs w:val="21"/>
                <w:u w:val="single"/>
              </w:rPr>
              <w:t xml:space="preserve"> </w:t>
            </w:r>
            <w:r>
              <w:rPr>
                <w:rFonts w:ascii="宋体" w:hAnsi="宋体"/>
                <w:kern w:val="0"/>
                <w:szCs w:val="21"/>
              </w:rPr>
              <w:t>万元和本</w:t>
            </w:r>
            <w:r>
              <w:rPr>
                <w:rFonts w:ascii="宋体" w:hAnsi="宋体" w:hint="eastAsia"/>
                <w:kern w:val="0"/>
                <w:szCs w:val="21"/>
              </w:rPr>
              <w:t>理财产品规模上限的二者较小值。</w:t>
            </w:r>
          </w:p>
        </w:tc>
      </w:tr>
      <w:tr w:rsidR="009643E4">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rightChars="15" w:right="31"/>
              <w:jc w:val="center"/>
              <w:rPr>
                <w:rFonts w:ascii="宋体" w:hAnsi="宋体"/>
                <w:kern w:val="0"/>
                <w:szCs w:val="21"/>
              </w:rPr>
            </w:pPr>
            <w:r>
              <w:rPr>
                <w:rFonts w:ascii="宋体" w:hAnsi="宋体" w:hint="eastAsia"/>
                <w:kern w:val="0"/>
                <w:szCs w:val="21"/>
              </w:rPr>
              <w:t>单</w:t>
            </w:r>
            <w:r>
              <w:rPr>
                <w:rFonts w:ascii="宋体" w:hAnsi="宋体" w:hint="eastAsia"/>
                <w:kern w:val="0"/>
                <w:szCs w:val="21"/>
              </w:rPr>
              <w:t>一客</w:t>
            </w:r>
            <w:r>
              <w:rPr>
                <w:rFonts w:ascii="宋体" w:hAnsi="宋体" w:hint="eastAsia"/>
                <w:kern w:val="0"/>
                <w:szCs w:val="21"/>
              </w:rPr>
              <w:t>户持有份额上限</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jc w:val="left"/>
              <w:rPr>
                <w:rFonts w:ascii="宋体" w:hAnsi="宋体"/>
                <w:b/>
                <w:bCs/>
                <w:kern w:val="0"/>
                <w:szCs w:val="21"/>
              </w:rPr>
            </w:pPr>
            <w:r>
              <w:rPr>
                <w:rFonts w:ascii="宋体" w:hAnsi="宋体" w:cs="宋体" w:hint="eastAsia"/>
                <w:szCs w:val="21"/>
                <w:u w:val="single"/>
              </w:rPr>
              <w:t xml:space="preserve"> </w:t>
            </w:r>
            <w:r>
              <w:rPr>
                <w:rFonts w:ascii="宋体" w:hAnsi="宋体" w:cs="宋体" w:hint="eastAsia"/>
                <w:b/>
                <w:bCs/>
                <w:szCs w:val="21"/>
                <w:u w:val="single"/>
              </w:rPr>
              <w:t>1000</w:t>
            </w:r>
            <w:r>
              <w:rPr>
                <w:rFonts w:ascii="宋体" w:hAnsi="宋体" w:hint="eastAsia"/>
                <w:b/>
                <w:bCs/>
                <w:kern w:val="0"/>
                <w:szCs w:val="21"/>
              </w:rPr>
              <w:t>万份和本理财产品规模上限的二者较小值。单一投资者累计认购份额达到或超过持有上限或本理财产品发行规模上限时，管理人有权拒绝接受其认购申请。</w:t>
            </w:r>
          </w:p>
          <w:p w:rsidR="009643E4" w:rsidRDefault="00D26BB4">
            <w:pPr>
              <w:widowControl/>
              <w:spacing w:line="360" w:lineRule="atLeast"/>
              <w:ind w:rightChars="15" w:right="31"/>
              <w:rPr>
                <w:rFonts w:ascii="宋体" w:hAnsi="宋体"/>
                <w:kern w:val="0"/>
                <w:szCs w:val="21"/>
                <w:u w:val="single"/>
              </w:rPr>
            </w:pPr>
            <w:r>
              <w:rPr>
                <w:rFonts w:ascii="宋体" w:hAnsi="宋体" w:hint="eastAsia"/>
                <w:b/>
                <w:bCs/>
                <w:kern w:val="0"/>
                <w:szCs w:val="21"/>
              </w:rPr>
              <w:t>对于因理财产品销售认购情况、理财产品规模变化等非因管理人主观因素导致单一投资者持有理财产品份额的比例达到或超过</w:t>
            </w:r>
            <w:r>
              <w:rPr>
                <w:rFonts w:ascii="宋体" w:hAnsi="宋体" w:hint="eastAsia"/>
                <w:b/>
                <w:bCs/>
                <w:kern w:val="0"/>
                <w:szCs w:val="21"/>
                <w:u w:val="single"/>
              </w:rPr>
              <w:t>50%</w:t>
            </w:r>
            <w:r>
              <w:rPr>
                <w:rFonts w:ascii="宋体" w:hAnsi="宋体" w:hint="eastAsia"/>
                <w:b/>
                <w:bCs/>
                <w:kern w:val="0"/>
                <w:szCs w:val="21"/>
              </w:rPr>
              <w:t>的，管理人有权采取控制措施，包括但不限于暂停接受该投资者的认购申请、对持有理财产品份额的比例达到或超过</w:t>
            </w:r>
            <w:r>
              <w:rPr>
                <w:rFonts w:ascii="宋体" w:hAnsi="宋体" w:hint="eastAsia"/>
                <w:b/>
                <w:bCs/>
                <w:kern w:val="0"/>
                <w:szCs w:val="21"/>
                <w:u w:val="single"/>
              </w:rPr>
              <w:t>50%</w:t>
            </w:r>
            <w:r>
              <w:rPr>
                <w:rFonts w:ascii="宋体" w:hAnsi="宋体" w:hint="eastAsia"/>
                <w:b/>
                <w:bCs/>
                <w:kern w:val="0"/>
                <w:szCs w:val="21"/>
              </w:rPr>
              <w:t>的单一投资者采取比例确认等方式进行认购申请限制等。</w:t>
            </w:r>
          </w:p>
        </w:tc>
      </w:tr>
      <w:tr w:rsidR="009643E4">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rightChars="15" w:right="31"/>
              <w:jc w:val="center"/>
              <w:rPr>
                <w:rFonts w:ascii="宋体" w:hAnsi="宋体" w:cs="宋体"/>
                <w:kern w:val="0"/>
                <w:szCs w:val="21"/>
              </w:rPr>
            </w:pPr>
            <w:r>
              <w:rPr>
                <w:rFonts w:ascii="宋体" w:hAnsi="宋体" w:hint="eastAsia"/>
                <w:kern w:val="0"/>
                <w:szCs w:val="21"/>
              </w:rPr>
              <w:t>认购期</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rightChars="15" w:right="31"/>
              <w:rPr>
                <w:rFonts w:ascii="宋体" w:hAnsi="宋体" w:cs="宋体"/>
                <w:szCs w:val="21"/>
                <w:u w:val="single"/>
              </w:rPr>
            </w:pPr>
            <w:bookmarkStart w:id="3" w:name="OLE_LINK5"/>
            <w:bookmarkStart w:id="4" w:name="OLE_LINK6"/>
            <w:bookmarkEnd w:id="3"/>
            <w:bookmarkEnd w:id="4"/>
            <w:r>
              <w:rPr>
                <w:rFonts w:ascii="宋体" w:hAnsi="宋体" w:cs="宋体"/>
                <w:szCs w:val="21"/>
                <w:u w:val="single"/>
              </w:rPr>
              <w:t>2026</w:t>
            </w:r>
            <w:r>
              <w:rPr>
                <w:rFonts w:ascii="宋体" w:hAnsi="宋体"/>
                <w:szCs w:val="21"/>
              </w:rPr>
              <w:t>年</w:t>
            </w:r>
            <w:r>
              <w:rPr>
                <w:rFonts w:ascii="宋体" w:hAnsi="宋体" w:cs="宋体"/>
                <w:szCs w:val="21"/>
                <w:u w:val="single"/>
              </w:rPr>
              <w:t>03</w:t>
            </w:r>
            <w:r>
              <w:rPr>
                <w:rFonts w:ascii="宋体" w:hAnsi="宋体"/>
                <w:szCs w:val="21"/>
              </w:rPr>
              <w:t>月</w:t>
            </w:r>
            <w:r>
              <w:rPr>
                <w:rFonts w:ascii="宋体" w:hAnsi="宋体" w:cs="宋体"/>
                <w:szCs w:val="21"/>
                <w:u w:val="single"/>
              </w:rPr>
              <w:t>12</w:t>
            </w:r>
            <w:r>
              <w:rPr>
                <w:rFonts w:ascii="宋体" w:hAnsi="宋体"/>
                <w:szCs w:val="21"/>
              </w:rPr>
              <w:t>日</w:t>
            </w:r>
            <w:r>
              <w:rPr>
                <w:rFonts w:ascii="宋体" w:hAnsi="宋体" w:cs="宋体" w:hint="eastAsia"/>
                <w:szCs w:val="21"/>
                <w:u w:val="single"/>
              </w:rPr>
              <w:t>9:00</w:t>
            </w:r>
            <w:r>
              <w:rPr>
                <w:rFonts w:ascii="宋体" w:hAnsi="宋体"/>
                <w:szCs w:val="21"/>
              </w:rPr>
              <w:t>至</w:t>
            </w:r>
            <w:r>
              <w:rPr>
                <w:rFonts w:ascii="宋体" w:hAnsi="宋体" w:cs="宋体"/>
                <w:szCs w:val="21"/>
                <w:u w:val="single"/>
              </w:rPr>
              <w:t>2026</w:t>
            </w:r>
            <w:r>
              <w:rPr>
                <w:rFonts w:ascii="宋体" w:hAnsi="宋体"/>
                <w:szCs w:val="21"/>
              </w:rPr>
              <w:t>年</w:t>
            </w:r>
            <w:bookmarkStart w:id="5" w:name="OLE_LINK3"/>
            <w:bookmarkStart w:id="6" w:name="OLE_LINK4"/>
            <w:bookmarkEnd w:id="5"/>
            <w:bookmarkEnd w:id="6"/>
            <w:r>
              <w:rPr>
                <w:rFonts w:ascii="宋体" w:hAnsi="宋体" w:cs="宋体"/>
                <w:szCs w:val="21"/>
                <w:u w:val="single"/>
              </w:rPr>
              <w:t>03</w:t>
            </w:r>
            <w:r>
              <w:rPr>
                <w:rFonts w:ascii="宋体" w:hAnsi="宋体"/>
                <w:szCs w:val="21"/>
              </w:rPr>
              <w:t>月</w:t>
            </w:r>
            <w:r>
              <w:rPr>
                <w:rFonts w:ascii="宋体" w:hAnsi="宋体" w:cs="宋体"/>
                <w:szCs w:val="21"/>
                <w:u w:val="single"/>
              </w:rPr>
              <w:t>18</w:t>
            </w:r>
            <w:r>
              <w:rPr>
                <w:rFonts w:ascii="宋体" w:hAnsi="宋体"/>
                <w:szCs w:val="21"/>
              </w:rPr>
              <w:t>日</w:t>
            </w:r>
            <w:r>
              <w:rPr>
                <w:rFonts w:ascii="宋体" w:hAnsi="宋体" w:cs="宋体" w:hint="eastAsia"/>
                <w:szCs w:val="21"/>
                <w:u w:val="single"/>
              </w:rPr>
              <w:t>17:30</w:t>
            </w:r>
            <w:r>
              <w:rPr>
                <w:rFonts w:ascii="宋体" w:hAnsi="宋体" w:cs="宋体" w:hint="eastAsia"/>
                <w:szCs w:val="21"/>
              </w:rPr>
              <w:t>。</w:t>
            </w:r>
          </w:p>
          <w:p w:rsidR="009643E4" w:rsidRDefault="00D26BB4">
            <w:pPr>
              <w:spacing w:line="360" w:lineRule="atLeast"/>
              <w:ind w:rightChars="15" w:right="31"/>
              <w:rPr>
                <w:rFonts w:ascii="宋体" w:hAnsi="宋体" w:cs="宋体"/>
                <w:kern w:val="0"/>
                <w:szCs w:val="21"/>
              </w:rPr>
            </w:pPr>
            <w:r>
              <w:rPr>
                <w:rFonts w:ascii="宋体" w:hAnsi="宋体"/>
                <w:szCs w:val="21"/>
              </w:rPr>
              <w:t>1</w:t>
            </w:r>
            <w:r>
              <w:rPr>
                <w:rFonts w:ascii="宋体" w:hAnsi="宋体"/>
                <w:szCs w:val="21"/>
              </w:rPr>
              <w:t>、</w:t>
            </w:r>
            <w:r>
              <w:rPr>
                <w:rFonts w:ascii="宋体" w:hAnsi="宋体" w:cs="宋体" w:hint="eastAsia"/>
                <w:kern w:val="0"/>
                <w:szCs w:val="21"/>
              </w:rPr>
              <w:t>认购资金在认购期按活期存款计息，不计入认购本金。</w:t>
            </w:r>
          </w:p>
          <w:p w:rsidR="009643E4" w:rsidRDefault="00D26BB4">
            <w:pPr>
              <w:spacing w:line="360" w:lineRule="atLeast"/>
              <w:ind w:rightChars="15" w:right="31"/>
              <w:rPr>
                <w:rFonts w:ascii="宋体" w:hAnsi="宋体"/>
                <w:szCs w:val="21"/>
              </w:rPr>
            </w:pPr>
            <w:r>
              <w:rPr>
                <w:rFonts w:ascii="宋体" w:hAnsi="宋体" w:cs="宋体"/>
                <w:kern w:val="0"/>
                <w:szCs w:val="21"/>
              </w:rPr>
              <w:t>2</w:t>
            </w:r>
            <w:r>
              <w:rPr>
                <w:rFonts w:ascii="宋体" w:hAnsi="宋体" w:cs="宋体"/>
                <w:kern w:val="0"/>
                <w:szCs w:val="21"/>
              </w:rPr>
              <w:t>、</w:t>
            </w:r>
            <w:r>
              <w:rPr>
                <w:rFonts w:ascii="宋体" w:hAnsi="宋体" w:cs="宋体" w:hint="eastAsia"/>
                <w:kern w:val="0"/>
                <w:szCs w:val="21"/>
              </w:rPr>
              <w:t>认购期内均</w:t>
            </w:r>
            <w:r>
              <w:rPr>
                <w:rFonts w:ascii="宋体" w:hAnsi="宋体" w:hint="eastAsia"/>
                <w:kern w:val="0"/>
                <w:szCs w:val="21"/>
              </w:rPr>
              <w:t>可撤单</w:t>
            </w:r>
            <w:r>
              <w:rPr>
                <w:rFonts w:ascii="宋体" w:hAnsi="宋体" w:hint="eastAsia"/>
                <w:szCs w:val="21"/>
              </w:rPr>
              <w:t>。</w:t>
            </w:r>
          </w:p>
          <w:p w:rsidR="009643E4" w:rsidRDefault="00D26BB4">
            <w:pPr>
              <w:widowControl/>
              <w:spacing w:line="360" w:lineRule="atLeast"/>
              <w:ind w:rightChars="15" w:right="31"/>
              <w:rPr>
                <w:rFonts w:ascii="宋体" w:hAnsi="宋体" w:cs="宋体"/>
                <w:kern w:val="0"/>
                <w:szCs w:val="21"/>
              </w:rPr>
            </w:pPr>
            <w:r>
              <w:rPr>
                <w:rFonts w:ascii="宋体" w:hAnsi="宋体" w:cs="宋体"/>
                <w:kern w:val="0"/>
                <w:szCs w:val="21"/>
              </w:rPr>
              <w:t>3</w:t>
            </w:r>
            <w:r>
              <w:rPr>
                <w:rFonts w:ascii="宋体" w:hAnsi="宋体" w:cs="宋体"/>
                <w:kern w:val="0"/>
                <w:szCs w:val="21"/>
              </w:rPr>
              <w:t>、</w:t>
            </w:r>
            <w:r>
              <w:rPr>
                <w:rFonts w:ascii="宋体" w:hAnsi="宋体" w:cs="宋体" w:hint="eastAsia"/>
                <w:szCs w:val="21"/>
              </w:rPr>
              <w:t>产品管理人</w:t>
            </w:r>
            <w:r>
              <w:rPr>
                <w:rFonts w:ascii="宋体" w:hAnsi="宋体"/>
                <w:szCs w:val="21"/>
              </w:rPr>
              <w:t>有权对</w:t>
            </w:r>
            <w:r>
              <w:rPr>
                <w:rFonts w:ascii="宋体" w:hAnsi="宋体" w:hint="eastAsia"/>
                <w:szCs w:val="21"/>
              </w:rPr>
              <w:t>认购期进行调整，可以根据认购情况延长认购期或者提前结束认购期。</w:t>
            </w:r>
          </w:p>
        </w:tc>
      </w:tr>
      <w:tr w:rsidR="009643E4">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rightChars="15" w:right="31"/>
              <w:jc w:val="center"/>
              <w:rPr>
                <w:rFonts w:ascii="宋体" w:hAnsi="宋体" w:cs="宋体"/>
                <w:kern w:val="0"/>
                <w:szCs w:val="21"/>
              </w:rPr>
            </w:pPr>
            <w:r>
              <w:rPr>
                <w:rFonts w:ascii="宋体" w:hAnsi="宋体" w:hint="eastAsia"/>
                <w:kern w:val="0"/>
                <w:szCs w:val="21"/>
              </w:rPr>
              <w:t>认购登记日</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rightChars="15" w:right="31"/>
              <w:rPr>
                <w:rFonts w:ascii="宋体" w:hAnsi="宋体" w:cs="宋体"/>
                <w:kern w:val="0"/>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03</w:t>
            </w:r>
            <w:r>
              <w:rPr>
                <w:rFonts w:ascii="宋体" w:hAnsi="宋体"/>
                <w:szCs w:val="21"/>
              </w:rPr>
              <w:t>月</w:t>
            </w:r>
            <w:r>
              <w:rPr>
                <w:rFonts w:ascii="宋体" w:hAnsi="宋体"/>
                <w:kern w:val="0"/>
                <w:szCs w:val="21"/>
                <w:u w:val="single"/>
              </w:rPr>
              <w:t>19</w:t>
            </w:r>
            <w:r>
              <w:rPr>
                <w:rFonts w:ascii="宋体" w:hAnsi="宋体"/>
                <w:szCs w:val="21"/>
              </w:rPr>
              <w:t>日</w:t>
            </w:r>
            <w:r>
              <w:rPr>
                <w:rFonts w:ascii="宋体" w:hAnsi="宋体" w:hint="eastAsia"/>
                <w:szCs w:val="21"/>
              </w:rPr>
              <w:t>，指管理人对认购人提交的认购申请进行理财产品份额登记的日期。</w:t>
            </w:r>
          </w:p>
        </w:tc>
      </w:tr>
      <w:tr w:rsidR="009643E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jc w:val="center"/>
              <w:rPr>
                <w:rFonts w:ascii="宋体" w:hAnsi="宋体"/>
                <w:kern w:val="0"/>
                <w:szCs w:val="21"/>
              </w:rPr>
            </w:pPr>
            <w:r>
              <w:rPr>
                <w:rFonts w:ascii="宋体" w:hAnsi="宋体" w:hint="eastAsia"/>
                <w:kern w:val="0"/>
                <w:szCs w:val="21"/>
              </w:rPr>
              <w:t>成立日</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rightChars="15" w:right="31"/>
              <w:rPr>
                <w:rFonts w:ascii="宋体" w:hAnsi="宋体"/>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03</w:t>
            </w:r>
            <w:r>
              <w:rPr>
                <w:rFonts w:ascii="宋体" w:hAnsi="宋体"/>
                <w:szCs w:val="21"/>
              </w:rPr>
              <w:t>月</w:t>
            </w:r>
            <w:r>
              <w:rPr>
                <w:rFonts w:ascii="宋体" w:hAnsi="宋体"/>
                <w:kern w:val="0"/>
                <w:szCs w:val="21"/>
                <w:u w:val="single"/>
              </w:rPr>
              <w:t>19</w:t>
            </w:r>
            <w:r>
              <w:rPr>
                <w:rFonts w:ascii="宋体" w:hAnsi="宋体"/>
                <w:szCs w:val="21"/>
              </w:rPr>
              <w:t>日</w:t>
            </w:r>
            <w:r>
              <w:rPr>
                <w:rFonts w:ascii="宋体" w:hAnsi="宋体" w:hint="eastAsia"/>
                <w:szCs w:val="21"/>
              </w:rPr>
              <w:t>。因融资人取消融资计划、市场发生剧烈波动、其他不可抗力等原因，经管理人谨慎合理判断难以实现本理财产品原定投资计划的，产品管理人有权宣布本理财产品不成立，并及时返还客户理财本金。</w:t>
            </w:r>
          </w:p>
        </w:tc>
      </w:tr>
      <w:tr w:rsidR="009643E4">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rightChars="15" w:right="31"/>
              <w:jc w:val="center"/>
              <w:rPr>
                <w:rFonts w:ascii="宋体" w:hAnsi="宋体" w:cs="宋体"/>
                <w:kern w:val="0"/>
                <w:szCs w:val="21"/>
              </w:rPr>
            </w:pPr>
            <w:r>
              <w:rPr>
                <w:rFonts w:ascii="宋体" w:hAnsi="宋体" w:cs="宋体" w:hint="eastAsia"/>
                <w:kern w:val="0"/>
                <w:szCs w:val="21"/>
              </w:rPr>
              <w:t>理财产品期限</w:t>
            </w:r>
            <w:r>
              <w:rPr>
                <w:rFonts w:ascii="宋体" w:hAnsi="宋体" w:cs="宋体" w:hint="eastAsia"/>
                <w:kern w:val="0"/>
                <w:szCs w:val="21"/>
              </w:rPr>
              <w:t>/</w:t>
            </w:r>
            <w:r>
              <w:rPr>
                <w:rFonts w:ascii="宋体" w:hAnsi="宋体" w:cs="宋体" w:hint="eastAsia"/>
                <w:kern w:val="0"/>
                <w:szCs w:val="21"/>
              </w:rPr>
              <w:t>到期日</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rightChars="15" w:right="31"/>
              <w:rPr>
                <w:rFonts w:ascii="宋体" w:hAnsi="宋体"/>
                <w:kern w:val="0"/>
                <w:szCs w:val="21"/>
              </w:rPr>
            </w:pPr>
            <w:r>
              <w:rPr>
                <w:rFonts w:ascii="宋体" w:hAnsi="宋体" w:cs="宋体" w:hint="eastAsia"/>
                <w:b/>
                <w:bCs/>
                <w:szCs w:val="21"/>
                <w:u w:val="single"/>
              </w:rPr>
              <w:t>期限</w:t>
            </w:r>
            <w:r>
              <w:rPr>
                <w:rFonts w:ascii="宋体" w:hAnsi="宋体" w:cs="宋体" w:hint="eastAsia"/>
                <w:b/>
                <w:bCs/>
                <w:szCs w:val="21"/>
                <w:u w:val="single"/>
              </w:rPr>
              <w:t>308</w:t>
            </w:r>
            <w:r>
              <w:rPr>
                <w:rFonts w:ascii="宋体" w:hAnsi="宋体" w:cs="宋体" w:hint="eastAsia"/>
                <w:b/>
                <w:bCs/>
                <w:szCs w:val="21"/>
                <w:u w:val="single"/>
              </w:rPr>
              <w:t>天</w:t>
            </w:r>
            <w:r>
              <w:rPr>
                <w:rFonts w:ascii="宋体" w:hAnsi="宋体" w:cs="宋体" w:hint="eastAsia"/>
                <w:b/>
                <w:bCs/>
                <w:kern w:val="0"/>
                <w:szCs w:val="21"/>
              </w:rPr>
              <w:t>，到期日</w:t>
            </w:r>
            <w:r>
              <w:rPr>
                <w:rFonts w:ascii="宋体" w:hAnsi="宋体" w:cs="宋体" w:hint="eastAsia"/>
                <w:b/>
                <w:bCs/>
                <w:szCs w:val="21"/>
                <w:u w:val="single"/>
              </w:rPr>
              <w:t>2027</w:t>
            </w:r>
            <w:r>
              <w:rPr>
                <w:rFonts w:ascii="宋体" w:hAnsi="宋体"/>
                <w:b/>
                <w:bCs/>
                <w:szCs w:val="21"/>
              </w:rPr>
              <w:t>年</w:t>
            </w:r>
            <w:r>
              <w:rPr>
                <w:rFonts w:ascii="宋体" w:hAnsi="宋体" w:cs="宋体" w:hint="eastAsia"/>
                <w:b/>
                <w:bCs/>
                <w:szCs w:val="21"/>
                <w:u w:val="single"/>
              </w:rPr>
              <w:t>01</w:t>
            </w:r>
            <w:r>
              <w:rPr>
                <w:rFonts w:ascii="宋体" w:hAnsi="宋体"/>
                <w:b/>
                <w:bCs/>
                <w:szCs w:val="21"/>
              </w:rPr>
              <w:t>月</w:t>
            </w:r>
            <w:r>
              <w:rPr>
                <w:rFonts w:ascii="宋体" w:hAnsi="宋体" w:cs="宋体" w:hint="eastAsia"/>
                <w:b/>
                <w:bCs/>
                <w:szCs w:val="21"/>
                <w:u w:val="single"/>
              </w:rPr>
              <w:t>21</w:t>
            </w:r>
            <w:r>
              <w:rPr>
                <w:rFonts w:ascii="宋体" w:hAnsi="宋体"/>
                <w:b/>
                <w:bCs/>
                <w:szCs w:val="21"/>
              </w:rPr>
              <w:t>日</w:t>
            </w:r>
            <w:r>
              <w:rPr>
                <w:rFonts w:ascii="宋体" w:hAnsi="宋体" w:cs="宋体" w:hint="eastAsia"/>
                <w:b/>
                <w:bCs/>
                <w:kern w:val="0"/>
                <w:szCs w:val="21"/>
              </w:rPr>
              <w:t>（如</w:t>
            </w:r>
            <w:proofErr w:type="gramStart"/>
            <w:r>
              <w:rPr>
                <w:rFonts w:ascii="宋体" w:hAnsi="宋体" w:cs="宋体" w:hint="eastAsia"/>
                <w:b/>
                <w:bCs/>
                <w:kern w:val="0"/>
                <w:szCs w:val="21"/>
              </w:rPr>
              <w:t>遇非交易</w:t>
            </w:r>
            <w:proofErr w:type="gramEnd"/>
            <w:r>
              <w:rPr>
                <w:rFonts w:ascii="宋体" w:hAnsi="宋体" w:cs="宋体" w:hint="eastAsia"/>
                <w:b/>
                <w:bCs/>
                <w:kern w:val="0"/>
                <w:szCs w:val="21"/>
              </w:rPr>
              <w:t>日则顺延至下一个交易日）。</w:t>
            </w:r>
            <w:r>
              <w:rPr>
                <w:rFonts w:ascii="宋体" w:hAnsi="宋体" w:cs="宋体" w:hint="eastAsia"/>
                <w:szCs w:val="21"/>
              </w:rPr>
              <w:t>产品管理人</w:t>
            </w:r>
            <w:r>
              <w:rPr>
                <w:rFonts w:ascii="宋体" w:hAnsi="宋体" w:cs="宋体"/>
                <w:kern w:val="0"/>
                <w:szCs w:val="21"/>
              </w:rPr>
              <w:t>有权</w:t>
            </w:r>
            <w:r>
              <w:rPr>
                <w:rFonts w:ascii="宋体" w:hAnsi="宋体" w:cs="宋体" w:hint="eastAsia"/>
                <w:kern w:val="0"/>
                <w:szCs w:val="21"/>
              </w:rPr>
              <w:t>根据市场波动或监管政策重大变化，提前结束本产品的发行及运作，并提前</w:t>
            </w:r>
            <w:r>
              <w:rPr>
                <w:rFonts w:ascii="宋体" w:hAnsi="宋体" w:cs="宋体" w:hint="eastAsia"/>
                <w:szCs w:val="21"/>
                <w:u w:val="single"/>
              </w:rPr>
              <w:t>2</w:t>
            </w:r>
            <w:r>
              <w:rPr>
                <w:rFonts w:ascii="宋体" w:hAnsi="宋体" w:cs="宋体"/>
                <w:kern w:val="0"/>
                <w:szCs w:val="21"/>
              </w:rPr>
              <w:t>个工作日在官方网站或营业网点进行公告</w:t>
            </w:r>
            <w:r>
              <w:rPr>
                <w:rFonts w:ascii="宋体" w:hAnsi="宋体" w:cs="宋体" w:hint="eastAsia"/>
                <w:kern w:val="0"/>
                <w:szCs w:val="21"/>
              </w:rPr>
              <w:t>。如因理财产品所投资的标的资产因信用风险、市场风险或本身特定条款等原因造成理财产品不能在到期日前变现，理财期限将相应延长。</w:t>
            </w:r>
          </w:p>
        </w:tc>
      </w:tr>
      <w:tr w:rsidR="009643E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Chars="-1" w:left="-2" w:rightChars="15" w:right="31"/>
              <w:jc w:val="center"/>
              <w:rPr>
                <w:rFonts w:ascii="宋体" w:hAnsi="宋体"/>
                <w:kern w:val="0"/>
                <w:szCs w:val="21"/>
              </w:rPr>
            </w:pPr>
            <w:r>
              <w:rPr>
                <w:rFonts w:ascii="宋体" w:hAnsi="宋体" w:cs="宋体" w:hint="eastAsia"/>
                <w:kern w:val="0"/>
                <w:szCs w:val="21"/>
              </w:rPr>
              <w:t>理财产品终止日</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rightChars="15" w:right="31"/>
              <w:rPr>
                <w:rFonts w:ascii="宋体" w:hAnsi="宋体"/>
                <w:szCs w:val="21"/>
              </w:rPr>
            </w:pPr>
            <w:r>
              <w:rPr>
                <w:rFonts w:ascii="宋体" w:hAnsi="宋体" w:cs="宋体" w:hint="eastAsia"/>
                <w:kern w:val="0"/>
                <w:szCs w:val="21"/>
              </w:rPr>
              <w:t>包括理财产品到期日，或在理财产品存续期内</w:t>
            </w:r>
            <w:r>
              <w:rPr>
                <w:rFonts w:ascii="宋体" w:hAnsi="宋体" w:cs="宋体" w:hint="eastAsia"/>
                <w:szCs w:val="21"/>
              </w:rPr>
              <w:t>产品管理人</w:t>
            </w:r>
            <w:r>
              <w:rPr>
                <w:rFonts w:ascii="宋体" w:hAnsi="宋体" w:cs="宋体" w:hint="eastAsia"/>
                <w:kern w:val="0"/>
                <w:szCs w:val="21"/>
              </w:rPr>
              <w:t>根据本产品说明书约定宣布本理财产品提前到期而终止之日或宣布本理财产品延长后的终止之日。</w:t>
            </w:r>
          </w:p>
        </w:tc>
      </w:tr>
      <w:tr w:rsidR="009643E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提前终止</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rPr>
                <w:rFonts w:ascii="宋体" w:hAnsi="宋体" w:cs="宋体"/>
                <w:szCs w:val="21"/>
              </w:rPr>
            </w:pPr>
            <w:r>
              <w:rPr>
                <w:rFonts w:ascii="宋体" w:hAnsi="宋体" w:cs="宋体" w:hint="eastAsia"/>
                <w:kern w:val="0"/>
                <w:szCs w:val="21"/>
              </w:rPr>
              <w:t>如遇国家金融政策</w:t>
            </w:r>
            <w:r>
              <w:rPr>
                <w:rFonts w:ascii="宋体" w:hAnsi="宋体" w:cs="宋体" w:hint="eastAsia"/>
                <w:szCs w:val="21"/>
              </w:rPr>
              <w:t>、监管政策、相关法律法规发生重大变化、市场出现剧烈波动或者投资资产提前偿付等情况，影响本产品正常运行时，产品管理人有权部分或全部提前终止本产品。</w:t>
            </w:r>
          </w:p>
        </w:tc>
      </w:tr>
      <w:tr w:rsidR="009643E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jc w:val="center"/>
              <w:rPr>
                <w:rFonts w:ascii="宋体" w:hAnsi="宋体" w:cs="宋体"/>
                <w:kern w:val="0"/>
                <w:szCs w:val="21"/>
              </w:rPr>
            </w:pPr>
            <w:r>
              <w:rPr>
                <w:rFonts w:ascii="宋体" w:hAnsi="宋体" w:cs="宋体" w:hint="eastAsia"/>
                <w:kern w:val="0"/>
                <w:szCs w:val="21"/>
              </w:rPr>
              <w:t>到账日</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rightChars="15" w:right="31"/>
              <w:rPr>
                <w:rFonts w:ascii="宋体" w:hAnsi="宋体" w:cs="宋体"/>
                <w:kern w:val="0"/>
                <w:szCs w:val="21"/>
              </w:rPr>
            </w:pPr>
            <w:r>
              <w:rPr>
                <w:rFonts w:ascii="宋体" w:hAnsi="宋体" w:cs="宋体" w:hint="eastAsia"/>
                <w:kern w:val="0"/>
                <w:szCs w:val="21"/>
              </w:rPr>
              <w:t>理财本金及收益于理财产品到期日或提前终止日后</w:t>
            </w:r>
            <w:r>
              <w:rPr>
                <w:rFonts w:ascii="宋体" w:hAnsi="宋体" w:cs="宋体" w:hint="eastAsia"/>
                <w:szCs w:val="21"/>
                <w:u w:val="single"/>
              </w:rPr>
              <w:t>5</w:t>
            </w:r>
            <w:r>
              <w:rPr>
                <w:rFonts w:ascii="宋体" w:hAnsi="宋体" w:cs="宋体"/>
                <w:kern w:val="0"/>
                <w:szCs w:val="21"/>
              </w:rPr>
              <w:t>个交易日内根据实际情况一次性支付至其投资者指定账户，如</w:t>
            </w:r>
            <w:proofErr w:type="gramStart"/>
            <w:r>
              <w:rPr>
                <w:rFonts w:ascii="宋体" w:hAnsi="宋体" w:cs="宋体" w:hint="eastAsia"/>
                <w:kern w:val="0"/>
                <w:szCs w:val="21"/>
              </w:rPr>
              <w:t>遇非交易</w:t>
            </w:r>
            <w:proofErr w:type="gramEnd"/>
            <w:r>
              <w:rPr>
                <w:rFonts w:ascii="宋体" w:hAnsi="宋体" w:cs="宋体" w:hint="eastAsia"/>
                <w:kern w:val="0"/>
                <w:szCs w:val="21"/>
              </w:rPr>
              <w:t>日则顺延至下一交易日。</w:t>
            </w:r>
          </w:p>
        </w:tc>
      </w:tr>
      <w:tr w:rsidR="009643E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jc w:val="center"/>
              <w:rPr>
                <w:rFonts w:ascii="宋体" w:hAnsi="宋体" w:cs="宋体"/>
                <w:kern w:val="0"/>
                <w:szCs w:val="21"/>
              </w:rPr>
            </w:pPr>
            <w:r>
              <w:rPr>
                <w:rFonts w:ascii="宋体" w:hAnsi="宋体" w:cs="宋体" w:hint="eastAsia"/>
                <w:kern w:val="0"/>
                <w:szCs w:val="21"/>
              </w:rPr>
              <w:t>清算期</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rightChars="15" w:right="31"/>
              <w:rPr>
                <w:rFonts w:ascii="宋体" w:hAnsi="宋体" w:cs="宋体"/>
                <w:kern w:val="0"/>
                <w:szCs w:val="21"/>
              </w:rPr>
            </w:pPr>
            <w:r>
              <w:rPr>
                <w:rFonts w:ascii="宋体" w:hAnsi="宋体" w:cs="宋体" w:hint="eastAsia"/>
                <w:kern w:val="0"/>
                <w:szCs w:val="21"/>
              </w:rPr>
              <w:t>理财产品到期日（或理财产品实际终止日）至理财资金返还投资者账户日为清算期</w:t>
            </w:r>
            <w:r>
              <w:rPr>
                <w:rFonts w:ascii="宋体" w:hAnsi="宋体" w:cs="宋体"/>
                <w:kern w:val="0"/>
                <w:szCs w:val="21"/>
              </w:rPr>
              <w:t>,</w:t>
            </w:r>
            <w:r>
              <w:rPr>
                <w:rFonts w:ascii="宋体" w:hAnsi="宋体" w:cs="宋体"/>
                <w:kern w:val="0"/>
                <w:szCs w:val="21"/>
              </w:rPr>
              <w:t>期内不计付利息。</w:t>
            </w:r>
          </w:p>
        </w:tc>
      </w:tr>
      <w:tr w:rsidR="009643E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jc w:val="center"/>
              <w:rPr>
                <w:rFonts w:ascii="宋体" w:hAnsi="宋体" w:cs="宋体"/>
                <w:kern w:val="0"/>
                <w:szCs w:val="21"/>
              </w:rPr>
            </w:pPr>
            <w:r>
              <w:rPr>
                <w:rFonts w:ascii="宋体" w:hAnsi="宋体" w:cs="宋体" w:hint="eastAsia"/>
                <w:kern w:val="0"/>
                <w:szCs w:val="21"/>
              </w:rPr>
              <w:t>延期清算</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rightChars="15" w:right="31"/>
              <w:rPr>
                <w:rFonts w:ascii="宋体" w:hAnsi="宋体" w:cs="宋体"/>
                <w:kern w:val="0"/>
                <w:szCs w:val="21"/>
              </w:rPr>
            </w:pPr>
            <w:r>
              <w:rPr>
                <w:rFonts w:ascii="宋体" w:hAnsi="宋体" w:cs="宋体" w:hint="eastAsia"/>
                <w:kern w:val="0"/>
                <w:szCs w:val="21"/>
              </w:rPr>
              <w:t>若本理财产品到期或提前终止时，因国家金融政策、相关法律法规发生变化，或投资领域发生重大市场波动、投资资产发生信用风险事件等原因导致本理财产品投资的资产部分或全部无法及时变现，造成本理财产品无法按时支付客户本金和收益，则理财产品延期清算。</w:t>
            </w:r>
          </w:p>
        </w:tc>
      </w:tr>
      <w:tr w:rsidR="009643E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jc w:val="center"/>
              <w:rPr>
                <w:rFonts w:ascii="宋体" w:hAnsi="宋体"/>
                <w:szCs w:val="21"/>
              </w:rPr>
            </w:pPr>
            <w:r>
              <w:rPr>
                <w:rFonts w:ascii="宋体" w:hAnsi="宋体" w:cs="宋体" w:hint="eastAsia"/>
                <w:kern w:val="0"/>
                <w:szCs w:val="21"/>
              </w:rPr>
              <w:t>估值日</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after="75" w:line="360" w:lineRule="atLeast"/>
              <w:rPr>
                <w:rFonts w:ascii="宋体" w:hAnsi="宋体"/>
                <w:szCs w:val="21"/>
              </w:rPr>
            </w:pPr>
            <w:r>
              <w:rPr>
                <w:rFonts w:ascii="宋体" w:hAnsi="宋体" w:cs="宋体" w:hint="eastAsia"/>
                <w:kern w:val="0"/>
                <w:szCs w:val="21"/>
              </w:rPr>
              <w:t>本理财产品存续期间，每</w:t>
            </w:r>
            <w:r>
              <w:rPr>
                <w:rFonts w:ascii="宋体" w:hAnsi="宋体" w:cs="宋体" w:hint="eastAsia"/>
                <w:kern w:val="0"/>
                <w:szCs w:val="21"/>
                <w:u w:val="single"/>
              </w:rPr>
              <w:t>周三</w:t>
            </w:r>
            <w:r>
              <w:rPr>
                <w:rFonts w:ascii="宋体" w:hAnsi="宋体" w:cs="宋体" w:hint="eastAsia"/>
                <w:kern w:val="0"/>
                <w:szCs w:val="21"/>
              </w:rPr>
              <w:t>或理财产品终止日为估值日，如</w:t>
            </w:r>
            <w:r>
              <w:rPr>
                <w:rFonts w:ascii="宋体" w:hAnsi="宋体" w:cs="宋体" w:hint="eastAsia"/>
                <w:kern w:val="0"/>
                <w:szCs w:val="21"/>
                <w:u w:val="single"/>
              </w:rPr>
              <w:t>周三</w:t>
            </w:r>
            <w:r>
              <w:rPr>
                <w:rFonts w:ascii="宋体" w:hAnsi="宋体" w:cs="宋体" w:hint="eastAsia"/>
                <w:kern w:val="0"/>
                <w:szCs w:val="21"/>
              </w:rPr>
              <w:t>为非工作日，则估值日顺延至下一个工作日。产品管理人于估值日后</w:t>
            </w:r>
            <w:r>
              <w:rPr>
                <w:rFonts w:ascii="宋体" w:hAnsi="宋体" w:cs="宋体" w:hint="eastAsia"/>
                <w:kern w:val="0"/>
                <w:szCs w:val="21"/>
              </w:rPr>
              <w:t>2</w:t>
            </w:r>
            <w:r>
              <w:rPr>
                <w:rFonts w:ascii="宋体" w:hAnsi="宋体" w:cs="宋体" w:hint="eastAsia"/>
                <w:kern w:val="0"/>
                <w:szCs w:val="21"/>
              </w:rPr>
              <w:t>个工作日内公布理财产品的单位净值。产品管理人有权在法律法规、监管政策允许的前提下调整估值日。</w:t>
            </w:r>
          </w:p>
        </w:tc>
      </w:tr>
      <w:tr w:rsidR="009643E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jc w:val="center"/>
              <w:rPr>
                <w:rFonts w:ascii="宋体" w:hAnsi="宋体"/>
                <w:szCs w:val="21"/>
              </w:rPr>
            </w:pPr>
            <w:r>
              <w:rPr>
                <w:rFonts w:ascii="宋体" w:hAnsi="宋体" w:hint="eastAsia"/>
                <w:kern w:val="0"/>
                <w:szCs w:val="21"/>
              </w:rPr>
              <w:t>估值</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after="75" w:line="360" w:lineRule="atLeast"/>
              <w:rPr>
                <w:rFonts w:ascii="宋体" w:hAnsi="宋体"/>
                <w:szCs w:val="21"/>
              </w:rPr>
            </w:pPr>
            <w:r>
              <w:rPr>
                <w:rFonts w:ascii="宋体" w:hAnsi="宋体" w:hint="eastAsia"/>
                <w:szCs w:val="21"/>
              </w:rPr>
              <w:t>详见</w:t>
            </w:r>
            <w:r>
              <w:rPr>
                <w:rFonts w:ascii="宋体" w:hAnsi="宋体" w:cs="宋体" w:hint="eastAsia"/>
                <w:kern w:val="0"/>
                <w:szCs w:val="21"/>
              </w:rPr>
              <w:t>“四、理财产品估值”。</w:t>
            </w:r>
          </w:p>
        </w:tc>
      </w:tr>
      <w:tr w:rsidR="009643E4">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jc w:val="center"/>
              <w:rPr>
                <w:rFonts w:ascii="宋体" w:hAnsi="宋体"/>
                <w:szCs w:val="21"/>
              </w:rPr>
            </w:pPr>
            <w:r>
              <w:rPr>
                <w:rFonts w:ascii="宋体" w:hAnsi="宋体" w:cs="宋体" w:hint="eastAsia"/>
                <w:kern w:val="0"/>
                <w:szCs w:val="21"/>
              </w:rPr>
              <w:t>单位净值</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after="75" w:line="360" w:lineRule="atLeast"/>
              <w:rPr>
                <w:rFonts w:ascii="宋体" w:hAnsi="宋体"/>
                <w:szCs w:val="21"/>
              </w:rPr>
            </w:pPr>
            <w:r>
              <w:rPr>
                <w:rFonts w:ascii="宋体" w:hAnsi="宋体" w:hint="eastAsia"/>
                <w:szCs w:val="21"/>
              </w:rPr>
              <w:t>单位净值为提取相关税费后的理财产品份额净值，按该单位净值进行到期分配。理财产品份额净值精确到小数点后</w:t>
            </w:r>
            <w:r>
              <w:rPr>
                <w:rFonts w:ascii="宋体" w:hAnsi="宋体"/>
                <w:szCs w:val="21"/>
              </w:rPr>
              <w:t>4</w:t>
            </w:r>
            <w:r>
              <w:rPr>
                <w:rFonts w:ascii="宋体" w:hAnsi="宋体" w:hint="eastAsia"/>
                <w:szCs w:val="21"/>
              </w:rPr>
              <w:t>位，小数点</w:t>
            </w:r>
            <w:r>
              <w:rPr>
                <w:rFonts w:ascii="宋体" w:hAnsi="宋体"/>
                <w:szCs w:val="21"/>
              </w:rPr>
              <w:t>4</w:t>
            </w:r>
            <w:r>
              <w:rPr>
                <w:rFonts w:ascii="宋体" w:hAnsi="宋体" w:hint="eastAsia"/>
                <w:szCs w:val="21"/>
              </w:rPr>
              <w:t>位以后按</w:t>
            </w:r>
            <w:r>
              <w:rPr>
                <w:rFonts w:ascii="宋体" w:hAnsi="宋体" w:cs="宋体" w:hint="eastAsia"/>
                <w:szCs w:val="21"/>
                <w:u w:val="single"/>
              </w:rPr>
              <w:t>去尾原则处理</w:t>
            </w:r>
            <w:r>
              <w:rPr>
                <w:rFonts w:ascii="宋体" w:hAnsi="宋体" w:hint="eastAsia"/>
                <w:szCs w:val="21"/>
              </w:rPr>
              <w:t>。</w:t>
            </w:r>
            <w:r>
              <w:rPr>
                <w:rFonts w:ascii="宋体" w:hAnsi="宋体" w:hint="eastAsia"/>
                <w:szCs w:val="21"/>
              </w:rPr>
              <w:t>产品认购</w:t>
            </w:r>
            <w:proofErr w:type="gramStart"/>
            <w:r>
              <w:rPr>
                <w:rFonts w:ascii="宋体" w:hAnsi="宋体" w:hint="eastAsia"/>
                <w:szCs w:val="21"/>
              </w:rPr>
              <w:t>期单位</w:t>
            </w:r>
            <w:proofErr w:type="gramEnd"/>
            <w:r>
              <w:rPr>
                <w:rFonts w:ascii="宋体" w:hAnsi="宋体" w:hint="eastAsia"/>
                <w:szCs w:val="21"/>
              </w:rPr>
              <w:t>净值为</w:t>
            </w:r>
            <w:r>
              <w:rPr>
                <w:rFonts w:ascii="宋体" w:hAnsi="宋体"/>
                <w:szCs w:val="21"/>
              </w:rPr>
              <w:t>1</w:t>
            </w:r>
            <w:r>
              <w:rPr>
                <w:rFonts w:ascii="宋体" w:hAnsi="宋体"/>
                <w:szCs w:val="21"/>
              </w:rPr>
              <w:t>元。</w:t>
            </w:r>
          </w:p>
        </w:tc>
      </w:tr>
      <w:tr w:rsidR="009643E4">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jc w:val="center"/>
              <w:rPr>
                <w:rFonts w:ascii="宋体" w:hAnsi="宋体" w:cs="宋体"/>
                <w:kern w:val="0"/>
                <w:szCs w:val="21"/>
              </w:rPr>
            </w:pPr>
            <w:r>
              <w:rPr>
                <w:rFonts w:ascii="宋体" w:hAnsi="宋体" w:cs="宋体" w:hint="eastAsia"/>
                <w:kern w:val="0"/>
                <w:szCs w:val="21"/>
              </w:rPr>
              <w:t>投资范围及比例</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rightChars="15" w:right="31"/>
              <w:rPr>
                <w:rFonts w:ascii="宋体" w:hAnsi="宋体" w:cs="宋体"/>
                <w:kern w:val="0"/>
                <w:szCs w:val="21"/>
              </w:rPr>
            </w:pPr>
            <w:r>
              <w:rPr>
                <w:rFonts w:ascii="宋体" w:hAnsi="宋体" w:cs="宋体" w:hint="eastAsia"/>
                <w:kern w:val="0"/>
                <w:szCs w:val="21"/>
              </w:rPr>
              <w:t>本产品主要投资于存款、债券、非标准化债权资产等债权类资产，并可能将不超过</w:t>
            </w:r>
            <w:r>
              <w:rPr>
                <w:rFonts w:ascii="宋体" w:hAnsi="宋体" w:cs="宋体" w:hint="eastAsia"/>
                <w:kern w:val="0"/>
                <w:szCs w:val="21"/>
              </w:rPr>
              <w:t>20%</w:t>
            </w:r>
            <w:r>
              <w:rPr>
                <w:rFonts w:ascii="宋体" w:hAnsi="宋体" w:cs="宋体" w:hint="eastAsia"/>
                <w:kern w:val="0"/>
                <w:szCs w:val="21"/>
              </w:rPr>
              <w:t>的资金投资于符合监管要求的权益类资产。非因产品管理人主观因素导致突破具体类别资产比例限制的</w:t>
            </w:r>
            <w:r>
              <w:rPr>
                <w:rFonts w:ascii="宋体" w:hAnsi="宋体" w:cs="宋体" w:hint="eastAsia"/>
                <w:kern w:val="0"/>
                <w:szCs w:val="21"/>
              </w:rPr>
              <w:t>,</w:t>
            </w:r>
            <w:r>
              <w:rPr>
                <w:rFonts w:ascii="宋体" w:hAnsi="宋体" w:cs="宋体"/>
                <w:kern w:val="0"/>
                <w:szCs w:val="21"/>
              </w:rPr>
              <w:t>产品管理人将在流动性受限资产可出售、可转让或者恢复交易的</w:t>
            </w:r>
            <w:r>
              <w:rPr>
                <w:rFonts w:ascii="宋体" w:hAnsi="宋体" w:cs="宋体" w:hint="eastAsia"/>
                <w:kern w:val="0"/>
                <w:szCs w:val="21"/>
              </w:rPr>
              <w:t>10</w:t>
            </w:r>
            <w:r>
              <w:rPr>
                <w:rFonts w:ascii="宋体" w:hAnsi="宋体" w:cs="宋体" w:hint="eastAsia"/>
                <w:kern w:val="0"/>
                <w:szCs w:val="21"/>
              </w:rPr>
              <w:t>个交易日内将理财产品投资比例调整至符合要求，国务院银行保险监督管理机构规定的特殊情况除外。</w:t>
            </w:r>
          </w:p>
          <w:p w:rsidR="009643E4" w:rsidRDefault="00D26BB4">
            <w:pPr>
              <w:spacing w:line="360" w:lineRule="atLeast"/>
              <w:ind w:rightChars="15" w:right="31"/>
              <w:rPr>
                <w:rFonts w:ascii="宋体" w:hAnsi="宋体" w:cs="宋体"/>
                <w:kern w:val="0"/>
                <w:szCs w:val="21"/>
              </w:rPr>
            </w:pPr>
            <w:r>
              <w:rPr>
                <w:rFonts w:ascii="宋体" w:hAnsi="宋体" w:cs="宋体" w:hint="eastAsia"/>
                <w:kern w:val="0"/>
                <w:szCs w:val="21"/>
              </w:rPr>
              <w:t>详见“二</w:t>
            </w:r>
            <w:r>
              <w:rPr>
                <w:rFonts w:ascii="宋体" w:hAnsi="宋体" w:cs="宋体" w:hint="eastAsia"/>
                <w:kern w:val="0"/>
                <w:szCs w:val="21"/>
              </w:rPr>
              <w:t>、理财产品投资范围”。</w:t>
            </w:r>
          </w:p>
        </w:tc>
      </w:tr>
      <w:tr w:rsidR="009643E4">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jc w:val="center"/>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基本情况</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w:t>
            </w:r>
            <w:r>
              <w:rPr>
                <w:rFonts w:ascii="宋体" w:hAnsi="宋体" w:cs="宋体"/>
                <w:szCs w:val="21"/>
                <w:u w:val="single"/>
              </w:rPr>
              <w:t>招商银行股份有限公司</w:t>
            </w:r>
            <w:r>
              <w:rPr>
                <w:rFonts w:ascii="宋体" w:hAnsi="宋体" w:cs="宋体" w:hint="eastAsia"/>
                <w:kern w:val="0"/>
                <w:szCs w:val="21"/>
              </w:rPr>
              <w:t>。</w:t>
            </w:r>
          </w:p>
          <w:p w:rsidR="009643E4" w:rsidRDefault="00D26BB4">
            <w:pPr>
              <w:spacing w:line="360" w:lineRule="atLeast"/>
              <w:ind w:left="-2" w:rightChars="15" w:right="31"/>
              <w:rPr>
                <w:rFonts w:ascii="宋体" w:hAnsi="宋体" w:cs="宋体"/>
                <w:kern w:val="0"/>
                <w:szCs w:val="21"/>
              </w:rPr>
            </w:pPr>
            <w:r>
              <w:rPr>
                <w:rFonts w:ascii="宋体" w:hAnsi="宋体" w:cs="宋体" w:hint="eastAsia"/>
                <w:kern w:val="0"/>
                <w:szCs w:val="21"/>
              </w:rPr>
              <w:t>注册地：</w:t>
            </w:r>
            <w:r>
              <w:rPr>
                <w:rFonts w:ascii="宋体" w:hAnsi="宋体" w:cs="宋体"/>
                <w:szCs w:val="21"/>
                <w:u w:val="single"/>
              </w:rPr>
              <w:t>深圳市</w:t>
            </w:r>
            <w:r>
              <w:rPr>
                <w:rFonts w:ascii="宋体" w:hAnsi="宋体" w:cs="宋体" w:hint="eastAsia"/>
                <w:kern w:val="0"/>
                <w:szCs w:val="21"/>
              </w:rPr>
              <w:t>。</w:t>
            </w:r>
          </w:p>
          <w:p w:rsidR="009643E4" w:rsidRDefault="00D26BB4">
            <w:pPr>
              <w:spacing w:line="360" w:lineRule="atLeast"/>
              <w:ind w:left="-2" w:rightChars="15" w:right="31"/>
              <w:rPr>
                <w:rFonts w:ascii="宋体" w:hAnsi="宋体" w:cs="宋体"/>
                <w:kern w:val="0"/>
                <w:szCs w:val="21"/>
              </w:rPr>
            </w:pPr>
            <w:r>
              <w:rPr>
                <w:rFonts w:ascii="宋体" w:hAnsi="宋体" w:cs="宋体" w:hint="eastAsia"/>
                <w:kern w:val="0"/>
                <w:szCs w:val="21"/>
              </w:rPr>
              <w:t>主要职责：提供包括账户开立、资金保管、资金清算、估值核算等理财产品托管服务。</w:t>
            </w:r>
          </w:p>
        </w:tc>
      </w:tr>
      <w:tr w:rsidR="009643E4">
        <w:trPr>
          <w:trHeight w:val="299"/>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jc w:val="center"/>
              <w:rPr>
                <w:rFonts w:ascii="宋体" w:hAnsi="宋体"/>
                <w:kern w:val="0"/>
                <w:szCs w:val="21"/>
              </w:rPr>
            </w:pPr>
            <w:r>
              <w:rPr>
                <w:rFonts w:ascii="宋体" w:hAnsi="宋体" w:cs="宋体" w:hint="eastAsia"/>
                <w:kern w:val="0"/>
                <w:szCs w:val="21"/>
              </w:rPr>
              <w:t>理财产品费用</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left="-2" w:rightChars="15" w:right="31"/>
              <w:rPr>
                <w:rFonts w:ascii="宋体" w:hAnsi="宋体" w:cs="宋体"/>
                <w:kern w:val="0"/>
                <w:szCs w:val="21"/>
              </w:rPr>
            </w:pPr>
            <w:r>
              <w:rPr>
                <w:rFonts w:ascii="宋体" w:hAnsi="宋体" w:cs="宋体"/>
                <w:kern w:val="0"/>
                <w:szCs w:val="21"/>
              </w:rPr>
              <w:t>1.</w:t>
            </w:r>
            <w:r>
              <w:rPr>
                <w:rFonts w:ascii="宋体" w:hAnsi="宋体" w:cs="宋体"/>
                <w:kern w:val="0"/>
                <w:szCs w:val="21"/>
              </w:rPr>
              <w:t>认购费、申购费：本理财产品不收取认购费和申购费。</w:t>
            </w:r>
          </w:p>
          <w:p w:rsidR="009643E4" w:rsidRDefault="00D26BB4">
            <w:pPr>
              <w:spacing w:line="360" w:lineRule="atLeast"/>
              <w:ind w:left="-2" w:rightChars="15" w:right="31"/>
              <w:rPr>
                <w:rFonts w:ascii="宋体" w:hAnsi="宋体" w:cs="宋体"/>
                <w:kern w:val="0"/>
                <w:szCs w:val="21"/>
              </w:rPr>
            </w:pPr>
            <w:r>
              <w:rPr>
                <w:rFonts w:ascii="宋体" w:hAnsi="宋体" w:cs="宋体"/>
                <w:kern w:val="0"/>
                <w:szCs w:val="21"/>
              </w:rPr>
              <w:t>2.</w:t>
            </w:r>
            <w:r>
              <w:rPr>
                <w:rFonts w:ascii="宋体" w:hAnsi="宋体" w:cs="宋体"/>
                <w:kern w:val="0"/>
                <w:szCs w:val="21"/>
              </w:rPr>
              <w:t>托管费：托管人对本理财产品收取托管费，</w:t>
            </w:r>
            <w:r>
              <w:rPr>
                <w:rFonts w:ascii="宋体" w:hAnsi="宋体" w:cs="宋体" w:hint="eastAsia"/>
                <w:kern w:val="0"/>
                <w:szCs w:val="21"/>
              </w:rPr>
              <w:t>本产品按前一日产品净值的</w:t>
            </w:r>
            <w:r>
              <w:rPr>
                <w:rFonts w:ascii="宋体" w:hAnsi="宋体" w:cs="宋体"/>
                <w:b/>
                <w:bCs/>
                <w:szCs w:val="21"/>
                <w:u w:val="single"/>
              </w:rPr>
              <w:t>0.005</w:t>
            </w:r>
            <w:r>
              <w:rPr>
                <w:rFonts w:ascii="宋体" w:hAnsi="宋体" w:cs="宋体" w:hint="eastAsia"/>
                <w:b/>
                <w:bCs/>
                <w:szCs w:val="21"/>
                <w:u w:val="single"/>
              </w:rPr>
              <w:t>%</w:t>
            </w:r>
            <w:r>
              <w:rPr>
                <w:rFonts w:ascii="宋体" w:hAnsi="宋体" w:cs="宋体"/>
                <w:kern w:val="0"/>
                <w:szCs w:val="21"/>
              </w:rPr>
              <w:t>（年化）收取托管费，按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支付。托管费精确到小数点后</w:t>
            </w:r>
            <w:r>
              <w:rPr>
                <w:rFonts w:ascii="宋体" w:hAnsi="宋体" w:cs="宋体"/>
                <w:kern w:val="0"/>
                <w:szCs w:val="21"/>
              </w:rPr>
              <w:t>2</w:t>
            </w:r>
            <w:r>
              <w:rPr>
                <w:rFonts w:ascii="宋体" w:hAnsi="宋体" w:cs="宋体"/>
                <w:kern w:val="0"/>
                <w:szCs w:val="21"/>
              </w:rPr>
              <w:t>位，小数点</w:t>
            </w:r>
            <w:r>
              <w:rPr>
                <w:rFonts w:ascii="宋体" w:hAnsi="宋体" w:cs="宋体"/>
                <w:kern w:val="0"/>
                <w:szCs w:val="21"/>
              </w:rPr>
              <w:t>2</w:t>
            </w:r>
            <w:r>
              <w:rPr>
                <w:rFonts w:ascii="宋体" w:hAnsi="宋体" w:cs="宋体"/>
                <w:kern w:val="0"/>
                <w:szCs w:val="21"/>
              </w:rPr>
              <w:t>位以后</w:t>
            </w:r>
            <w:r>
              <w:rPr>
                <w:rFonts w:ascii="宋体" w:hAnsi="宋体" w:cs="宋体" w:hint="eastAsia"/>
                <w:szCs w:val="21"/>
                <w:u w:val="single"/>
              </w:rPr>
              <w:t>四舍五入</w:t>
            </w:r>
            <w:r>
              <w:rPr>
                <w:rFonts w:ascii="宋体" w:hAnsi="宋体" w:cs="宋体" w:hint="eastAsia"/>
                <w:kern w:val="0"/>
                <w:szCs w:val="21"/>
              </w:rPr>
              <w:t>。</w:t>
            </w:r>
          </w:p>
          <w:p w:rsidR="009643E4" w:rsidRPr="00A82636" w:rsidRDefault="00D26BB4">
            <w:pPr>
              <w:spacing w:line="360" w:lineRule="atLeast"/>
              <w:ind w:left="-2" w:rightChars="15" w:right="31"/>
              <w:rPr>
                <w:rFonts w:ascii="宋体" w:hAnsi="宋体" w:cs="宋体"/>
                <w:kern w:val="0"/>
                <w:szCs w:val="21"/>
              </w:rPr>
            </w:pPr>
            <w:r>
              <w:rPr>
                <w:rFonts w:ascii="宋体" w:hAnsi="宋体" w:cs="宋体"/>
                <w:kern w:val="0"/>
                <w:szCs w:val="21"/>
              </w:rPr>
              <w:t>3.</w:t>
            </w:r>
            <w:r>
              <w:rPr>
                <w:rFonts w:ascii="宋体" w:hAnsi="宋体" w:cs="宋体"/>
                <w:kern w:val="0"/>
                <w:szCs w:val="21"/>
              </w:rPr>
              <w:t>销售服务费：</w:t>
            </w:r>
            <w:r>
              <w:rPr>
                <w:rFonts w:ascii="宋体" w:hAnsi="宋体" w:cs="宋体" w:hint="eastAsia"/>
                <w:szCs w:val="21"/>
              </w:rPr>
              <w:t>产品管理人</w:t>
            </w:r>
            <w:r>
              <w:rPr>
                <w:rFonts w:ascii="宋体" w:hAnsi="宋体" w:cs="宋体" w:hint="eastAsia"/>
                <w:kern w:val="0"/>
                <w:szCs w:val="21"/>
              </w:rPr>
              <w:t>收取</w:t>
            </w:r>
            <w:r w:rsidRPr="00A82636">
              <w:rPr>
                <w:rFonts w:ascii="宋体" w:hAnsi="宋体" w:cs="宋体" w:hint="eastAsia"/>
                <w:kern w:val="0"/>
                <w:szCs w:val="21"/>
              </w:rPr>
              <w:t>理财产品销售服务费，本产品按前一日产品净值的</w:t>
            </w:r>
            <w:r w:rsidRPr="00A82636">
              <w:rPr>
                <w:rFonts w:ascii="宋体" w:hAnsi="宋体" w:cs="宋体" w:hint="eastAsia"/>
                <w:b/>
                <w:bCs/>
                <w:szCs w:val="21"/>
                <w:u w:val="single"/>
              </w:rPr>
              <w:t>0</w:t>
            </w:r>
            <w:r w:rsidRPr="00A82636">
              <w:rPr>
                <w:rFonts w:ascii="宋体" w:hAnsi="宋体" w:cs="宋体" w:hint="eastAsia"/>
                <w:b/>
                <w:bCs/>
                <w:szCs w:val="21"/>
                <w:u w:val="single"/>
              </w:rPr>
              <w:t>%</w:t>
            </w:r>
            <w:r w:rsidRPr="00A82636">
              <w:rPr>
                <w:rFonts w:ascii="宋体" w:hAnsi="宋体" w:cs="宋体"/>
                <w:kern w:val="0"/>
                <w:szCs w:val="21"/>
              </w:rPr>
              <w:t>（年化）收取销售服务费，按</w:t>
            </w:r>
            <w:r w:rsidRPr="00A82636">
              <w:rPr>
                <w:rFonts w:ascii="宋体" w:hAnsi="宋体" w:cs="宋体" w:hint="eastAsia"/>
                <w:szCs w:val="21"/>
                <w:u w:val="single"/>
              </w:rPr>
              <w:t>日</w:t>
            </w:r>
            <w:r w:rsidRPr="00A82636">
              <w:rPr>
                <w:rFonts w:ascii="宋体" w:hAnsi="宋体" w:cs="宋体"/>
                <w:kern w:val="0"/>
                <w:szCs w:val="21"/>
              </w:rPr>
              <w:t>计提，</w:t>
            </w:r>
            <w:r w:rsidRPr="00A82636">
              <w:rPr>
                <w:rFonts w:ascii="宋体" w:hAnsi="宋体" w:cs="宋体" w:hint="eastAsia"/>
                <w:szCs w:val="21"/>
                <w:u w:val="single"/>
              </w:rPr>
              <w:t>不定期</w:t>
            </w:r>
            <w:r w:rsidRPr="00A82636">
              <w:rPr>
                <w:rFonts w:ascii="宋体" w:hAnsi="宋体" w:cs="宋体" w:hint="eastAsia"/>
                <w:kern w:val="0"/>
                <w:szCs w:val="21"/>
              </w:rPr>
              <w:t>支付。销售服务费精确到小数点后</w:t>
            </w:r>
            <w:r w:rsidRPr="00A82636">
              <w:rPr>
                <w:rFonts w:ascii="宋体" w:hAnsi="宋体" w:cs="宋体"/>
                <w:kern w:val="0"/>
                <w:szCs w:val="21"/>
              </w:rPr>
              <w:t>2</w:t>
            </w:r>
            <w:r w:rsidRPr="00A82636">
              <w:rPr>
                <w:rFonts w:ascii="宋体" w:hAnsi="宋体" w:cs="宋体"/>
                <w:kern w:val="0"/>
                <w:szCs w:val="21"/>
              </w:rPr>
              <w:t>位，小数点</w:t>
            </w:r>
            <w:r w:rsidRPr="00A82636">
              <w:rPr>
                <w:rFonts w:ascii="宋体" w:hAnsi="宋体" w:cs="宋体"/>
                <w:kern w:val="0"/>
                <w:szCs w:val="21"/>
              </w:rPr>
              <w:t>2</w:t>
            </w:r>
            <w:r w:rsidRPr="00A82636">
              <w:rPr>
                <w:rFonts w:ascii="宋体" w:hAnsi="宋体" w:cs="宋体"/>
                <w:kern w:val="0"/>
                <w:szCs w:val="21"/>
              </w:rPr>
              <w:t>位以后</w:t>
            </w:r>
            <w:r w:rsidRPr="00A82636">
              <w:rPr>
                <w:rFonts w:ascii="宋体" w:hAnsi="宋体" w:cs="宋体" w:hint="eastAsia"/>
                <w:szCs w:val="21"/>
                <w:u w:val="single"/>
              </w:rPr>
              <w:t>四舍五入</w:t>
            </w:r>
            <w:r w:rsidRPr="00A82636">
              <w:rPr>
                <w:rFonts w:ascii="宋体" w:hAnsi="宋体" w:cs="宋体" w:hint="eastAsia"/>
                <w:kern w:val="0"/>
                <w:szCs w:val="21"/>
              </w:rPr>
              <w:t>。</w:t>
            </w:r>
          </w:p>
          <w:p w:rsidR="009643E4" w:rsidRPr="00A82636" w:rsidRDefault="00D26BB4">
            <w:pPr>
              <w:spacing w:line="360" w:lineRule="atLeast"/>
              <w:ind w:left="-2" w:rightChars="15" w:right="31"/>
              <w:rPr>
                <w:rFonts w:ascii="宋体" w:hAnsi="宋体" w:cs="宋体"/>
                <w:kern w:val="0"/>
                <w:szCs w:val="21"/>
              </w:rPr>
            </w:pPr>
            <w:r w:rsidRPr="00A82636">
              <w:rPr>
                <w:rFonts w:ascii="宋体" w:hAnsi="宋体" w:cs="宋体"/>
                <w:kern w:val="0"/>
                <w:szCs w:val="21"/>
              </w:rPr>
              <w:t>4.</w:t>
            </w:r>
            <w:r w:rsidRPr="00A82636">
              <w:rPr>
                <w:rFonts w:ascii="宋体" w:hAnsi="宋体" w:cs="宋体"/>
                <w:kern w:val="0"/>
                <w:szCs w:val="21"/>
              </w:rPr>
              <w:t>固定投资管理费：</w:t>
            </w:r>
            <w:r w:rsidRPr="00A82636">
              <w:rPr>
                <w:rFonts w:ascii="宋体" w:hAnsi="宋体" w:cs="宋体" w:hint="eastAsia"/>
                <w:szCs w:val="21"/>
              </w:rPr>
              <w:t>产品管理人</w:t>
            </w:r>
            <w:r w:rsidRPr="00A82636">
              <w:rPr>
                <w:rFonts w:ascii="宋体" w:hAnsi="宋体" w:cs="宋体" w:hint="eastAsia"/>
                <w:kern w:val="0"/>
                <w:szCs w:val="21"/>
              </w:rPr>
              <w:t>收取理财产品固定投资管理费，本产品按前一日产品净值的</w:t>
            </w:r>
            <w:r w:rsidRPr="00A82636">
              <w:rPr>
                <w:rFonts w:ascii="宋体" w:hAnsi="宋体" w:cs="宋体" w:hint="eastAsia"/>
                <w:b/>
                <w:bCs/>
                <w:szCs w:val="21"/>
                <w:u w:val="single"/>
              </w:rPr>
              <w:t>0.2%</w:t>
            </w:r>
            <w:r w:rsidRPr="00A82636">
              <w:rPr>
                <w:rFonts w:ascii="宋体" w:hAnsi="宋体" w:cs="宋体"/>
                <w:kern w:val="0"/>
                <w:szCs w:val="21"/>
              </w:rPr>
              <w:t>（年化）收取固定投资管理费，按</w:t>
            </w:r>
            <w:r w:rsidRPr="00A82636">
              <w:rPr>
                <w:rFonts w:ascii="宋体" w:hAnsi="宋体" w:cs="宋体" w:hint="eastAsia"/>
                <w:szCs w:val="21"/>
                <w:u w:val="single"/>
              </w:rPr>
              <w:t>日</w:t>
            </w:r>
            <w:r w:rsidRPr="00A82636">
              <w:rPr>
                <w:rFonts w:ascii="宋体" w:hAnsi="宋体" w:cs="宋体"/>
                <w:kern w:val="0"/>
                <w:szCs w:val="21"/>
              </w:rPr>
              <w:t>计提，</w:t>
            </w:r>
            <w:r w:rsidRPr="00A82636">
              <w:rPr>
                <w:rFonts w:ascii="宋体" w:hAnsi="宋体" w:cs="宋体" w:hint="eastAsia"/>
                <w:szCs w:val="21"/>
                <w:u w:val="single"/>
              </w:rPr>
              <w:t>不定期</w:t>
            </w:r>
            <w:r w:rsidRPr="00A82636">
              <w:rPr>
                <w:rFonts w:ascii="宋体" w:hAnsi="宋体" w:cs="宋体" w:hint="eastAsia"/>
                <w:kern w:val="0"/>
                <w:szCs w:val="21"/>
              </w:rPr>
              <w:t>支付。固定投资管理费精确到小数点后</w:t>
            </w:r>
            <w:r w:rsidRPr="00A82636">
              <w:rPr>
                <w:rFonts w:ascii="宋体" w:hAnsi="宋体" w:cs="宋体"/>
                <w:kern w:val="0"/>
                <w:szCs w:val="21"/>
              </w:rPr>
              <w:t>2</w:t>
            </w:r>
            <w:r w:rsidRPr="00A82636">
              <w:rPr>
                <w:rFonts w:ascii="宋体" w:hAnsi="宋体" w:cs="宋体"/>
                <w:kern w:val="0"/>
                <w:szCs w:val="21"/>
              </w:rPr>
              <w:t>位，小数点</w:t>
            </w:r>
            <w:r w:rsidRPr="00A82636">
              <w:rPr>
                <w:rFonts w:ascii="宋体" w:hAnsi="宋体" w:cs="宋体"/>
                <w:kern w:val="0"/>
                <w:szCs w:val="21"/>
              </w:rPr>
              <w:t>2</w:t>
            </w:r>
            <w:r w:rsidRPr="00A82636">
              <w:rPr>
                <w:rFonts w:ascii="宋体" w:hAnsi="宋体" w:cs="宋体"/>
                <w:kern w:val="0"/>
                <w:szCs w:val="21"/>
              </w:rPr>
              <w:t>位以后</w:t>
            </w:r>
            <w:r w:rsidRPr="00A82636">
              <w:rPr>
                <w:rFonts w:ascii="宋体" w:hAnsi="宋体" w:cs="宋体" w:hint="eastAsia"/>
                <w:szCs w:val="21"/>
                <w:u w:val="single"/>
              </w:rPr>
              <w:t>四舍五入</w:t>
            </w:r>
            <w:r w:rsidRPr="00A82636">
              <w:rPr>
                <w:rFonts w:ascii="宋体" w:hAnsi="宋体" w:cs="宋体" w:hint="eastAsia"/>
                <w:kern w:val="0"/>
                <w:szCs w:val="21"/>
              </w:rPr>
              <w:t>。</w:t>
            </w:r>
          </w:p>
          <w:p w:rsidR="009643E4" w:rsidRDefault="00D26BB4">
            <w:pPr>
              <w:spacing w:line="360" w:lineRule="atLeast"/>
              <w:ind w:left="-2" w:rightChars="15" w:right="31"/>
              <w:rPr>
                <w:rFonts w:ascii="宋体" w:hAnsi="宋体" w:cs="宋体"/>
                <w:kern w:val="0"/>
                <w:szCs w:val="21"/>
              </w:rPr>
            </w:pPr>
            <w:r w:rsidRPr="00A82636">
              <w:rPr>
                <w:rFonts w:ascii="宋体" w:hAnsi="宋体" w:cs="宋体"/>
                <w:kern w:val="0"/>
                <w:szCs w:val="21"/>
              </w:rPr>
              <w:t>5.</w:t>
            </w:r>
            <w:r w:rsidRPr="00A82636">
              <w:rPr>
                <w:rFonts w:ascii="宋体" w:hAnsi="宋体" w:cs="宋体"/>
                <w:kern w:val="0"/>
                <w:szCs w:val="21"/>
              </w:rPr>
              <w:t>浮动投资管理费：</w:t>
            </w:r>
            <w:r w:rsidRPr="00A82636">
              <w:rPr>
                <w:rFonts w:ascii="宋体" w:hAnsi="宋体" w:cs="宋体" w:hint="eastAsia"/>
                <w:kern w:val="0"/>
                <w:szCs w:val="21"/>
              </w:rPr>
              <w:t>产品存续期内，按理财产品当日计提浮动管理费前的累计单位净值折算的</w:t>
            </w:r>
            <w:proofErr w:type="gramStart"/>
            <w:r w:rsidRPr="00A82636">
              <w:rPr>
                <w:rFonts w:ascii="宋体" w:hAnsi="宋体" w:cs="宋体" w:hint="eastAsia"/>
                <w:kern w:val="0"/>
                <w:szCs w:val="21"/>
              </w:rPr>
              <w:t>持有年化收益率</w:t>
            </w:r>
            <w:proofErr w:type="gramEnd"/>
            <w:r w:rsidRPr="00A82636">
              <w:rPr>
                <w:rFonts w:ascii="宋体" w:hAnsi="宋体" w:cs="宋体" w:hint="eastAsia"/>
                <w:kern w:val="0"/>
                <w:szCs w:val="21"/>
              </w:rPr>
              <w:t>超过</w:t>
            </w:r>
            <w:r w:rsidRPr="00A82636">
              <w:rPr>
                <w:rFonts w:ascii="宋体" w:hAnsi="宋体" w:cs="宋体" w:hint="eastAsia"/>
                <w:kern w:val="0"/>
                <w:szCs w:val="21"/>
                <w:u w:val="single"/>
              </w:rPr>
              <w:t>2.4%</w:t>
            </w:r>
            <w:r w:rsidRPr="00A82636">
              <w:rPr>
                <w:rFonts w:ascii="宋体" w:hAnsi="宋体" w:cs="宋体" w:hint="eastAsia"/>
                <w:kern w:val="0"/>
                <w:szCs w:val="21"/>
              </w:rPr>
              <w:t>时，则超过部分收益管理人计提</w:t>
            </w:r>
            <w:r w:rsidRPr="00A82636">
              <w:rPr>
                <w:rFonts w:ascii="宋体" w:hAnsi="宋体" w:cs="宋体" w:hint="eastAsia"/>
                <w:kern w:val="0"/>
                <w:szCs w:val="21"/>
                <w:u w:val="single"/>
              </w:rPr>
              <w:t>50%</w:t>
            </w:r>
            <w:r w:rsidRPr="00A82636">
              <w:rPr>
                <w:rFonts w:ascii="宋体" w:hAnsi="宋体" w:cs="宋体" w:hint="eastAsia"/>
                <w:kern w:val="0"/>
                <w:szCs w:val="21"/>
              </w:rPr>
              <w:t>作为浮动管理费。按理财产品当日计提浮动管理费前的累计单位净值折算的</w:t>
            </w:r>
            <w:proofErr w:type="gramStart"/>
            <w:r w:rsidRPr="00A82636">
              <w:rPr>
                <w:rFonts w:ascii="宋体" w:hAnsi="宋体" w:cs="宋体" w:hint="eastAsia"/>
                <w:kern w:val="0"/>
                <w:szCs w:val="21"/>
              </w:rPr>
              <w:t>持有年化收益率</w:t>
            </w:r>
            <w:proofErr w:type="gramEnd"/>
            <w:r w:rsidRPr="00A82636">
              <w:rPr>
                <w:rFonts w:ascii="宋体" w:hAnsi="宋体" w:cs="宋体" w:hint="eastAsia"/>
                <w:kern w:val="0"/>
                <w:szCs w:val="21"/>
              </w:rPr>
              <w:t>未达到</w:t>
            </w:r>
            <w:r w:rsidRPr="00A82636">
              <w:rPr>
                <w:rFonts w:ascii="宋体" w:hAnsi="宋体" w:cs="宋体" w:hint="eastAsia"/>
                <w:kern w:val="0"/>
                <w:szCs w:val="21"/>
                <w:u w:val="single"/>
              </w:rPr>
              <w:t>2.4%</w:t>
            </w:r>
            <w:r w:rsidRPr="00A82636">
              <w:rPr>
                <w:rFonts w:ascii="宋体" w:hAnsi="宋体" w:cs="宋体" w:hint="eastAsia"/>
                <w:kern w:val="0"/>
                <w:szCs w:val="21"/>
              </w:rPr>
              <w:t>时，管理人不计提浮动管理费，且管理人有权选择是否启用浮动管理费回拨机制，即管理人以计提</w:t>
            </w:r>
            <w:bookmarkStart w:id="7" w:name="_GoBack"/>
            <w:bookmarkEnd w:id="7"/>
            <w:r>
              <w:rPr>
                <w:rFonts w:ascii="宋体" w:hAnsi="宋体" w:cs="宋体" w:hint="eastAsia"/>
                <w:kern w:val="0"/>
                <w:szCs w:val="21"/>
              </w:rPr>
              <w:t>的浮动管理费为限对投资者进行回拨，不超过业绩比较基准。浮动投资管理费精确到小数点后</w:t>
            </w:r>
            <w:r>
              <w:rPr>
                <w:rFonts w:ascii="宋体" w:hAnsi="宋体" w:cs="宋体" w:hint="eastAsia"/>
                <w:kern w:val="0"/>
                <w:szCs w:val="21"/>
              </w:rPr>
              <w:t>2</w:t>
            </w:r>
            <w:r>
              <w:rPr>
                <w:rFonts w:ascii="宋体" w:hAnsi="宋体" w:cs="宋体" w:hint="eastAsia"/>
                <w:kern w:val="0"/>
                <w:szCs w:val="21"/>
              </w:rPr>
              <w:t>位，小数点</w:t>
            </w:r>
            <w:r>
              <w:rPr>
                <w:rFonts w:ascii="宋体" w:hAnsi="宋体" w:cs="宋体" w:hint="eastAsia"/>
                <w:kern w:val="0"/>
                <w:szCs w:val="21"/>
              </w:rPr>
              <w:t>2</w:t>
            </w:r>
            <w:r>
              <w:rPr>
                <w:rFonts w:ascii="宋体" w:hAnsi="宋体" w:cs="宋体" w:hint="eastAsia"/>
                <w:kern w:val="0"/>
                <w:szCs w:val="21"/>
              </w:rPr>
              <w:t>位以后舍位。浮动管理费按日计提，在产品到期日支付。</w:t>
            </w:r>
          </w:p>
          <w:p w:rsidR="009643E4" w:rsidRDefault="00D26BB4">
            <w:pPr>
              <w:spacing w:line="360" w:lineRule="atLeast"/>
              <w:ind w:left="-2" w:rightChars="15" w:right="31"/>
              <w:rPr>
                <w:rFonts w:ascii="宋体" w:hAnsi="宋体" w:cs="宋体"/>
                <w:kern w:val="0"/>
                <w:szCs w:val="21"/>
              </w:rPr>
            </w:pPr>
            <w:r>
              <w:rPr>
                <w:rFonts w:ascii="宋体" w:hAnsi="宋体" w:cs="宋体" w:hint="eastAsia"/>
                <w:kern w:val="0"/>
                <w:szCs w:val="21"/>
              </w:rPr>
              <w:t>产品成立日当日，按</w:t>
            </w:r>
            <w:r>
              <w:rPr>
                <w:rFonts w:ascii="宋体" w:hAnsi="宋体" w:cs="宋体" w:hint="eastAsia"/>
                <w:kern w:val="0"/>
                <w:szCs w:val="21"/>
                <w:u w:val="single"/>
              </w:rPr>
              <w:t>本产品当日实收份额</w:t>
            </w:r>
            <w:r>
              <w:rPr>
                <w:rFonts w:ascii="宋体" w:hAnsi="宋体" w:cs="宋体" w:hint="eastAsia"/>
                <w:kern w:val="0"/>
                <w:szCs w:val="21"/>
              </w:rPr>
              <w:t>计提托管费、销售服务费和固定投资管理费。</w:t>
            </w:r>
          </w:p>
          <w:p w:rsidR="009643E4" w:rsidRDefault="00D26BB4">
            <w:pPr>
              <w:spacing w:line="360" w:lineRule="atLeast"/>
              <w:ind w:left="-2" w:rightChars="15" w:right="31"/>
              <w:rPr>
                <w:rFonts w:ascii="宋体" w:hAnsi="宋体" w:cs="宋体"/>
                <w:kern w:val="0"/>
                <w:szCs w:val="21"/>
              </w:rPr>
            </w:pPr>
            <w:r>
              <w:rPr>
                <w:rFonts w:ascii="宋体" w:hAnsi="宋体" w:cs="宋体" w:hint="eastAsia"/>
                <w:kern w:val="0"/>
                <w:szCs w:val="21"/>
              </w:rPr>
              <w:t>6.</w:t>
            </w:r>
            <w:r>
              <w:rPr>
                <w:rFonts w:ascii="宋体" w:hAnsi="宋体" w:cs="宋体"/>
                <w:kern w:val="0"/>
                <w:szCs w:val="21"/>
              </w:rPr>
              <w:t>其他（如有）：</w:t>
            </w:r>
            <w:r>
              <w:rPr>
                <w:rFonts w:ascii="宋体" w:hAnsi="宋体" w:cs="宋体" w:hint="eastAsia"/>
                <w:kern w:val="0"/>
                <w:szCs w:val="21"/>
              </w:rPr>
              <w:t>银行间市场账户开户费及维护费、证券账户开户费、存续期间信息披露费、注册登记费、银行汇划手</w:t>
            </w:r>
            <w:r>
              <w:rPr>
                <w:rFonts w:ascii="宋体" w:hAnsi="宋体" w:cs="宋体" w:hint="eastAsia"/>
                <w:kern w:val="0"/>
                <w:szCs w:val="21"/>
              </w:rPr>
              <w:t>续费、账户管理费、</w:t>
            </w:r>
            <w:r>
              <w:rPr>
                <w:rFonts w:ascii="宋体" w:hAnsi="宋体" w:cs="宋体"/>
                <w:kern w:val="0"/>
                <w:szCs w:val="21"/>
              </w:rPr>
              <w:t>交易费用</w:t>
            </w:r>
            <w:r>
              <w:rPr>
                <w:rFonts w:ascii="宋体" w:hAnsi="宋体" w:cs="宋体" w:hint="eastAsia"/>
                <w:kern w:val="0"/>
                <w:szCs w:val="21"/>
              </w:rPr>
              <w:t>及</w:t>
            </w:r>
            <w:r>
              <w:rPr>
                <w:rFonts w:ascii="宋体" w:hAnsi="宋体" w:cs="宋体"/>
                <w:kern w:val="0"/>
                <w:szCs w:val="21"/>
              </w:rPr>
              <w:t>审计费用</w:t>
            </w:r>
            <w:r>
              <w:rPr>
                <w:rFonts w:ascii="宋体" w:hAnsi="宋体" w:cs="宋体" w:hint="eastAsia"/>
                <w:kern w:val="0"/>
                <w:szCs w:val="21"/>
              </w:rPr>
              <w:t>等本产品运营过程中发生的以及按照国家有关规定可以列入的其他相关费用，按费用实际支出金额支出、列入或摊入本理财产品费用。</w:t>
            </w:r>
          </w:p>
          <w:p w:rsidR="009643E4" w:rsidRDefault="00D26BB4">
            <w:pPr>
              <w:spacing w:line="360" w:lineRule="atLeast"/>
              <w:ind w:left="-2" w:rightChars="15" w:right="31"/>
              <w:rPr>
                <w:rFonts w:ascii="宋体" w:hAnsi="宋体"/>
                <w:szCs w:val="21"/>
              </w:rPr>
            </w:pPr>
            <w:r>
              <w:rPr>
                <w:rFonts w:ascii="宋体" w:hAnsi="宋体" w:cs="宋体" w:hint="eastAsia"/>
                <w:kern w:val="0"/>
                <w:szCs w:val="21"/>
              </w:rPr>
              <w:t>以上费用，以</w:t>
            </w:r>
            <w:r>
              <w:rPr>
                <w:rFonts w:ascii="宋体" w:hAnsi="宋体" w:cs="宋体"/>
                <w:kern w:val="0"/>
                <w:szCs w:val="21"/>
              </w:rPr>
              <w:t>产品净值</w:t>
            </w:r>
            <w:r>
              <w:rPr>
                <w:rFonts w:ascii="宋体" w:hAnsi="宋体" w:cs="宋体" w:hint="eastAsia"/>
                <w:kern w:val="0"/>
                <w:szCs w:val="21"/>
              </w:rPr>
              <w:t>为基数，按上述费率标准计付。</w:t>
            </w:r>
            <w:r>
              <w:rPr>
                <w:rFonts w:ascii="宋体" w:hAnsi="宋体" w:cs="宋体" w:hint="eastAsia"/>
                <w:szCs w:val="21"/>
              </w:rPr>
              <w:t>产品管理人</w:t>
            </w:r>
            <w:r>
              <w:rPr>
                <w:rFonts w:ascii="宋体" w:hAnsi="宋体" w:cs="宋体" w:hint="eastAsia"/>
                <w:kern w:val="0"/>
                <w:szCs w:val="21"/>
              </w:rPr>
              <w:t>有权根据国家政策和适用法律的规定，对本理财产品费用名目、收费条件、收费标准和收费方式进行调整。投资者对此无异议且同意在前述情况下继续持有本理财产品。</w:t>
            </w:r>
          </w:p>
        </w:tc>
      </w:tr>
      <w:tr w:rsidR="009643E4">
        <w:trPr>
          <w:trHeight w:val="360"/>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jc w:val="center"/>
              <w:rPr>
                <w:rFonts w:ascii="宋体" w:hAnsi="宋体"/>
                <w:kern w:val="0"/>
                <w:szCs w:val="21"/>
              </w:rPr>
            </w:pPr>
            <w:r>
              <w:rPr>
                <w:rFonts w:ascii="宋体" w:hAnsi="宋体" w:cs="宋体" w:hint="eastAsia"/>
                <w:kern w:val="0"/>
                <w:szCs w:val="21"/>
              </w:rPr>
              <w:t>购买渠道</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rPr>
                <w:rFonts w:ascii="宋体" w:hAnsi="宋体"/>
                <w:kern w:val="0"/>
                <w:szCs w:val="21"/>
              </w:rPr>
            </w:pPr>
            <w:r>
              <w:rPr>
                <w:rFonts w:ascii="宋体" w:hAnsi="宋体" w:cs="宋体" w:hint="eastAsia"/>
                <w:kern w:val="0"/>
                <w:szCs w:val="21"/>
              </w:rPr>
              <w:t>投资者可通过湖南银行指定网点和个人网银、手机银行、直销银行等渠道购买本产品（除另有书面约定外，中高风险、高风险的理财产品，只能在柜台购买</w:t>
            </w:r>
            <w:r>
              <w:rPr>
                <w:rFonts w:ascii="宋体" w:hAnsi="宋体" w:cs="宋体" w:hint="eastAsia"/>
                <w:kern w:val="0"/>
                <w:szCs w:val="21"/>
              </w:rPr>
              <w:t>）。</w:t>
            </w:r>
          </w:p>
        </w:tc>
      </w:tr>
      <w:tr w:rsidR="009643E4">
        <w:trPr>
          <w:trHeight w:val="181"/>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jc w:val="center"/>
              <w:rPr>
                <w:rFonts w:ascii="宋体" w:hAnsi="宋体"/>
                <w:kern w:val="0"/>
                <w:szCs w:val="21"/>
              </w:rPr>
            </w:pPr>
            <w:r>
              <w:rPr>
                <w:rFonts w:ascii="宋体" w:hAnsi="宋体" w:cs="宋体" w:hint="eastAsia"/>
                <w:kern w:val="0"/>
                <w:szCs w:val="21"/>
              </w:rPr>
              <w:t>质押条款</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rPr>
                <w:rFonts w:ascii="宋体" w:hAnsi="宋体"/>
                <w:kern w:val="0"/>
                <w:szCs w:val="21"/>
              </w:rPr>
            </w:pPr>
            <w:r>
              <w:rPr>
                <w:rFonts w:ascii="宋体" w:hAnsi="宋体" w:cs="宋体" w:hint="eastAsia"/>
                <w:kern w:val="0"/>
                <w:szCs w:val="21"/>
              </w:rPr>
              <w:t>在符合本行业务条件的前提下，本产品及其项下权益可以作为质押物设定担保向本行申请贷款或者其他形式的融资</w:t>
            </w:r>
            <w:r>
              <w:rPr>
                <w:rFonts w:ascii="宋体" w:hAnsi="宋体" w:cs="宋体"/>
                <w:kern w:val="0"/>
                <w:szCs w:val="21"/>
              </w:rPr>
              <w:t>/</w:t>
            </w:r>
            <w:proofErr w:type="gramStart"/>
            <w:r>
              <w:rPr>
                <w:rFonts w:ascii="宋体" w:hAnsi="宋体" w:cs="宋体" w:hint="eastAsia"/>
                <w:kern w:val="0"/>
                <w:szCs w:val="21"/>
              </w:rPr>
              <w:t>融信业务</w:t>
            </w:r>
            <w:proofErr w:type="gramEnd"/>
            <w:r>
              <w:rPr>
                <w:rFonts w:ascii="宋体" w:hAnsi="宋体" w:cs="宋体" w:hint="eastAsia"/>
                <w:kern w:val="0"/>
                <w:szCs w:val="21"/>
              </w:rPr>
              <w:t>，具体业务条件、手续及担保手续等按湖南银行相关要求办理。</w:t>
            </w:r>
          </w:p>
        </w:tc>
      </w:tr>
      <w:tr w:rsidR="009643E4">
        <w:trPr>
          <w:trHeight w:val="115"/>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jc w:val="center"/>
              <w:rPr>
                <w:rFonts w:ascii="宋体" w:hAnsi="宋体"/>
                <w:kern w:val="0"/>
                <w:szCs w:val="21"/>
              </w:rPr>
            </w:pPr>
            <w:r>
              <w:rPr>
                <w:rFonts w:ascii="宋体" w:hAnsi="宋体" w:cs="宋体" w:hint="eastAsia"/>
                <w:kern w:val="0"/>
                <w:szCs w:val="21"/>
              </w:rPr>
              <w:t>税收条款</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rPr>
                <w:rFonts w:ascii="宋体" w:hAnsi="宋体"/>
                <w:kern w:val="0"/>
                <w:szCs w:val="21"/>
              </w:rPr>
            </w:pPr>
            <w:r>
              <w:rPr>
                <w:rFonts w:ascii="宋体" w:hAnsi="宋体" w:cs="宋体" w:hint="eastAsia"/>
                <w:kern w:val="0"/>
                <w:szCs w:val="21"/>
              </w:rPr>
              <w:t>本理财产品运作过程中涉及的各纳税主体，其纳税义务按国家税收法律、法规执行。除法律法规特别要求外，投资者应缴纳的税收由投资者负责，湖南银行不承担代扣代缴或纳税义务。理财产品在资产管理、运营和处置过程中产生的收入，根据国家相关法律法规应缴纳增值税（含增值税附加税费，下同）及其他税费的，该等税费应由理财产品承担，直接从理财产品中扣付缴纳，由湖南银行进行申报和缴纳。</w:t>
            </w:r>
          </w:p>
        </w:tc>
      </w:tr>
      <w:tr w:rsidR="009643E4">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免责条款</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spacing w:line="360" w:lineRule="atLeast"/>
              <w:ind w:rightChars="15" w:right="31"/>
              <w:rPr>
                <w:rFonts w:ascii="宋体" w:hAnsi="宋体"/>
                <w:szCs w:val="21"/>
              </w:rPr>
            </w:pPr>
            <w:r>
              <w:rPr>
                <w:rFonts w:ascii="宋体" w:hAnsi="宋体" w:cs="宋体"/>
                <w:szCs w:val="21"/>
              </w:rPr>
              <w:t>1</w:t>
            </w:r>
            <w:r>
              <w:rPr>
                <w:rFonts w:ascii="宋体" w:hAnsi="宋体" w:cs="宋体"/>
                <w:szCs w:val="21"/>
              </w:rPr>
              <w:t>、本产品面临的风险包括信用风险、</w:t>
            </w:r>
            <w:r>
              <w:rPr>
                <w:rFonts w:ascii="宋体" w:hAnsi="宋体" w:cs="宋体" w:hint="eastAsia"/>
                <w:szCs w:val="21"/>
              </w:rPr>
              <w:t>市场风险、管理风险、</w:t>
            </w:r>
            <w:r>
              <w:rPr>
                <w:rFonts w:ascii="宋体" w:hAnsi="宋体" w:cs="宋体"/>
                <w:szCs w:val="21"/>
              </w:rPr>
              <w:t>流动性风险、</w:t>
            </w:r>
            <w:r>
              <w:rPr>
                <w:rFonts w:ascii="宋体" w:hAnsi="宋体" w:cs="宋体" w:hint="eastAsia"/>
                <w:szCs w:val="21"/>
              </w:rPr>
              <w:t>认购失败风险、</w:t>
            </w:r>
            <w:r>
              <w:rPr>
                <w:rFonts w:ascii="宋体" w:hAnsi="宋体" w:cs="宋体"/>
                <w:szCs w:val="21"/>
              </w:rPr>
              <w:t>提前终止风险、</w:t>
            </w:r>
            <w:r>
              <w:rPr>
                <w:rFonts w:ascii="宋体" w:hAnsi="宋体" w:cs="宋体" w:hint="eastAsia"/>
                <w:szCs w:val="21"/>
              </w:rPr>
              <w:t>抵质押物变现风险、</w:t>
            </w:r>
            <w:r>
              <w:rPr>
                <w:rFonts w:ascii="宋体" w:hAnsi="宋体" w:cs="宋体"/>
                <w:szCs w:val="21"/>
              </w:rPr>
              <w:t>延期支付风险</w:t>
            </w:r>
            <w:r>
              <w:rPr>
                <w:rFonts w:ascii="宋体" w:hAnsi="宋体" w:cs="宋体" w:hint="eastAsia"/>
                <w:szCs w:val="21"/>
              </w:rPr>
              <w:t>、政策风险、税务风险、信息传递风险、不可抗力风险</w:t>
            </w:r>
            <w:r>
              <w:rPr>
                <w:rFonts w:ascii="宋体" w:hAnsi="宋体" w:cs="宋体"/>
                <w:szCs w:val="21"/>
              </w:rPr>
              <w:t>等，将可能导致投资者本金及收益蒙受部分或全部损失。由此产生的理财本金及收益损失的风险由投资者自行承担，湖南银行不承担任何返还理财本金及收益的保证责任。</w:t>
            </w:r>
          </w:p>
          <w:p w:rsidR="009643E4" w:rsidRDefault="00D26BB4">
            <w:pPr>
              <w:widowControl/>
              <w:spacing w:line="360" w:lineRule="atLeast"/>
              <w:ind w:left="-2" w:rightChars="15" w:right="31"/>
              <w:rPr>
                <w:rFonts w:ascii="宋体" w:hAnsi="宋体" w:cs="宋体"/>
                <w:kern w:val="0"/>
                <w:szCs w:val="21"/>
              </w:rPr>
            </w:pPr>
            <w:r>
              <w:rPr>
                <w:rFonts w:ascii="宋体" w:hAnsi="宋体" w:cs="宋体"/>
                <w:szCs w:val="21"/>
              </w:rPr>
              <w:t>2</w:t>
            </w:r>
            <w:r>
              <w:rPr>
                <w:rFonts w:ascii="宋体" w:hAnsi="宋体" w:cs="宋体"/>
                <w:szCs w:val="21"/>
              </w:rPr>
              <w:t>、产品管理人为湖南银行。湖南银行将恪守勤勉尽责的原则，合理配置资产组合，为投资者提供专业化的理财服务。但本理财产品不保障理财本金及收益，湖南银行发行本理财产品不代表对金融同业存款的存款银行、债券和交易方按约定履约的可能性做出任何承诺或保证。</w:t>
            </w:r>
          </w:p>
        </w:tc>
      </w:tr>
      <w:tr w:rsidR="009643E4">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Chars="-1" w:left="-2" w:rightChars="15" w:right="31"/>
              <w:jc w:val="center"/>
              <w:rPr>
                <w:rFonts w:ascii="宋体" w:hAnsi="宋体" w:cs="宋体"/>
                <w:kern w:val="0"/>
                <w:szCs w:val="21"/>
              </w:rPr>
            </w:pPr>
            <w:r>
              <w:rPr>
                <w:rFonts w:ascii="宋体" w:hAnsi="宋体" w:cs="宋体" w:hint="eastAsia"/>
                <w:kern w:val="0"/>
                <w:szCs w:val="21"/>
                <w:lang w:eastAsia="zh-Hans"/>
              </w:rPr>
              <w:t>回购条款</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rPr>
                <w:rFonts w:ascii="宋体" w:hAnsi="宋体" w:cs="宋体"/>
                <w:szCs w:val="21"/>
              </w:rPr>
            </w:pPr>
            <w:r>
              <w:rPr>
                <w:rFonts w:ascii="宋体" w:hAnsi="宋体" w:cs="宋体" w:hint="eastAsia"/>
                <w:kern w:val="0"/>
                <w:szCs w:val="21"/>
              </w:rPr>
              <w:t>本理财产品可以按照国务院金融管理部门相关规定开展回购业务</w:t>
            </w:r>
            <w:r>
              <w:rPr>
                <w:rFonts w:ascii="宋体" w:hAnsi="宋体" w:cs="宋体"/>
                <w:kern w:val="0"/>
                <w:szCs w:val="21"/>
              </w:rPr>
              <w:t>，</w:t>
            </w:r>
            <w:r>
              <w:rPr>
                <w:rFonts w:ascii="宋体" w:hAnsi="宋体" w:cs="宋体" w:hint="eastAsia"/>
                <w:kern w:val="0"/>
                <w:szCs w:val="21"/>
              </w:rPr>
              <w:t>回购业务中可接受押品的资质要求与本说明书约定的投资范围保持一致</w:t>
            </w:r>
            <w:r>
              <w:rPr>
                <w:rFonts w:ascii="宋体" w:hAnsi="宋体" w:cs="宋体"/>
                <w:kern w:val="0"/>
                <w:szCs w:val="21"/>
              </w:rPr>
              <w:t>。</w:t>
            </w:r>
          </w:p>
        </w:tc>
      </w:tr>
      <w:tr w:rsidR="009643E4">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jc w:val="center"/>
              <w:rPr>
                <w:rFonts w:ascii="宋体" w:hAnsi="宋体"/>
                <w:kern w:val="0"/>
                <w:szCs w:val="21"/>
              </w:rPr>
            </w:pPr>
            <w:r>
              <w:rPr>
                <w:rFonts w:ascii="宋体" w:hAnsi="宋体" w:cs="宋体" w:hint="eastAsia"/>
                <w:kern w:val="0"/>
                <w:szCs w:val="21"/>
              </w:rPr>
              <w:t>信息披露</w:t>
            </w:r>
          </w:p>
        </w:tc>
        <w:tc>
          <w:tcPr>
            <w:tcW w:w="8647" w:type="dxa"/>
            <w:tcBorders>
              <w:top w:val="single" w:sz="4" w:space="0" w:color="auto"/>
              <w:left w:val="single" w:sz="4" w:space="0" w:color="auto"/>
              <w:bottom w:val="single" w:sz="4" w:space="0" w:color="auto"/>
              <w:right w:val="single" w:sz="4" w:space="0" w:color="auto"/>
            </w:tcBorders>
            <w:vAlign w:val="center"/>
          </w:tcPr>
          <w:p w:rsidR="009643E4" w:rsidRDefault="00D26BB4">
            <w:pPr>
              <w:widowControl/>
              <w:spacing w:line="360" w:lineRule="atLeast"/>
              <w:ind w:left="-2" w:rightChars="15" w:right="31"/>
              <w:rPr>
                <w:rFonts w:ascii="宋体" w:hAnsi="宋体"/>
                <w:b/>
                <w:kern w:val="0"/>
                <w:szCs w:val="21"/>
              </w:rPr>
            </w:pPr>
            <w:r>
              <w:rPr>
                <w:rFonts w:ascii="宋体" w:hAnsi="宋体" w:hint="eastAsia"/>
                <w:b/>
                <w:kern w:val="0"/>
                <w:szCs w:val="21"/>
              </w:rPr>
              <w:t>投资者购买本理财产品，即表明其确认并同意理财产品管理人可以按照法律法规及监管要求通过下列方式披露信息：</w:t>
            </w:r>
          </w:p>
          <w:p w:rsidR="009643E4" w:rsidRDefault="00D26BB4">
            <w:pPr>
              <w:widowControl/>
              <w:spacing w:line="360" w:lineRule="atLeast"/>
              <w:ind w:left="-2" w:rightChars="15" w:right="31"/>
              <w:rPr>
                <w:rFonts w:ascii="宋体" w:hAnsi="宋体"/>
                <w:b/>
                <w:kern w:val="0"/>
                <w:szCs w:val="21"/>
              </w:rPr>
            </w:pPr>
            <w:r>
              <w:rPr>
                <w:rFonts w:ascii="宋体" w:hAnsi="宋体" w:hint="eastAsia"/>
                <w:b/>
                <w:kern w:val="0"/>
                <w:szCs w:val="21"/>
              </w:rPr>
              <w:t xml:space="preserve"> 1</w:t>
            </w:r>
            <w:r>
              <w:rPr>
                <w:rFonts w:ascii="宋体" w:hAnsi="宋体" w:hint="eastAsia"/>
                <w:b/>
                <w:kern w:val="0"/>
                <w:szCs w:val="21"/>
              </w:rPr>
              <w:t>．在湖南银行官方网站（</w:t>
            </w:r>
            <w:r>
              <w:rPr>
                <w:rFonts w:ascii="宋体" w:hAnsi="宋体" w:hint="eastAsia"/>
                <w:b/>
                <w:kern w:val="0"/>
                <w:szCs w:val="21"/>
              </w:rPr>
              <w:t>https://www.hunan-bank.com</w:t>
            </w:r>
            <w:r>
              <w:rPr>
                <w:rFonts w:ascii="宋体" w:hAnsi="宋体" w:hint="eastAsia"/>
                <w:b/>
                <w:kern w:val="0"/>
                <w:szCs w:val="21"/>
              </w:rPr>
              <w:t>）公告上述信息；</w:t>
            </w:r>
          </w:p>
          <w:p w:rsidR="009643E4" w:rsidRDefault="00D26BB4">
            <w:pPr>
              <w:widowControl/>
              <w:spacing w:line="360" w:lineRule="atLeast"/>
              <w:ind w:left="-2" w:rightChars="15" w:right="31"/>
              <w:rPr>
                <w:rFonts w:ascii="宋体" w:hAnsi="宋体"/>
                <w:b/>
                <w:kern w:val="0"/>
                <w:szCs w:val="21"/>
              </w:rPr>
            </w:pPr>
            <w:r>
              <w:rPr>
                <w:rFonts w:ascii="宋体" w:hAnsi="宋体" w:hint="eastAsia"/>
                <w:b/>
                <w:kern w:val="0"/>
                <w:szCs w:val="21"/>
              </w:rPr>
              <w:t xml:space="preserve"> 2</w:t>
            </w:r>
            <w:r>
              <w:rPr>
                <w:rFonts w:ascii="宋体" w:hAnsi="宋体" w:hint="eastAsia"/>
                <w:b/>
                <w:kern w:val="0"/>
                <w:szCs w:val="21"/>
              </w:rPr>
              <w:t>．在本行营业网点根据投资者的要求，现场打印交易流水和份额供投资者核对；</w:t>
            </w:r>
          </w:p>
          <w:p w:rsidR="009643E4" w:rsidRDefault="00D26BB4">
            <w:pPr>
              <w:widowControl/>
              <w:spacing w:line="360" w:lineRule="atLeast"/>
              <w:ind w:left="-2" w:rightChars="15" w:right="31"/>
              <w:rPr>
                <w:rFonts w:ascii="宋体" w:hAnsi="宋体"/>
                <w:b/>
                <w:kern w:val="0"/>
                <w:szCs w:val="21"/>
              </w:rPr>
            </w:pPr>
            <w:r>
              <w:rPr>
                <w:rFonts w:ascii="宋体" w:hAnsi="宋体" w:hint="eastAsia"/>
                <w:b/>
                <w:kern w:val="0"/>
                <w:szCs w:val="21"/>
              </w:rPr>
              <w:t xml:space="preserve"> 3</w:t>
            </w:r>
            <w:r>
              <w:rPr>
                <w:rFonts w:ascii="宋体" w:hAnsi="宋体" w:hint="eastAsia"/>
                <w:b/>
                <w:kern w:val="0"/>
                <w:szCs w:val="21"/>
              </w:rPr>
              <w:t>．如本行认为需要直接联系客户的，本行亦可选择向客户在我行预留的联系方式或者有效变更的联系方式发出书面通知或短信。</w:t>
            </w:r>
          </w:p>
          <w:p w:rsidR="009643E4" w:rsidRDefault="00D26BB4">
            <w:pPr>
              <w:widowControl/>
              <w:spacing w:line="360" w:lineRule="atLeast"/>
              <w:ind w:left="-2" w:rightChars="15" w:right="31"/>
              <w:rPr>
                <w:rFonts w:ascii="宋体" w:hAnsi="宋体"/>
                <w:kern w:val="0"/>
                <w:szCs w:val="21"/>
              </w:rPr>
            </w:pPr>
            <w:r>
              <w:rPr>
                <w:rFonts w:ascii="宋体" w:hAnsi="宋体" w:hint="eastAsia"/>
                <w:b/>
                <w:kern w:val="0"/>
                <w:szCs w:val="21"/>
              </w:rPr>
              <w:t xml:space="preserve"> </w:t>
            </w:r>
            <w:r>
              <w:rPr>
                <w:rFonts w:ascii="宋体" w:hAnsi="宋体" w:hint="eastAsia"/>
                <w:b/>
                <w:kern w:val="0"/>
                <w:szCs w:val="21"/>
              </w:rPr>
              <w:t>本行通过以上渠道之一进行信息披露的，</w:t>
            </w:r>
            <w:r>
              <w:rPr>
                <w:rFonts w:ascii="宋体" w:hAnsi="宋体" w:hint="eastAsia"/>
                <w:b/>
                <w:kern w:val="0"/>
                <w:szCs w:val="21"/>
              </w:rPr>
              <w:t>视为</w:t>
            </w:r>
            <w:proofErr w:type="gramStart"/>
            <w:r>
              <w:rPr>
                <w:rFonts w:ascii="宋体" w:hAnsi="宋体" w:hint="eastAsia"/>
                <w:b/>
                <w:kern w:val="0"/>
                <w:szCs w:val="21"/>
              </w:rPr>
              <w:t>已适当</w:t>
            </w:r>
            <w:proofErr w:type="gramEnd"/>
            <w:r>
              <w:rPr>
                <w:rFonts w:ascii="宋体" w:hAnsi="宋体" w:hint="eastAsia"/>
                <w:b/>
                <w:kern w:val="0"/>
                <w:szCs w:val="21"/>
              </w:rPr>
              <w:t>履行信息披露义务。投资者应及时、主动通过上述信息披露渠道浏览和阅读理财产品相关信息。以上相关信息自公告之日即视为已送达投资者，如因投资者未及时、主动查询或由于通讯故障、系统故障及其他不可抗力等因素的影响而产生的全部责任和风险（包括但不限于因未及时获知信息而错过资金使用和再投资机会等）由投资者自行承担，请审慎决定。</w:t>
            </w:r>
          </w:p>
        </w:tc>
      </w:tr>
    </w:tbl>
    <w:p w:rsidR="009643E4" w:rsidRDefault="00D26BB4">
      <w:pPr>
        <w:spacing w:line="360" w:lineRule="exact"/>
        <w:ind w:left="-2" w:rightChars="15" w:right="31" w:firstLineChars="200" w:firstLine="422"/>
        <w:rPr>
          <w:rFonts w:ascii="宋体" w:hAnsi="宋体" w:cs="宋体"/>
          <w:b/>
          <w:szCs w:val="21"/>
        </w:rPr>
      </w:pPr>
      <w:r>
        <w:rPr>
          <w:rFonts w:ascii="宋体" w:hAnsi="宋体" w:cs="宋体" w:hint="eastAsia"/>
          <w:b/>
          <w:szCs w:val="21"/>
        </w:rPr>
        <w:t>二、理财产品投资范围</w:t>
      </w:r>
    </w:p>
    <w:p w:rsidR="009643E4" w:rsidRDefault="00D26BB4">
      <w:pPr>
        <w:spacing w:line="360" w:lineRule="exact"/>
        <w:ind w:left="-2" w:rightChars="15" w:right="31" w:firstLineChars="200" w:firstLine="422"/>
        <w:rPr>
          <w:rFonts w:ascii="宋体" w:hAnsi="宋体" w:cs="宋体"/>
          <w:szCs w:val="21"/>
        </w:rPr>
      </w:pPr>
      <w:r>
        <w:rPr>
          <w:rFonts w:ascii="宋体" w:hAnsi="宋体" w:cs="宋体"/>
          <w:b/>
          <w:szCs w:val="21"/>
        </w:rPr>
        <w:t>1</w:t>
      </w:r>
      <w:r>
        <w:rPr>
          <w:rFonts w:ascii="宋体" w:hAnsi="宋体" w:cs="宋体" w:hint="eastAsia"/>
          <w:b/>
          <w:szCs w:val="21"/>
        </w:rPr>
        <w:t>.</w:t>
      </w:r>
      <w:r>
        <w:rPr>
          <w:rFonts w:ascii="宋体" w:hAnsi="宋体" w:cs="宋体" w:hint="eastAsia"/>
          <w:b/>
          <w:szCs w:val="21"/>
        </w:rPr>
        <w:t>投资目标</w:t>
      </w:r>
    </w:p>
    <w:p w:rsidR="009643E4" w:rsidRDefault="00D26BB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本产品主要投资固定收益类金融资产，并可能少量投资于权益类金融资产，产品杠杆率不超</w:t>
      </w:r>
      <w:r>
        <w:rPr>
          <w:rFonts w:ascii="宋体" w:hAnsi="宋体" w:cs="宋体" w:hint="eastAsia"/>
          <w:szCs w:val="21"/>
        </w:rPr>
        <w:t>200%</w:t>
      </w:r>
      <w:r>
        <w:rPr>
          <w:rFonts w:ascii="宋体" w:hAnsi="宋体" w:cs="宋体" w:hint="eastAsia"/>
          <w:szCs w:val="21"/>
        </w:rPr>
        <w:t>。本产品将结合宏观经济走势、利率走势的判断，加强信用风险把控，做好固定收益类资产的配置，并择机稳健参与权益类投资，力争</w:t>
      </w:r>
      <w:r>
        <w:rPr>
          <w:rFonts w:ascii="宋体" w:hAnsi="宋体" w:cs="宋体" w:hint="eastAsia"/>
          <w:szCs w:val="21"/>
        </w:rPr>
        <w:t>实现业绩比较基准的投资回报</w:t>
      </w:r>
      <w:r>
        <w:rPr>
          <w:rFonts w:ascii="宋体" w:hAnsi="宋体" w:cs="宋体" w:hint="eastAsia"/>
          <w:szCs w:val="21"/>
        </w:rPr>
        <w:t>。</w:t>
      </w:r>
    </w:p>
    <w:p w:rsidR="009643E4" w:rsidRDefault="00D26BB4">
      <w:pPr>
        <w:spacing w:line="360" w:lineRule="exact"/>
        <w:ind w:left="-2" w:rightChars="15" w:right="31" w:firstLineChars="200" w:firstLine="422"/>
        <w:rPr>
          <w:rFonts w:ascii="宋体" w:hAnsi="宋体" w:cs="宋体"/>
          <w:szCs w:val="21"/>
        </w:rPr>
      </w:pPr>
      <w:r>
        <w:rPr>
          <w:rFonts w:ascii="宋体" w:hAnsi="宋体" w:cs="宋体"/>
          <w:b/>
          <w:szCs w:val="21"/>
        </w:rPr>
        <w:t>2</w:t>
      </w:r>
      <w:r>
        <w:rPr>
          <w:rFonts w:ascii="宋体" w:hAnsi="宋体" w:cs="宋体" w:hint="eastAsia"/>
          <w:b/>
          <w:szCs w:val="21"/>
        </w:rPr>
        <w:t>.</w:t>
      </w:r>
      <w:r>
        <w:rPr>
          <w:rFonts w:ascii="宋体" w:hAnsi="宋体" w:cs="宋体" w:hint="eastAsia"/>
          <w:b/>
          <w:szCs w:val="21"/>
        </w:rPr>
        <w:t>投资范围</w:t>
      </w:r>
    </w:p>
    <w:p w:rsidR="009643E4" w:rsidRDefault="00D26BB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本理财产品认购的资金投资于以下金融资产和金融工具：</w:t>
      </w:r>
    </w:p>
    <w:p w:rsidR="009643E4" w:rsidRDefault="00D26BB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szCs w:val="21"/>
        </w:rPr>
        <w:t>）固定收益类金融资产：包括</w:t>
      </w:r>
      <w:r>
        <w:rPr>
          <w:rFonts w:ascii="宋体" w:hAnsi="宋体" w:cs="宋体" w:hint="eastAsia"/>
          <w:szCs w:val="21"/>
        </w:rPr>
        <w:t>标准化债权资产及非标准化债权资产。其中标准化债权资产包括</w:t>
      </w:r>
      <w:r>
        <w:rPr>
          <w:rFonts w:ascii="宋体" w:hAnsi="宋体" w:cs="宋体"/>
          <w:szCs w:val="21"/>
        </w:rPr>
        <w:t>但不限于债券逆回购、国债、地方政府债券、中央银行票据、政府机构债券、金融债券、银行存款、大额存单、同业存单、公司信用类债券、</w:t>
      </w:r>
      <w:r>
        <w:rPr>
          <w:rFonts w:ascii="宋体" w:hAnsi="宋体" w:cs="宋体"/>
          <w:szCs w:val="21"/>
        </w:rPr>
        <w:t>在银行间市场和交易所市场发行的资产支持证券、投资于标准化债权资产的公募证券投资基金等，以及投资包含前述资产的产品及基金等标准化债权资产</w:t>
      </w:r>
      <w:r>
        <w:rPr>
          <w:rFonts w:ascii="宋体" w:hAnsi="宋体" w:cs="宋体" w:hint="eastAsia"/>
          <w:szCs w:val="21"/>
        </w:rPr>
        <w:t>。非标准化债权资产</w:t>
      </w:r>
      <w:r>
        <w:rPr>
          <w:rFonts w:ascii="宋体" w:hAnsi="宋体" w:cs="宋体"/>
          <w:szCs w:val="21"/>
        </w:rPr>
        <w:t>包括</w:t>
      </w:r>
      <w:r>
        <w:rPr>
          <w:rFonts w:ascii="宋体" w:hAnsi="宋体" w:cs="宋体" w:hint="eastAsia"/>
          <w:szCs w:val="21"/>
        </w:rPr>
        <w:t>但</w:t>
      </w:r>
      <w:r>
        <w:rPr>
          <w:rFonts w:ascii="宋体" w:hAnsi="宋体" w:cs="宋体"/>
          <w:szCs w:val="21"/>
        </w:rPr>
        <w:t>不限于信托贷款、应收账款、收益权转让、承兑汇票、信用证、收益凭证、</w:t>
      </w:r>
      <w:r>
        <w:rPr>
          <w:rFonts w:ascii="宋体" w:hAnsi="宋体" w:cs="宋体" w:hint="eastAsia"/>
          <w:szCs w:val="21"/>
        </w:rPr>
        <w:t>北金所债权融资计划、同业借款</w:t>
      </w:r>
      <w:r>
        <w:rPr>
          <w:rFonts w:ascii="宋体" w:hAnsi="宋体" w:cs="宋体"/>
          <w:szCs w:val="21"/>
        </w:rPr>
        <w:t>等非标准化债权资产</w:t>
      </w:r>
      <w:r>
        <w:rPr>
          <w:rFonts w:ascii="宋体" w:hAnsi="宋体" w:cs="宋体" w:hint="eastAsia"/>
          <w:szCs w:val="21"/>
        </w:rPr>
        <w:t>。</w:t>
      </w:r>
    </w:p>
    <w:p w:rsidR="009643E4" w:rsidRDefault="00D26BB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）权益类金融资产：包括但不限于</w:t>
      </w:r>
      <w:proofErr w:type="gramStart"/>
      <w:r>
        <w:rPr>
          <w:rFonts w:ascii="宋体" w:hAnsi="宋体" w:cs="宋体" w:hint="eastAsia"/>
          <w:szCs w:val="21"/>
        </w:rPr>
        <w:t>权益类公募</w:t>
      </w:r>
      <w:proofErr w:type="gramEnd"/>
      <w:r>
        <w:rPr>
          <w:rFonts w:ascii="宋体" w:hAnsi="宋体" w:cs="宋体" w:hint="eastAsia"/>
          <w:szCs w:val="21"/>
        </w:rPr>
        <w:t>证券投资基金、投资于</w:t>
      </w:r>
      <w:proofErr w:type="gramStart"/>
      <w:r>
        <w:rPr>
          <w:rFonts w:ascii="宋体" w:hAnsi="宋体" w:cs="宋体" w:hint="eastAsia"/>
          <w:szCs w:val="21"/>
        </w:rPr>
        <w:t>权益类公募</w:t>
      </w:r>
      <w:proofErr w:type="gramEnd"/>
      <w:r>
        <w:rPr>
          <w:rFonts w:ascii="宋体" w:hAnsi="宋体" w:cs="宋体" w:hint="eastAsia"/>
          <w:szCs w:val="21"/>
        </w:rPr>
        <w:t>证券投资基金的产品等符合监管要求的权益类资产。</w:t>
      </w:r>
    </w:p>
    <w:p w:rsidR="009643E4" w:rsidRDefault="00D26BB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szCs w:val="21"/>
        </w:rPr>
        <w:t>）衍生品类金融资产：包括但不限于国债期货、利率互换以及投资于上述资产的产品及基金等</w:t>
      </w:r>
      <w:r>
        <w:rPr>
          <w:rFonts w:ascii="宋体" w:hAnsi="宋体" w:cs="宋体" w:hint="eastAsia"/>
          <w:szCs w:val="21"/>
        </w:rPr>
        <w:t>。</w:t>
      </w:r>
    </w:p>
    <w:p w:rsidR="009643E4" w:rsidRDefault="00D26BB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在遵守相关法律法规、监管规</w:t>
      </w:r>
      <w:r>
        <w:rPr>
          <w:rFonts w:ascii="宋体" w:hAnsi="宋体" w:cs="宋体" w:hint="eastAsia"/>
          <w:szCs w:val="21"/>
        </w:rPr>
        <w:t>则及本产品说明书约定，避免不公平交易、利益输送等违法违规行为的前提下，投资者知晓并同意本理财产品的投资对象可能包括理财产品管理人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销售服务机构及其关联方发行、承销、管理的符合本理财产品投资范围规定的投资产品，本理财产品可能与理财产品管理人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销售服务机构及其关联方管理的投资组合之间互为交易对手或从事其他类型的关联交易。</w:t>
      </w:r>
    </w:p>
    <w:p w:rsidR="009643E4" w:rsidRDefault="00D26BB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本理财产品还可投资于其它符合监管要求的金融资产和金融工具，如法律法规或监管机构以后允许投资的其他品种，管理人在履行适当程序后，可</w:t>
      </w:r>
      <w:r>
        <w:rPr>
          <w:rFonts w:ascii="宋体" w:hAnsi="宋体" w:cs="宋体" w:hint="eastAsia"/>
          <w:szCs w:val="21"/>
        </w:rPr>
        <w:t>以将其纳入投资范围。</w:t>
      </w:r>
    </w:p>
    <w:p w:rsidR="009643E4" w:rsidRDefault="00D26BB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托管人仅对上述列明具体品种的资产标的进行投资监督，若产品管理人拟投资未列出的标的，需于托管人签署补充协议增加投资范围内容后，方可进行投资。</w:t>
      </w:r>
    </w:p>
    <w:p w:rsidR="009643E4" w:rsidRDefault="00D26BB4">
      <w:pPr>
        <w:spacing w:line="360" w:lineRule="atLeast"/>
        <w:ind w:left="-2" w:rightChars="15" w:right="31" w:firstLineChars="200" w:firstLine="422"/>
        <w:rPr>
          <w:rFonts w:ascii="宋体" w:hAnsi="宋体" w:cs="宋体"/>
          <w:b/>
          <w:szCs w:val="21"/>
        </w:rPr>
      </w:pPr>
      <w:r>
        <w:rPr>
          <w:rFonts w:ascii="宋体" w:hAnsi="宋体" w:cs="宋体"/>
          <w:b/>
          <w:szCs w:val="21"/>
        </w:rPr>
        <w:t>3</w:t>
      </w:r>
      <w:r>
        <w:rPr>
          <w:rFonts w:ascii="宋体" w:hAnsi="宋体" w:cs="宋体" w:hint="eastAsia"/>
          <w:b/>
          <w:szCs w:val="21"/>
        </w:rPr>
        <w:t>.</w:t>
      </w:r>
      <w:r>
        <w:rPr>
          <w:rFonts w:ascii="宋体" w:hAnsi="宋体" w:cs="宋体" w:hint="eastAsia"/>
          <w:b/>
          <w:szCs w:val="21"/>
        </w:rPr>
        <w:t>投资比例</w:t>
      </w:r>
    </w:p>
    <w:tbl>
      <w:tblPr>
        <w:tblW w:w="7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2"/>
        <w:gridCol w:w="3687"/>
      </w:tblGrid>
      <w:tr w:rsidR="009643E4">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9643E4" w:rsidRDefault="00D26BB4">
            <w:pPr>
              <w:autoSpaceDE w:val="0"/>
              <w:autoSpaceDN w:val="0"/>
              <w:adjustRightInd w:val="0"/>
              <w:snapToGrid w:val="0"/>
              <w:spacing w:line="336" w:lineRule="auto"/>
              <w:ind w:firstLineChars="200" w:firstLine="422"/>
              <w:jc w:val="left"/>
              <w:rPr>
                <w:rFonts w:ascii="宋体" w:hAnsi="宋体"/>
                <w:b/>
              </w:rPr>
            </w:pPr>
            <w:r>
              <w:rPr>
                <w:rFonts w:ascii="宋体" w:hAnsi="宋体" w:hint="eastAsia"/>
                <w:b/>
              </w:rPr>
              <w:t>投资品种</w:t>
            </w:r>
          </w:p>
        </w:tc>
        <w:tc>
          <w:tcPr>
            <w:tcW w:w="3687" w:type="dxa"/>
            <w:tcBorders>
              <w:top w:val="single" w:sz="4" w:space="0" w:color="000000"/>
              <w:left w:val="single" w:sz="4" w:space="0" w:color="000000"/>
              <w:bottom w:val="single" w:sz="4" w:space="0" w:color="000000"/>
              <w:right w:val="single" w:sz="4" w:space="0" w:color="000000"/>
            </w:tcBorders>
            <w:vAlign w:val="center"/>
          </w:tcPr>
          <w:p w:rsidR="009643E4" w:rsidRDefault="00D26BB4">
            <w:pPr>
              <w:autoSpaceDE w:val="0"/>
              <w:autoSpaceDN w:val="0"/>
              <w:adjustRightInd w:val="0"/>
              <w:snapToGrid w:val="0"/>
              <w:spacing w:line="336" w:lineRule="auto"/>
              <w:ind w:firstLineChars="400" w:firstLine="843"/>
              <w:jc w:val="left"/>
              <w:rPr>
                <w:rFonts w:ascii="宋体" w:hAnsi="宋体"/>
                <w:b/>
              </w:rPr>
            </w:pPr>
            <w:r>
              <w:rPr>
                <w:rFonts w:ascii="宋体" w:hAnsi="宋体" w:hint="eastAsia"/>
                <w:b/>
              </w:rPr>
              <w:t>计划配置比例</w:t>
            </w:r>
          </w:p>
        </w:tc>
      </w:tr>
      <w:tr w:rsidR="009643E4">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9643E4" w:rsidRDefault="00D26BB4">
            <w:pPr>
              <w:autoSpaceDE w:val="0"/>
              <w:autoSpaceDN w:val="0"/>
              <w:adjustRightInd w:val="0"/>
              <w:snapToGrid w:val="0"/>
              <w:spacing w:line="336" w:lineRule="auto"/>
              <w:ind w:firstLineChars="200" w:firstLine="420"/>
              <w:rPr>
                <w:rFonts w:ascii="宋体" w:hAnsi="宋体"/>
              </w:rPr>
            </w:pPr>
            <w:r>
              <w:rPr>
                <w:rFonts w:ascii="宋体" w:hAnsi="宋体" w:hint="eastAsia"/>
              </w:rPr>
              <w:t>固定收益类金融资产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9643E4" w:rsidRDefault="00D26BB4">
            <w:pPr>
              <w:autoSpaceDE w:val="0"/>
              <w:autoSpaceDN w:val="0"/>
              <w:adjustRightInd w:val="0"/>
              <w:snapToGrid w:val="0"/>
              <w:spacing w:line="336" w:lineRule="auto"/>
              <w:jc w:val="center"/>
              <w:rPr>
                <w:rFonts w:ascii="宋体" w:hAnsi="宋体"/>
              </w:rPr>
            </w:pPr>
            <w:r>
              <w:rPr>
                <w:rFonts w:ascii="宋体" w:hAnsi="宋体" w:hint="eastAsia"/>
              </w:rPr>
              <w:t>不低于</w:t>
            </w:r>
            <w:r>
              <w:rPr>
                <w:rFonts w:ascii="宋体" w:hAnsi="宋体"/>
              </w:rPr>
              <w:t>80%</w:t>
            </w:r>
          </w:p>
        </w:tc>
      </w:tr>
      <w:tr w:rsidR="009643E4">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9643E4" w:rsidRDefault="00D26BB4">
            <w:pPr>
              <w:autoSpaceDE w:val="0"/>
              <w:autoSpaceDN w:val="0"/>
              <w:adjustRightInd w:val="0"/>
              <w:snapToGrid w:val="0"/>
              <w:spacing w:line="336" w:lineRule="auto"/>
              <w:ind w:firstLineChars="200" w:firstLine="420"/>
              <w:rPr>
                <w:rFonts w:ascii="宋体" w:hAnsi="宋体"/>
              </w:rPr>
            </w:pPr>
            <w:r>
              <w:rPr>
                <w:rFonts w:ascii="宋体" w:hAnsi="宋体" w:hint="eastAsia"/>
              </w:rPr>
              <w:t>权益类金融资产和衍生品类金融资产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9643E4" w:rsidRDefault="00D26BB4">
            <w:pPr>
              <w:autoSpaceDE w:val="0"/>
              <w:autoSpaceDN w:val="0"/>
              <w:adjustRightInd w:val="0"/>
              <w:snapToGrid w:val="0"/>
              <w:spacing w:line="336" w:lineRule="auto"/>
              <w:jc w:val="center"/>
              <w:rPr>
                <w:rFonts w:ascii="宋体" w:hAnsi="宋体"/>
              </w:rPr>
            </w:pPr>
            <w:r>
              <w:rPr>
                <w:rFonts w:ascii="宋体" w:hAnsi="宋体"/>
              </w:rPr>
              <w:t>0%</w:t>
            </w:r>
            <w:r>
              <w:rPr>
                <w:rFonts w:ascii="宋体" w:hAnsi="宋体" w:hint="eastAsia"/>
              </w:rPr>
              <w:t>-20%</w:t>
            </w:r>
          </w:p>
        </w:tc>
      </w:tr>
    </w:tbl>
    <w:p w:rsidR="009643E4" w:rsidRDefault="009643E4">
      <w:pPr>
        <w:spacing w:line="360" w:lineRule="exact"/>
        <w:ind w:rightChars="15" w:right="31" w:firstLineChars="200" w:firstLine="420"/>
        <w:jc w:val="left"/>
        <w:rPr>
          <w:rFonts w:ascii="宋体" w:hAnsi="宋体" w:cs="宋体"/>
          <w:szCs w:val="21"/>
        </w:rPr>
      </w:pPr>
    </w:p>
    <w:p w:rsidR="009643E4" w:rsidRDefault="00D26BB4">
      <w:pPr>
        <w:spacing w:line="360" w:lineRule="exact"/>
        <w:ind w:rightChars="15" w:right="31" w:firstLineChars="200" w:firstLine="420"/>
        <w:jc w:val="left"/>
        <w:rPr>
          <w:rFonts w:ascii="宋体" w:hAnsi="宋体" w:cs="宋体"/>
          <w:szCs w:val="21"/>
        </w:rPr>
      </w:pPr>
      <w:r>
        <w:rPr>
          <w:rFonts w:ascii="宋体" w:hAnsi="宋体" w:cs="宋体" w:hint="eastAsia"/>
          <w:szCs w:val="21"/>
        </w:rPr>
        <w:t>其中</w:t>
      </w:r>
      <w:r>
        <w:rPr>
          <w:rFonts w:ascii="宋体" w:hAnsi="宋体" w:cs="宋体" w:hint="eastAsia"/>
          <w:szCs w:val="21"/>
        </w:rPr>
        <w:t>,</w:t>
      </w:r>
      <w:r>
        <w:rPr>
          <w:rFonts w:ascii="宋体" w:hAnsi="宋体" w:cs="宋体" w:hint="eastAsia"/>
          <w:szCs w:val="21"/>
        </w:rPr>
        <w:t>各类资产配置比例是指其资产市值占理财产品资产总值的比例。</w:t>
      </w:r>
    </w:p>
    <w:p w:rsidR="009643E4" w:rsidRDefault="00D26BB4">
      <w:pPr>
        <w:spacing w:line="360" w:lineRule="exact"/>
        <w:ind w:rightChars="15" w:right="31" w:firstLineChars="200" w:firstLine="420"/>
        <w:jc w:val="left"/>
        <w:rPr>
          <w:rFonts w:ascii="宋体" w:hAnsi="宋体" w:cs="宋体"/>
          <w:szCs w:val="21"/>
        </w:rPr>
      </w:pPr>
      <w:r>
        <w:rPr>
          <w:rFonts w:ascii="宋体" w:hAnsi="宋体" w:cs="宋体"/>
          <w:szCs w:val="21"/>
        </w:rPr>
        <w:t>相关法律法规和监管部门对以上投资范围和配置比例有另行规定的，按照监管最新规定执行。如监管对投资比例无其他明确规定和要求的，由产品管理人与托管人协商确定。</w:t>
      </w:r>
    </w:p>
    <w:p w:rsidR="009643E4" w:rsidRDefault="00D26BB4">
      <w:pPr>
        <w:spacing w:line="360" w:lineRule="exact"/>
        <w:ind w:rightChars="15" w:right="31" w:firstLineChars="200" w:firstLine="420"/>
        <w:jc w:val="left"/>
        <w:rPr>
          <w:rFonts w:ascii="宋体" w:hAnsi="宋体" w:cs="宋体"/>
          <w:szCs w:val="21"/>
        </w:rPr>
      </w:pPr>
      <w:r>
        <w:rPr>
          <w:rFonts w:ascii="宋体" w:hAnsi="宋体" w:cs="宋体" w:hint="eastAsia"/>
          <w:szCs w:val="21"/>
        </w:rPr>
        <w:t>产品</w:t>
      </w:r>
      <w:r>
        <w:rPr>
          <w:rFonts w:ascii="宋体" w:hAnsi="宋体" w:cs="宋体"/>
          <w:szCs w:val="21"/>
        </w:rPr>
        <w:t>管理人应当自理财产品成立日起</w:t>
      </w:r>
      <w:r>
        <w:rPr>
          <w:rFonts w:ascii="宋体" w:hAnsi="宋体" w:cs="宋体" w:hint="eastAsia"/>
          <w:szCs w:val="21"/>
          <w:u w:val="single"/>
        </w:rPr>
        <w:t>六</w:t>
      </w:r>
      <w:r>
        <w:rPr>
          <w:rFonts w:ascii="宋体" w:hAnsi="宋体" w:cs="宋体"/>
          <w:szCs w:val="21"/>
        </w:rPr>
        <w:t>个月内使理财产品的投资组合比例符合约定。</w:t>
      </w:r>
    </w:p>
    <w:p w:rsidR="009643E4" w:rsidRDefault="00D26BB4">
      <w:pPr>
        <w:spacing w:line="360" w:lineRule="exact"/>
        <w:ind w:rightChars="15" w:right="31" w:firstLineChars="200" w:firstLine="422"/>
        <w:jc w:val="left"/>
        <w:rPr>
          <w:rFonts w:ascii="宋体" w:hAnsi="宋体" w:cs="宋体"/>
          <w:b/>
          <w:bCs/>
          <w:szCs w:val="21"/>
        </w:rPr>
      </w:pPr>
      <w:r>
        <w:rPr>
          <w:rFonts w:ascii="宋体" w:hAnsi="宋体" w:cs="宋体" w:hint="eastAsia"/>
          <w:b/>
          <w:bCs/>
          <w:szCs w:val="21"/>
        </w:rPr>
        <w:t>4</w:t>
      </w:r>
      <w:r>
        <w:rPr>
          <w:rFonts w:ascii="宋体" w:hAnsi="宋体" w:cs="宋体" w:hint="eastAsia"/>
          <w:b/>
          <w:szCs w:val="21"/>
        </w:rPr>
        <w:t>.</w:t>
      </w:r>
      <w:r>
        <w:rPr>
          <w:rFonts w:ascii="宋体" w:hAnsi="宋体" w:cs="宋体" w:hint="eastAsia"/>
          <w:b/>
          <w:bCs/>
          <w:szCs w:val="21"/>
        </w:rPr>
        <w:t>投资限制</w:t>
      </w:r>
    </w:p>
    <w:p w:rsidR="009643E4" w:rsidRDefault="00D26BB4">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）对本产品的集中度要求如下：</w:t>
      </w:r>
    </w:p>
    <w:p w:rsidR="009643E4" w:rsidRDefault="00D26BB4">
      <w:pPr>
        <w:spacing w:line="360" w:lineRule="exact"/>
        <w:ind w:rightChars="15" w:right="31"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w:t>
      </w:r>
      <w:r>
        <w:rPr>
          <w:rFonts w:ascii="宋体" w:hAnsi="宋体" w:cs="宋体" w:hint="eastAsia"/>
          <w:bCs/>
          <w:szCs w:val="21"/>
        </w:rPr>
        <w:t>本理财产品投资于单只证券或单只公募证券投资基金的市值不超过本产品净资产的</w:t>
      </w:r>
      <w:r>
        <w:rPr>
          <w:rFonts w:ascii="宋体" w:hAnsi="宋体" w:cs="宋体" w:hint="eastAsia"/>
          <w:bCs/>
          <w:szCs w:val="21"/>
        </w:rPr>
        <w:t>10%</w:t>
      </w:r>
      <w:r>
        <w:rPr>
          <w:rFonts w:ascii="宋体" w:hAnsi="宋体" w:cs="宋体" w:hint="eastAsia"/>
          <w:bCs/>
          <w:szCs w:val="21"/>
        </w:rPr>
        <w:t>。</w:t>
      </w:r>
    </w:p>
    <w:p w:rsidR="009643E4" w:rsidRDefault="00D26BB4">
      <w:pPr>
        <w:spacing w:line="360" w:lineRule="exact"/>
        <w:ind w:rightChars="15" w:right="31"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w:t>
      </w:r>
      <w:r>
        <w:rPr>
          <w:rFonts w:ascii="宋体" w:hAnsi="宋体" w:cs="宋体" w:hint="eastAsia"/>
          <w:bCs/>
          <w:szCs w:val="21"/>
        </w:rPr>
        <w:t>管理人发行的全部公募理财产品投资单只证券或者单只证券投资基金的市值不得超过该证券市值或者证券投资基金市值的</w:t>
      </w:r>
      <w:r>
        <w:rPr>
          <w:rFonts w:ascii="宋体" w:hAnsi="宋体" w:cs="宋体" w:hint="eastAsia"/>
          <w:bCs/>
          <w:szCs w:val="21"/>
        </w:rPr>
        <w:t>30%</w:t>
      </w:r>
      <w:r>
        <w:rPr>
          <w:rFonts w:ascii="宋体" w:hAnsi="宋体" w:cs="宋体" w:hint="eastAsia"/>
          <w:bCs/>
          <w:szCs w:val="21"/>
        </w:rPr>
        <w:t>。其中，管理人全部开放式公募理财产品投资单一上市公司发行的股票不得超过该上市公司可流通股票的</w:t>
      </w:r>
      <w:r>
        <w:rPr>
          <w:rFonts w:ascii="宋体" w:hAnsi="宋体" w:cs="宋体" w:hint="eastAsia"/>
          <w:bCs/>
          <w:szCs w:val="21"/>
        </w:rPr>
        <w:t>15%</w:t>
      </w:r>
      <w:r>
        <w:rPr>
          <w:rFonts w:ascii="宋体" w:hAnsi="宋体" w:cs="宋体" w:hint="eastAsia"/>
          <w:bCs/>
          <w:szCs w:val="21"/>
        </w:rPr>
        <w:t>；</w:t>
      </w:r>
    </w:p>
    <w:p w:rsidR="009643E4" w:rsidRDefault="00D26BB4">
      <w:pPr>
        <w:spacing w:line="360" w:lineRule="exact"/>
        <w:ind w:rightChars="15" w:right="31"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w:t>
      </w:r>
      <w:r>
        <w:rPr>
          <w:rFonts w:ascii="宋体" w:hAnsi="宋体" w:cs="宋体" w:hint="eastAsia"/>
          <w:bCs/>
          <w:szCs w:val="21"/>
        </w:rPr>
        <w:t>管理人发行的全部理财产品投资单一上市公司发行的股票不得超过该上市公司可流通股票的</w:t>
      </w:r>
      <w:r>
        <w:rPr>
          <w:rFonts w:ascii="宋体" w:hAnsi="宋体" w:cs="宋体" w:hint="eastAsia"/>
          <w:bCs/>
          <w:szCs w:val="21"/>
        </w:rPr>
        <w:t>30</w:t>
      </w:r>
      <w:r>
        <w:rPr>
          <w:rFonts w:ascii="宋体" w:hAnsi="宋体" w:cs="宋体" w:hint="eastAsia"/>
          <w:bCs/>
          <w:szCs w:val="21"/>
        </w:rPr>
        <w:t>%</w:t>
      </w:r>
      <w:r>
        <w:rPr>
          <w:rFonts w:ascii="宋体" w:hAnsi="宋体" w:cs="宋体" w:hint="eastAsia"/>
          <w:bCs/>
          <w:szCs w:val="21"/>
        </w:rPr>
        <w:t>；</w:t>
      </w:r>
    </w:p>
    <w:p w:rsidR="009643E4" w:rsidRDefault="00D26BB4">
      <w:pPr>
        <w:spacing w:line="360" w:lineRule="exact"/>
        <w:ind w:rightChars="15" w:right="31" w:firstLineChars="200" w:firstLine="420"/>
        <w:rPr>
          <w:rFonts w:ascii="宋体" w:hAnsi="宋体" w:cs="宋体"/>
          <w:bCs/>
          <w:szCs w:val="21"/>
        </w:rPr>
      </w:pPr>
      <w:r>
        <w:rPr>
          <w:rFonts w:ascii="宋体" w:hAnsi="宋体" w:cs="宋体" w:hint="eastAsia"/>
          <w:bCs/>
          <w:szCs w:val="21"/>
        </w:rPr>
        <w:t>非因管理人主观因素致使不符合前述比例限制的，管理人将在流动性受限资产可出售、可转让或者恢复交易的</w:t>
      </w:r>
      <w:r>
        <w:rPr>
          <w:rFonts w:ascii="宋体" w:hAnsi="宋体" w:cs="宋体" w:hint="eastAsia"/>
          <w:bCs/>
          <w:szCs w:val="21"/>
        </w:rPr>
        <w:t>10</w:t>
      </w:r>
      <w:r>
        <w:rPr>
          <w:rFonts w:ascii="宋体" w:hAnsi="宋体" w:cs="宋体" w:hint="eastAsia"/>
          <w:bCs/>
          <w:szCs w:val="21"/>
        </w:rPr>
        <w:t>个交易日内调整至符合相关要求。</w:t>
      </w:r>
    </w:p>
    <w:p w:rsidR="009643E4" w:rsidRDefault="00D26BB4">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）本理财产品所投资</w:t>
      </w:r>
      <w:proofErr w:type="gramStart"/>
      <w:r>
        <w:rPr>
          <w:rFonts w:ascii="宋体" w:hAnsi="宋体" w:cs="宋体" w:hint="eastAsia"/>
          <w:bCs/>
          <w:szCs w:val="21"/>
        </w:rPr>
        <w:t>的资管产品</w:t>
      </w:r>
      <w:proofErr w:type="gramEnd"/>
      <w:r>
        <w:rPr>
          <w:rFonts w:ascii="宋体" w:hAnsi="宋体" w:cs="宋体" w:hint="eastAsia"/>
          <w:bCs/>
          <w:szCs w:val="21"/>
        </w:rPr>
        <w:t>不得再投资公募证券投资基金以外</w:t>
      </w:r>
      <w:proofErr w:type="gramStart"/>
      <w:r>
        <w:rPr>
          <w:rFonts w:ascii="宋体" w:hAnsi="宋体" w:cs="宋体" w:hint="eastAsia"/>
          <w:bCs/>
          <w:szCs w:val="21"/>
        </w:rPr>
        <w:t>的资管产品</w:t>
      </w:r>
      <w:proofErr w:type="gramEnd"/>
      <w:r>
        <w:rPr>
          <w:rFonts w:ascii="宋体" w:hAnsi="宋体" w:cs="宋体" w:hint="eastAsia"/>
          <w:bCs/>
          <w:szCs w:val="21"/>
        </w:rPr>
        <w:t>。</w:t>
      </w:r>
    </w:p>
    <w:p w:rsidR="009643E4" w:rsidRDefault="00D26BB4">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）本理财产品总资产</w:t>
      </w:r>
      <w:r>
        <w:rPr>
          <w:rFonts w:ascii="宋体" w:hAnsi="宋体" w:cs="宋体" w:hint="eastAsia"/>
          <w:bCs/>
          <w:szCs w:val="21"/>
        </w:rPr>
        <w:t>/</w:t>
      </w:r>
      <w:r>
        <w:rPr>
          <w:rFonts w:ascii="宋体" w:hAnsi="宋体" w:cs="宋体" w:hint="eastAsia"/>
          <w:bCs/>
          <w:szCs w:val="21"/>
        </w:rPr>
        <w:t>理财产品净资产不超过</w:t>
      </w:r>
      <w:r>
        <w:rPr>
          <w:rFonts w:ascii="宋体" w:hAnsi="宋体" w:cs="宋体" w:hint="eastAsia"/>
          <w:bCs/>
          <w:szCs w:val="21"/>
        </w:rPr>
        <w:t>200%</w:t>
      </w:r>
      <w:r>
        <w:rPr>
          <w:rFonts w:ascii="宋体" w:hAnsi="宋体" w:cs="宋体" w:hint="eastAsia"/>
          <w:bCs/>
          <w:szCs w:val="21"/>
        </w:rPr>
        <w:t>。</w:t>
      </w:r>
    </w:p>
    <w:p w:rsidR="009643E4" w:rsidRDefault="00D26BB4">
      <w:pPr>
        <w:spacing w:line="360" w:lineRule="exact"/>
        <w:ind w:rightChars="15" w:right="31" w:firstLineChars="200" w:firstLine="420"/>
        <w:rPr>
          <w:rFonts w:ascii="宋体" w:hAnsi="宋体" w:cs="宋体"/>
          <w:bCs/>
          <w:szCs w:val="21"/>
        </w:rPr>
      </w:pPr>
      <w:r>
        <w:rPr>
          <w:rFonts w:ascii="宋体" w:hAnsi="宋体" w:cs="宋体" w:hint="eastAsia"/>
          <w:bCs/>
          <w:szCs w:val="21"/>
        </w:rPr>
        <w:t>以上限制，如监管有最新规定的，可参照监管规定调整。</w:t>
      </w:r>
    </w:p>
    <w:p w:rsidR="009643E4" w:rsidRDefault="00D26BB4">
      <w:pPr>
        <w:spacing w:line="360" w:lineRule="exact"/>
        <w:ind w:rightChars="15" w:right="31" w:firstLineChars="200" w:firstLine="422"/>
        <w:rPr>
          <w:rFonts w:ascii="宋体" w:hAnsi="宋体" w:cs="宋体"/>
          <w:b/>
          <w:szCs w:val="21"/>
        </w:rPr>
      </w:pPr>
      <w:r>
        <w:rPr>
          <w:rFonts w:ascii="宋体" w:hAnsi="宋体" w:cs="宋体" w:hint="eastAsia"/>
          <w:b/>
          <w:szCs w:val="21"/>
        </w:rPr>
        <w:t>三、理财产品的认购</w:t>
      </w:r>
    </w:p>
    <w:p w:rsidR="009643E4" w:rsidRDefault="00D26BB4">
      <w:pPr>
        <w:spacing w:line="360" w:lineRule="exact"/>
        <w:ind w:rightChars="15" w:right="31" w:firstLineChars="200" w:firstLine="422"/>
        <w:rPr>
          <w:rFonts w:ascii="宋体" w:hAnsi="宋体" w:cs="宋体"/>
          <w:b/>
          <w:szCs w:val="21"/>
        </w:rPr>
      </w:pPr>
      <w:r>
        <w:rPr>
          <w:rFonts w:ascii="宋体" w:hAnsi="宋体" w:cs="宋体"/>
          <w:b/>
          <w:szCs w:val="21"/>
        </w:rPr>
        <w:t>1</w:t>
      </w:r>
      <w:r>
        <w:rPr>
          <w:rFonts w:ascii="宋体" w:hAnsi="宋体" w:cs="宋体" w:hint="eastAsia"/>
          <w:b/>
          <w:szCs w:val="21"/>
        </w:rPr>
        <w:t>.</w:t>
      </w:r>
      <w:r>
        <w:rPr>
          <w:rFonts w:ascii="宋体" w:hAnsi="宋体" w:cs="宋体"/>
          <w:b/>
          <w:szCs w:val="21"/>
        </w:rPr>
        <w:t>认购方式及确认</w:t>
      </w:r>
    </w:p>
    <w:p w:rsidR="009643E4" w:rsidRDefault="00D26BB4">
      <w:pPr>
        <w:spacing w:line="360" w:lineRule="exact"/>
        <w:ind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）认购方式：本产品采用金额认购。</w:t>
      </w:r>
    </w:p>
    <w:p w:rsidR="009643E4" w:rsidRDefault="00D26BB4">
      <w:pPr>
        <w:spacing w:line="360" w:lineRule="exact"/>
        <w:ind w:rightChars="15" w:right="31" w:firstLineChars="200" w:firstLine="420"/>
        <w:rPr>
          <w:rFonts w:ascii="宋体" w:hAnsi="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湖南</w:t>
      </w:r>
      <w:r>
        <w:rPr>
          <w:rFonts w:ascii="宋体" w:hAnsi="宋体" w:cs="宋体" w:hint="eastAsia"/>
          <w:szCs w:val="21"/>
        </w:rPr>
        <w:t>银行</w:t>
      </w:r>
      <w:r>
        <w:rPr>
          <w:rFonts w:ascii="宋体" w:hAnsi="宋体" w:cs="宋体"/>
          <w:szCs w:val="21"/>
        </w:rPr>
        <w:t>受理认购申请并不表示对该申请成功的确认，而仅代表收到了认购申请，申请是否成功以</w:t>
      </w:r>
      <w:r>
        <w:rPr>
          <w:rFonts w:ascii="宋体" w:hAnsi="宋体" w:cs="宋体" w:hint="eastAsia"/>
          <w:szCs w:val="21"/>
        </w:rPr>
        <w:t>湖南</w:t>
      </w:r>
      <w:r>
        <w:rPr>
          <w:rFonts w:ascii="宋体" w:hAnsi="宋体" w:cs="宋体"/>
          <w:szCs w:val="21"/>
        </w:rPr>
        <w:t>银行的最终另行确认为准。</w:t>
      </w:r>
      <w:r>
        <w:rPr>
          <w:rFonts w:ascii="宋体" w:hAnsi="宋体" w:cs="宋体" w:hint="eastAsia"/>
          <w:szCs w:val="21"/>
        </w:rPr>
        <w:t>湖南</w:t>
      </w:r>
      <w:r>
        <w:rPr>
          <w:rFonts w:ascii="宋体" w:hAnsi="宋体" w:cs="宋体"/>
          <w:szCs w:val="21"/>
        </w:rPr>
        <w:t>银行在认购登记日为投资者登记认购份额，投资者应在本理财产品成立后及时查询最终成交确认情况及认购的份额</w:t>
      </w:r>
      <w:r>
        <w:rPr>
          <w:rFonts w:ascii="宋体" w:hAnsi="宋体" w:cs="宋体" w:hint="eastAsia"/>
          <w:szCs w:val="21"/>
        </w:rPr>
        <w:t>。</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在认购登记日前的认购期内允许投资者全部或者部分撤销已递交的认购申请，部分撤销只适用于投资者多次认购的情况，投资者必须对应每笔认购的全部金额逐笔撤销；投资者部分撤销后剩余的各笔认购份额总和不得低于</w:t>
      </w:r>
      <w:r>
        <w:rPr>
          <w:rFonts w:hint="eastAsia"/>
          <w:color w:val="auto"/>
          <w:kern w:val="2"/>
          <w:sz w:val="21"/>
          <w:szCs w:val="21"/>
        </w:rPr>
        <w:t>1</w:t>
      </w:r>
      <w:r>
        <w:rPr>
          <w:rFonts w:hint="eastAsia"/>
          <w:color w:val="auto"/>
          <w:kern w:val="2"/>
          <w:sz w:val="21"/>
          <w:szCs w:val="21"/>
        </w:rPr>
        <w:t>万份。</w:t>
      </w:r>
    </w:p>
    <w:p w:rsidR="009643E4" w:rsidRDefault="00D26BB4">
      <w:pPr>
        <w:spacing w:line="360" w:lineRule="exact"/>
        <w:ind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）投资者在认购期内的认购申请被受理后，认购款项应同时以人民币资金形式存入</w:t>
      </w:r>
      <w:r>
        <w:rPr>
          <w:rFonts w:ascii="宋体" w:hAnsi="宋体" w:cs="宋体" w:hint="eastAsia"/>
          <w:szCs w:val="21"/>
        </w:rPr>
        <w:t>湖南</w:t>
      </w:r>
      <w:r>
        <w:rPr>
          <w:rFonts w:ascii="宋体" w:hAnsi="宋体" w:cs="宋体" w:hint="eastAsia"/>
          <w:szCs w:val="21"/>
        </w:rPr>
        <w:t>银行，且</w:t>
      </w:r>
      <w:r>
        <w:rPr>
          <w:rFonts w:ascii="宋体" w:hAnsi="宋体" w:cs="宋体" w:hint="eastAsia"/>
          <w:szCs w:val="21"/>
        </w:rPr>
        <w:t>湖南</w:t>
      </w:r>
      <w:r>
        <w:rPr>
          <w:rFonts w:ascii="宋体" w:hAnsi="宋体" w:cs="宋体" w:hint="eastAsia"/>
          <w:szCs w:val="21"/>
        </w:rPr>
        <w:t>银行有权冻结该部分资金。该部分资金自认购之日（含）起，至认购登记日（不含）止，</w:t>
      </w:r>
      <w:r>
        <w:rPr>
          <w:rFonts w:ascii="宋体" w:hAnsi="宋体" w:cs="宋体" w:hint="eastAsia"/>
          <w:szCs w:val="21"/>
        </w:rPr>
        <w:t>以活期计付利息。</w:t>
      </w:r>
    </w:p>
    <w:p w:rsidR="009643E4" w:rsidRDefault="00D26BB4">
      <w:pPr>
        <w:pStyle w:val="Default"/>
        <w:spacing w:line="360" w:lineRule="exact"/>
        <w:ind w:firstLineChars="200" w:firstLine="482"/>
        <w:rPr>
          <w:b/>
          <w:color w:val="auto"/>
          <w:kern w:val="2"/>
          <w:sz w:val="21"/>
          <w:szCs w:val="21"/>
        </w:rPr>
      </w:pPr>
      <w:r>
        <w:rPr>
          <w:rFonts w:hint="eastAsia"/>
          <w:b/>
          <w:color w:val="auto"/>
          <w:szCs w:val="21"/>
        </w:rPr>
        <w:t>2</w:t>
      </w:r>
      <w:r>
        <w:rPr>
          <w:rFonts w:hint="eastAsia"/>
          <w:b/>
          <w:szCs w:val="21"/>
        </w:rPr>
        <w:t>.</w:t>
      </w:r>
      <w:r>
        <w:rPr>
          <w:b/>
          <w:color w:val="auto"/>
          <w:kern w:val="2"/>
          <w:sz w:val="21"/>
          <w:szCs w:val="21"/>
        </w:rPr>
        <w:t>认购份额</w:t>
      </w:r>
      <w:r>
        <w:rPr>
          <w:rFonts w:hint="eastAsia"/>
          <w:b/>
          <w:color w:val="auto"/>
          <w:kern w:val="2"/>
          <w:sz w:val="21"/>
          <w:szCs w:val="21"/>
        </w:rPr>
        <w:t>的</w:t>
      </w:r>
      <w:r>
        <w:rPr>
          <w:b/>
          <w:color w:val="auto"/>
          <w:kern w:val="2"/>
          <w:sz w:val="21"/>
          <w:szCs w:val="21"/>
        </w:rPr>
        <w:t>计算</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认购</w:t>
      </w:r>
      <w:r>
        <w:rPr>
          <w:color w:val="auto"/>
          <w:kern w:val="2"/>
          <w:sz w:val="21"/>
          <w:szCs w:val="21"/>
        </w:rPr>
        <w:t>份额</w:t>
      </w:r>
      <w:r>
        <w:rPr>
          <w:color w:val="auto"/>
          <w:kern w:val="2"/>
          <w:sz w:val="21"/>
          <w:szCs w:val="21"/>
        </w:rPr>
        <w:t>=</w:t>
      </w:r>
      <w:r>
        <w:rPr>
          <w:color w:val="auto"/>
          <w:kern w:val="2"/>
          <w:sz w:val="21"/>
          <w:szCs w:val="21"/>
        </w:rPr>
        <w:t>人民币认购金额</w:t>
      </w:r>
      <w:r>
        <w:rPr>
          <w:rFonts w:hint="eastAsia"/>
          <w:color w:val="auto"/>
          <w:szCs w:val="21"/>
        </w:rPr>
        <w:t>×</w:t>
      </w:r>
      <w:r>
        <w:rPr>
          <w:rFonts w:hint="eastAsia"/>
          <w:color w:val="auto"/>
          <w:kern w:val="2"/>
          <w:sz w:val="21"/>
          <w:szCs w:val="21"/>
        </w:rPr>
        <w:t>（</w:t>
      </w:r>
      <w:r>
        <w:rPr>
          <w:color w:val="auto"/>
          <w:kern w:val="2"/>
          <w:sz w:val="21"/>
          <w:szCs w:val="21"/>
        </w:rPr>
        <w:t>1-</w:t>
      </w:r>
      <w:r>
        <w:rPr>
          <w:color w:val="auto"/>
          <w:kern w:val="2"/>
          <w:sz w:val="21"/>
          <w:szCs w:val="21"/>
        </w:rPr>
        <w:t>认购</w:t>
      </w:r>
      <w:r>
        <w:rPr>
          <w:rFonts w:hint="eastAsia"/>
          <w:color w:val="auto"/>
          <w:kern w:val="2"/>
          <w:sz w:val="21"/>
          <w:szCs w:val="21"/>
        </w:rPr>
        <w:t>费率）</w:t>
      </w:r>
      <w:r>
        <w:rPr>
          <w:color w:val="auto"/>
          <w:kern w:val="2"/>
          <w:sz w:val="21"/>
          <w:szCs w:val="21"/>
        </w:rPr>
        <w:t>/</w:t>
      </w:r>
      <w:r>
        <w:rPr>
          <w:rFonts w:hint="eastAsia"/>
          <w:color w:val="auto"/>
          <w:kern w:val="2"/>
          <w:sz w:val="21"/>
          <w:szCs w:val="21"/>
        </w:rPr>
        <w:t>份额登记</w:t>
      </w:r>
      <w:proofErr w:type="gramStart"/>
      <w:r>
        <w:rPr>
          <w:rFonts w:hint="eastAsia"/>
          <w:color w:val="auto"/>
          <w:kern w:val="2"/>
          <w:sz w:val="21"/>
          <w:szCs w:val="21"/>
        </w:rPr>
        <w:t>日单位</w:t>
      </w:r>
      <w:proofErr w:type="gramEnd"/>
      <w:r>
        <w:rPr>
          <w:rFonts w:hint="eastAsia"/>
          <w:color w:val="auto"/>
          <w:kern w:val="2"/>
          <w:sz w:val="21"/>
          <w:szCs w:val="21"/>
        </w:rPr>
        <w:t>净值，份额登记</w:t>
      </w:r>
      <w:proofErr w:type="gramStart"/>
      <w:r>
        <w:rPr>
          <w:rFonts w:hint="eastAsia"/>
          <w:color w:val="auto"/>
          <w:kern w:val="2"/>
          <w:sz w:val="21"/>
          <w:szCs w:val="21"/>
        </w:rPr>
        <w:t>日单位</w:t>
      </w:r>
      <w:proofErr w:type="gramEnd"/>
      <w:r>
        <w:rPr>
          <w:rFonts w:hint="eastAsia"/>
          <w:color w:val="auto"/>
          <w:kern w:val="2"/>
          <w:sz w:val="21"/>
          <w:szCs w:val="21"/>
        </w:rPr>
        <w:t>净值为</w:t>
      </w:r>
      <w:r>
        <w:rPr>
          <w:rFonts w:hint="eastAsia"/>
          <w:color w:val="auto"/>
          <w:kern w:val="2"/>
          <w:sz w:val="21"/>
          <w:szCs w:val="21"/>
        </w:rPr>
        <w:t>1</w:t>
      </w:r>
      <w:r>
        <w:rPr>
          <w:rFonts w:hint="eastAsia"/>
          <w:color w:val="auto"/>
          <w:kern w:val="2"/>
          <w:sz w:val="21"/>
          <w:szCs w:val="21"/>
        </w:rPr>
        <w:t>，认购份额精确到小数点后</w:t>
      </w:r>
      <w:r>
        <w:rPr>
          <w:color w:val="auto"/>
          <w:kern w:val="2"/>
          <w:sz w:val="21"/>
          <w:szCs w:val="21"/>
        </w:rPr>
        <w:t>2</w:t>
      </w:r>
      <w:r>
        <w:rPr>
          <w:color w:val="auto"/>
          <w:kern w:val="2"/>
          <w:sz w:val="21"/>
          <w:szCs w:val="21"/>
        </w:rPr>
        <w:t>位，小数点</w:t>
      </w:r>
      <w:r>
        <w:rPr>
          <w:color w:val="auto"/>
          <w:kern w:val="2"/>
          <w:sz w:val="21"/>
          <w:szCs w:val="21"/>
        </w:rPr>
        <w:t>2</w:t>
      </w:r>
      <w:r>
        <w:rPr>
          <w:color w:val="auto"/>
          <w:kern w:val="2"/>
          <w:sz w:val="21"/>
          <w:szCs w:val="21"/>
        </w:rPr>
        <w:t>位以后</w:t>
      </w:r>
      <w:r>
        <w:rPr>
          <w:rFonts w:hint="eastAsia"/>
          <w:sz w:val="21"/>
          <w:szCs w:val="21"/>
        </w:rPr>
        <w:t>按</w:t>
      </w:r>
      <w:r>
        <w:rPr>
          <w:rFonts w:hint="eastAsia"/>
          <w:sz w:val="21"/>
          <w:szCs w:val="21"/>
          <w:u w:val="single"/>
        </w:rPr>
        <w:t>去尾</w:t>
      </w:r>
      <w:r>
        <w:rPr>
          <w:rFonts w:hint="eastAsia"/>
          <w:sz w:val="21"/>
          <w:szCs w:val="21"/>
        </w:rPr>
        <w:t>原则处理</w:t>
      </w:r>
      <w:r>
        <w:rPr>
          <w:rFonts w:hint="eastAsia"/>
          <w:color w:val="auto"/>
          <w:kern w:val="2"/>
          <w:sz w:val="21"/>
          <w:szCs w:val="21"/>
        </w:rPr>
        <w:t>。</w:t>
      </w:r>
    </w:p>
    <w:p w:rsidR="009643E4" w:rsidRDefault="00D26BB4">
      <w:pPr>
        <w:pStyle w:val="Default"/>
        <w:spacing w:line="360" w:lineRule="exact"/>
        <w:ind w:firstLineChars="200" w:firstLine="422"/>
        <w:rPr>
          <w:b/>
          <w:color w:val="auto"/>
          <w:kern w:val="2"/>
          <w:sz w:val="21"/>
          <w:szCs w:val="21"/>
        </w:rPr>
      </w:pPr>
      <w:r>
        <w:rPr>
          <w:rFonts w:hint="eastAsia"/>
          <w:b/>
          <w:color w:val="auto"/>
          <w:kern w:val="2"/>
          <w:sz w:val="21"/>
          <w:szCs w:val="21"/>
        </w:rPr>
        <w:t>四、理财产品估值</w:t>
      </w:r>
    </w:p>
    <w:p w:rsidR="009643E4" w:rsidRDefault="00D26BB4">
      <w:pPr>
        <w:pStyle w:val="Default"/>
        <w:spacing w:line="360" w:lineRule="exact"/>
        <w:ind w:firstLineChars="200" w:firstLine="422"/>
        <w:rPr>
          <w:b/>
          <w:color w:val="auto"/>
          <w:kern w:val="2"/>
          <w:sz w:val="21"/>
          <w:szCs w:val="21"/>
        </w:rPr>
      </w:pPr>
      <w:r>
        <w:rPr>
          <w:rFonts w:hint="eastAsia"/>
          <w:b/>
          <w:color w:val="auto"/>
          <w:kern w:val="2"/>
          <w:sz w:val="21"/>
          <w:szCs w:val="21"/>
        </w:rPr>
        <w:t>1</w:t>
      </w:r>
      <w:r>
        <w:rPr>
          <w:rFonts w:hint="eastAsia"/>
          <w:b/>
          <w:szCs w:val="21"/>
        </w:rPr>
        <w:t>.</w:t>
      </w:r>
      <w:r>
        <w:rPr>
          <w:rFonts w:hint="eastAsia"/>
          <w:b/>
          <w:color w:val="auto"/>
          <w:kern w:val="2"/>
          <w:sz w:val="21"/>
          <w:szCs w:val="21"/>
        </w:rPr>
        <w:t>估值方法</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估值主要原则</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以公允价值计量为原则。</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持有的银行定期存款或协议存款以本金列示，按协议或合同利率逐日确认利息收入。</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w:t>
      </w:r>
      <w:r>
        <w:rPr>
          <w:rFonts w:hint="eastAsia"/>
          <w:color w:val="auto"/>
          <w:kern w:val="2"/>
          <w:sz w:val="21"/>
          <w:szCs w:val="21"/>
        </w:rPr>
        <w:t>投资债券、资产支持证券等标准化债权类资产的估值方法</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采用公允价值计量的标准化债权类资产</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交易所上市交易或挂牌转让的不含权标准化债权类资产，选取估值日第三方估值机构提供的相应品种当日的估值净价进行估值；</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交易所上市交易或挂牌转让的含权标准化债权类资产，选取估值日第三方估值机构提供的相应品种当日的唯一估值净价或推荐估值净价进行估值；</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交易所上市交易的可转换债券以每日收盘价作为估值全价；交易所上市实行全价交易的债券（可转债除外），选取第三方估值机构提供的估值全价减去估值全价中所含的债券应收利息（税前）得到的净价进行估值；</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对在交易所发行的不含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w:t>
      </w:r>
      <w:r>
        <w:rPr>
          <w:rFonts w:hint="eastAsia"/>
          <w:color w:val="auto"/>
          <w:kern w:val="2"/>
          <w:sz w:val="21"/>
          <w:szCs w:val="21"/>
        </w:rPr>
        <w:t>品种当日的估值净价进行估值；在交易所发行的含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唯一估值净价或推荐估值净价进行估值。对在交易所市场发行未上市或未挂牌转让的债券，对存在活跃市场的情况下，应以活跃市场上未经调整的报价作为计量日的公允价值；对于交易量和交易频率不足以反映公允价值的情况下，可采用第三方估值机构提供的价格数据或其他估值技术确定公允价值。监管另有规定的，甲乙双方协商一致确定估值方法。</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对全国银行间市场上不含权的标准化债权类资产，按照第三方估值机构提供的相应品种当日的估值净</w:t>
      </w:r>
      <w:r>
        <w:rPr>
          <w:rFonts w:hint="eastAsia"/>
          <w:color w:val="auto"/>
          <w:kern w:val="2"/>
          <w:sz w:val="21"/>
          <w:szCs w:val="21"/>
        </w:rPr>
        <w:t>价估值。</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对银行间市场上含权的标准化债权类资产，按照第三方估值机构提供的相应品种当日的唯一估值净价或推荐估值净价估值。</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对于含投资人回售权的标准化债权类资产，回售登记期截止日（含当日）后未行使回售权的按照长待偿期所对应的价格进行估值。</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对银行间市场未上市，且第三方估值机构未提供估值价格的债券，在发行利率与二级市场利率不存在明显差异，未上市期间市场利率没有发生大的变动的情况下，按成本估值。</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同一债券同时在两个或两个以上市场交易的，按债券所处的市场的估值方法分别估值。</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采用摊</w:t>
      </w:r>
      <w:proofErr w:type="gramStart"/>
      <w:r>
        <w:rPr>
          <w:rFonts w:hint="eastAsia"/>
          <w:color w:val="auto"/>
          <w:kern w:val="2"/>
          <w:sz w:val="21"/>
          <w:szCs w:val="21"/>
        </w:rPr>
        <w:t>余成本</w:t>
      </w:r>
      <w:proofErr w:type="gramEnd"/>
      <w:r>
        <w:rPr>
          <w:rFonts w:hint="eastAsia"/>
          <w:color w:val="auto"/>
          <w:kern w:val="2"/>
          <w:sz w:val="21"/>
          <w:szCs w:val="21"/>
        </w:rPr>
        <w:t>法计量的标准化债权类资产</w:t>
      </w:r>
    </w:p>
    <w:p w:rsidR="009643E4" w:rsidRDefault="00D26BB4">
      <w:pPr>
        <w:pStyle w:val="Default"/>
        <w:spacing w:line="360" w:lineRule="exact"/>
        <w:rPr>
          <w:color w:val="auto"/>
          <w:kern w:val="2"/>
          <w:sz w:val="21"/>
          <w:szCs w:val="21"/>
        </w:rPr>
      </w:pPr>
      <w:r>
        <w:rPr>
          <w:rFonts w:hint="eastAsia"/>
          <w:color w:val="auto"/>
          <w:kern w:val="2"/>
          <w:sz w:val="21"/>
          <w:szCs w:val="21"/>
        </w:rPr>
        <w:t xml:space="preserve">    </w:t>
      </w:r>
      <w:r>
        <w:rPr>
          <w:rFonts w:hint="eastAsia"/>
          <w:color w:val="auto"/>
          <w:kern w:val="2"/>
          <w:sz w:val="21"/>
          <w:szCs w:val="21"/>
        </w:rPr>
        <w:t>以收取合同现金流为目的并持有到期，或不具备活跃交易市场、或者在活跃市场中没有报价，也不能采用估值技术可靠计量公允价值的金融资产，在符合监管规定的前提下，采用摊</w:t>
      </w:r>
      <w:proofErr w:type="gramStart"/>
      <w:r>
        <w:rPr>
          <w:rFonts w:hint="eastAsia"/>
          <w:color w:val="auto"/>
          <w:kern w:val="2"/>
          <w:sz w:val="21"/>
          <w:szCs w:val="21"/>
        </w:rPr>
        <w:t>余成本</w:t>
      </w:r>
      <w:proofErr w:type="gramEnd"/>
      <w:r>
        <w:rPr>
          <w:rFonts w:hint="eastAsia"/>
          <w:color w:val="auto"/>
          <w:kern w:val="2"/>
          <w:sz w:val="21"/>
          <w:szCs w:val="21"/>
        </w:rPr>
        <w:t>法。</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w:t>
      </w:r>
      <w:r>
        <w:rPr>
          <w:rFonts w:hint="eastAsia"/>
          <w:color w:val="auto"/>
          <w:kern w:val="2"/>
          <w:sz w:val="21"/>
          <w:szCs w:val="21"/>
        </w:rPr>
        <w:t>投资证券投资基金的估值方法</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对于交易所上市的</w:t>
      </w:r>
      <w:r>
        <w:rPr>
          <w:rFonts w:hint="eastAsia"/>
          <w:color w:val="auto"/>
          <w:kern w:val="2"/>
          <w:sz w:val="21"/>
          <w:szCs w:val="21"/>
        </w:rPr>
        <w:t>ETF</w:t>
      </w:r>
      <w:r>
        <w:rPr>
          <w:rFonts w:hint="eastAsia"/>
          <w:color w:val="auto"/>
          <w:kern w:val="2"/>
          <w:sz w:val="21"/>
          <w:szCs w:val="21"/>
        </w:rPr>
        <w:t>基金、定期开放式基金、封闭式基金，按其所在证券交易所的收盘价估值；</w:t>
      </w:r>
      <w:r>
        <w:rPr>
          <w:rFonts w:hint="eastAsia"/>
          <w:color w:val="auto"/>
          <w:kern w:val="2"/>
          <w:sz w:val="21"/>
          <w:szCs w:val="21"/>
        </w:rPr>
        <w:t xml:space="preserve"> </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对于交易所上市的开放式基金（</w:t>
      </w:r>
      <w:r>
        <w:rPr>
          <w:rFonts w:hint="eastAsia"/>
          <w:color w:val="auto"/>
          <w:kern w:val="2"/>
          <w:sz w:val="21"/>
          <w:szCs w:val="21"/>
        </w:rPr>
        <w:t>LOF</w:t>
      </w:r>
      <w:r>
        <w:rPr>
          <w:rFonts w:hint="eastAsia"/>
          <w:color w:val="auto"/>
          <w:kern w:val="2"/>
          <w:sz w:val="21"/>
          <w:szCs w:val="21"/>
        </w:rPr>
        <w:t>），按所投资基金的基金管理人披露的估值日份额净值进行估值。</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对于交易所上市交易型货币市场基金，如基金管理人披露份额净值，则按所投资基金的基金管理人披露的估值日份额净值进行估值</w:t>
      </w:r>
      <w:r>
        <w:rPr>
          <w:rFonts w:hint="eastAsia"/>
          <w:color w:val="auto"/>
          <w:kern w:val="2"/>
          <w:sz w:val="21"/>
          <w:szCs w:val="21"/>
        </w:rPr>
        <w:t>；如基金管理人披露万份（百份）收益，则按所投资基金前一估值日后至估值日期间（含节假日）的万份（百份）收益计提收益。</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对于未在交易所上市的场外基金，按估值日前一交易日的基金份额净值估值；</w:t>
      </w:r>
      <w:r>
        <w:rPr>
          <w:rFonts w:hint="eastAsia"/>
          <w:color w:val="auto"/>
          <w:kern w:val="2"/>
          <w:sz w:val="21"/>
          <w:szCs w:val="21"/>
        </w:rPr>
        <w:t xml:space="preserve"> </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对于未在交易所上市的货币市场基金，按基金管理公司披露的估值日前一交易日的每万份收益计提收益；</w:t>
      </w:r>
    </w:p>
    <w:p w:rsidR="009643E4" w:rsidRDefault="00D26BB4">
      <w:pPr>
        <w:pStyle w:val="Default"/>
        <w:spacing w:line="360" w:lineRule="exact"/>
        <w:ind w:firstLineChars="200" w:firstLine="420"/>
        <w:rPr>
          <w:color w:val="auto"/>
          <w:kern w:val="2"/>
          <w:sz w:val="21"/>
          <w:szCs w:val="21"/>
        </w:rPr>
      </w:pPr>
      <w:proofErr w:type="gramStart"/>
      <w:r>
        <w:rPr>
          <w:rFonts w:hint="eastAsia"/>
          <w:color w:val="auto"/>
          <w:kern w:val="2"/>
          <w:sz w:val="21"/>
          <w:szCs w:val="21"/>
        </w:rPr>
        <w:t>如遇所投资</w:t>
      </w:r>
      <w:proofErr w:type="gramEnd"/>
      <w:r>
        <w:rPr>
          <w:rFonts w:hint="eastAsia"/>
          <w:color w:val="auto"/>
          <w:kern w:val="2"/>
          <w:sz w:val="21"/>
          <w:szCs w:val="21"/>
        </w:rPr>
        <w:t>基金不公布基金份额净值、进行折算或拆分、估值日无交易等特殊情况，应根据以下原则进行估值：</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以所投资基金的基金份额净值估值的，若所投资基金与理财产品估值频率一致但未公布估值日基金份额净值，以其最近公布的基金份额净值为基础估</w:t>
      </w:r>
      <w:r>
        <w:rPr>
          <w:rFonts w:hint="eastAsia"/>
          <w:color w:val="auto"/>
          <w:kern w:val="2"/>
          <w:sz w:val="21"/>
          <w:szCs w:val="21"/>
        </w:rPr>
        <w:t>值。</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如果所投资基金前一估值日至估值日期间发生分红除权、折算或拆分，应根据基金份额净值或收盘价、单位基金份额分红金额、折算拆分比例、持仓份额等因素合理确定公允价值。</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5</w:t>
      </w:r>
      <w:r>
        <w:rPr>
          <w:rFonts w:hint="eastAsia"/>
          <w:color w:val="auto"/>
          <w:kern w:val="2"/>
          <w:sz w:val="21"/>
          <w:szCs w:val="21"/>
        </w:rPr>
        <w:t>）</w:t>
      </w:r>
      <w:r>
        <w:rPr>
          <w:rFonts w:hint="eastAsia"/>
          <w:color w:val="auto"/>
          <w:kern w:val="2"/>
          <w:sz w:val="21"/>
          <w:szCs w:val="21"/>
        </w:rPr>
        <w:t>投资资产管理产品、非标债权或其它特殊目的载体等的估值</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资产管理产品、非标债权或其它</w:t>
      </w:r>
      <w:r>
        <w:rPr>
          <w:rFonts w:hint="eastAsia"/>
          <w:color w:val="auto"/>
          <w:kern w:val="2"/>
          <w:sz w:val="21"/>
          <w:szCs w:val="21"/>
        </w:rPr>
        <w:t>特殊目的载体等披露份额净值的，按最近一日的份额净值估值。</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资产管理产品、非标债权或其它特殊目的载体等披露收益率的，按成本估值，按收益率计提收益。</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6</w:t>
      </w:r>
      <w:r>
        <w:rPr>
          <w:rFonts w:hint="eastAsia"/>
          <w:color w:val="auto"/>
          <w:kern w:val="2"/>
          <w:sz w:val="21"/>
          <w:szCs w:val="21"/>
        </w:rPr>
        <w:t>）</w:t>
      </w:r>
      <w:r>
        <w:rPr>
          <w:rFonts w:hint="eastAsia"/>
          <w:color w:val="auto"/>
          <w:kern w:val="2"/>
          <w:sz w:val="21"/>
          <w:szCs w:val="21"/>
        </w:rPr>
        <w:t>债券回购以成本列示，按协议利率在实际持有期间内逐日计提利息。</w:t>
      </w:r>
      <w:r>
        <w:rPr>
          <w:rFonts w:hint="eastAsia"/>
          <w:color w:val="auto"/>
          <w:kern w:val="2"/>
          <w:sz w:val="21"/>
          <w:szCs w:val="21"/>
        </w:rPr>
        <w:t xml:space="preserve"> </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在任何情况下，如采用以上规定的方法对资产进行估值，均应被认为采用了适当的估值方法。但是，如果理财产品或托管人认为以上规定的方法对理财产品资产进行估值不能客户反映其公允价值的，可协商一致后，变更其估值方式，并从协商一致日起执行。</w:t>
      </w:r>
      <w:r>
        <w:rPr>
          <w:rFonts w:hint="eastAsia"/>
          <w:color w:val="auto"/>
          <w:kern w:val="2"/>
          <w:sz w:val="21"/>
          <w:szCs w:val="21"/>
        </w:rPr>
        <w:t xml:space="preserve"> </w:t>
      </w:r>
    </w:p>
    <w:p w:rsidR="009643E4" w:rsidRDefault="00D26BB4">
      <w:pPr>
        <w:pStyle w:val="Default"/>
        <w:spacing w:line="360" w:lineRule="exact"/>
        <w:ind w:firstLineChars="200" w:firstLine="420"/>
        <w:rPr>
          <w:b/>
          <w:color w:val="auto"/>
          <w:kern w:val="2"/>
          <w:sz w:val="21"/>
          <w:szCs w:val="21"/>
        </w:rPr>
      </w:pPr>
      <w:r>
        <w:rPr>
          <w:rFonts w:hint="eastAsia"/>
          <w:color w:val="auto"/>
          <w:kern w:val="2"/>
          <w:sz w:val="21"/>
          <w:szCs w:val="21"/>
        </w:rPr>
        <w:t>按以上估值方法进行估值时，所造成的误差不作为理财产品估值错误处理。</w:t>
      </w:r>
    </w:p>
    <w:p w:rsidR="009643E4" w:rsidRDefault="00D26BB4">
      <w:pPr>
        <w:pStyle w:val="Default"/>
        <w:spacing w:line="360" w:lineRule="exact"/>
        <w:ind w:firstLineChars="200" w:firstLine="422"/>
        <w:rPr>
          <w:b/>
          <w:color w:val="auto"/>
          <w:kern w:val="2"/>
          <w:sz w:val="21"/>
          <w:szCs w:val="21"/>
        </w:rPr>
      </w:pPr>
      <w:r>
        <w:rPr>
          <w:rFonts w:hint="eastAsia"/>
          <w:b/>
          <w:color w:val="auto"/>
          <w:kern w:val="2"/>
          <w:sz w:val="21"/>
          <w:szCs w:val="21"/>
        </w:rPr>
        <w:t xml:space="preserve"> 2</w:t>
      </w:r>
      <w:r>
        <w:rPr>
          <w:rFonts w:hint="eastAsia"/>
          <w:b/>
          <w:szCs w:val="21"/>
        </w:rPr>
        <w:t>.</w:t>
      </w:r>
      <w:r>
        <w:rPr>
          <w:rFonts w:hint="eastAsia"/>
          <w:b/>
          <w:color w:val="auto"/>
          <w:kern w:val="2"/>
          <w:sz w:val="21"/>
          <w:szCs w:val="21"/>
        </w:rPr>
        <w:t>暂停估值的情形</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w:t>
      </w:r>
      <w:r>
        <w:rPr>
          <w:color w:val="auto"/>
          <w:kern w:val="2"/>
          <w:sz w:val="21"/>
          <w:szCs w:val="21"/>
        </w:rPr>
        <w:t>）理财产品投资所涉及的交易市场遇法定节假日或因其他原因暂停营业时暂停估值，该种情况理财产品估值日期顺延到下一交易日；因不可抗力或其他情形致使理财产品管理人、托管人无法准确评估资产价值时；</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）理财产品投资的信托计划</w:t>
      </w:r>
      <w:r>
        <w:rPr>
          <w:rFonts w:hint="eastAsia"/>
          <w:color w:val="auto"/>
          <w:kern w:val="2"/>
          <w:sz w:val="21"/>
          <w:szCs w:val="21"/>
        </w:rPr>
        <w:t>/</w:t>
      </w:r>
      <w:proofErr w:type="gramStart"/>
      <w:r>
        <w:rPr>
          <w:rFonts w:hint="eastAsia"/>
          <w:color w:val="auto"/>
          <w:kern w:val="2"/>
          <w:sz w:val="21"/>
          <w:szCs w:val="21"/>
        </w:rPr>
        <w:t>资管计划</w:t>
      </w:r>
      <w:proofErr w:type="gramEnd"/>
      <w:r>
        <w:rPr>
          <w:rFonts w:hint="eastAsia"/>
          <w:color w:val="auto"/>
          <w:kern w:val="2"/>
          <w:sz w:val="21"/>
          <w:szCs w:val="21"/>
        </w:rPr>
        <w:t>/</w:t>
      </w:r>
      <w:r>
        <w:rPr>
          <w:rFonts w:hint="eastAsia"/>
          <w:color w:val="auto"/>
          <w:kern w:val="2"/>
          <w:sz w:val="21"/>
          <w:szCs w:val="21"/>
        </w:rPr>
        <w:t>基金合同约定暂停估值或无法估值的情形发生，导致理财产品无法估值的；</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）占理财产品相</w:t>
      </w:r>
      <w:proofErr w:type="gramStart"/>
      <w:r>
        <w:rPr>
          <w:rFonts w:hint="eastAsia"/>
          <w:color w:val="auto"/>
          <w:kern w:val="2"/>
          <w:sz w:val="21"/>
          <w:szCs w:val="21"/>
        </w:rPr>
        <w:t>当比例</w:t>
      </w:r>
      <w:proofErr w:type="gramEnd"/>
      <w:r>
        <w:rPr>
          <w:rFonts w:hint="eastAsia"/>
          <w:color w:val="auto"/>
          <w:kern w:val="2"/>
          <w:sz w:val="21"/>
          <w:szCs w:val="21"/>
        </w:rPr>
        <w:t>的投资品种的估值出现重大转变，而管理人为保障投资者的利益，已决定延迟估值；</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）当前一估值日理财</w:t>
      </w:r>
      <w:r>
        <w:rPr>
          <w:rFonts w:hint="eastAsia"/>
          <w:color w:val="auto"/>
          <w:kern w:val="2"/>
          <w:sz w:val="21"/>
          <w:szCs w:val="21"/>
        </w:rPr>
        <w:t>产品资产净值</w:t>
      </w:r>
      <w:r>
        <w:rPr>
          <w:rFonts w:hint="eastAsia"/>
          <w:color w:val="auto"/>
          <w:kern w:val="2"/>
          <w:sz w:val="21"/>
          <w:szCs w:val="21"/>
        </w:rPr>
        <w:t>50%</w:t>
      </w:r>
      <w:r>
        <w:rPr>
          <w:rFonts w:hint="eastAsia"/>
          <w:color w:val="auto"/>
          <w:kern w:val="2"/>
          <w:sz w:val="21"/>
          <w:szCs w:val="21"/>
        </w:rPr>
        <w:t>以上的资产不具备活跃交易市场或者在活跃市场中无报价，且不能采用估值技术可靠计量公允价值时；</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5</w:t>
      </w:r>
      <w:r>
        <w:rPr>
          <w:color w:val="auto"/>
          <w:kern w:val="2"/>
          <w:sz w:val="21"/>
          <w:szCs w:val="21"/>
        </w:rPr>
        <w:t>）</w:t>
      </w:r>
      <w:r>
        <w:rPr>
          <w:rFonts w:hint="eastAsia"/>
          <w:color w:val="auto"/>
          <w:kern w:val="2"/>
          <w:sz w:val="21"/>
          <w:szCs w:val="21"/>
        </w:rPr>
        <w:t>产品管理人</w:t>
      </w:r>
      <w:r>
        <w:rPr>
          <w:color w:val="auto"/>
          <w:kern w:val="2"/>
          <w:sz w:val="21"/>
          <w:szCs w:val="21"/>
        </w:rPr>
        <w:t>、</w:t>
      </w:r>
      <w:r>
        <w:rPr>
          <w:rFonts w:hint="eastAsia"/>
          <w:color w:val="auto"/>
          <w:kern w:val="2"/>
          <w:sz w:val="21"/>
          <w:szCs w:val="21"/>
        </w:rPr>
        <w:t>托管人</w:t>
      </w:r>
      <w:r>
        <w:rPr>
          <w:color w:val="auto"/>
          <w:kern w:val="2"/>
          <w:sz w:val="21"/>
          <w:szCs w:val="21"/>
        </w:rPr>
        <w:t>有合理理由认为将影响本理财产品估值的其他情形发生。</w:t>
      </w:r>
    </w:p>
    <w:p w:rsidR="009643E4" w:rsidRDefault="00D26BB4">
      <w:pPr>
        <w:pStyle w:val="Default"/>
        <w:spacing w:line="360" w:lineRule="exact"/>
        <w:ind w:firstLineChars="200" w:firstLine="422"/>
        <w:rPr>
          <w:b/>
          <w:color w:val="auto"/>
          <w:kern w:val="2"/>
          <w:sz w:val="21"/>
          <w:szCs w:val="21"/>
        </w:rPr>
      </w:pPr>
      <w:r>
        <w:rPr>
          <w:rFonts w:hint="eastAsia"/>
          <w:b/>
          <w:color w:val="auto"/>
          <w:kern w:val="2"/>
          <w:sz w:val="21"/>
          <w:szCs w:val="21"/>
        </w:rPr>
        <w:t>3</w:t>
      </w:r>
      <w:r>
        <w:rPr>
          <w:rFonts w:hint="eastAsia"/>
          <w:b/>
          <w:szCs w:val="21"/>
        </w:rPr>
        <w:t>.</w:t>
      </w:r>
      <w:r>
        <w:rPr>
          <w:rFonts w:hint="eastAsia"/>
          <w:b/>
          <w:color w:val="auto"/>
          <w:kern w:val="2"/>
          <w:sz w:val="21"/>
          <w:szCs w:val="21"/>
        </w:rPr>
        <w:t>估值错误的处理</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理财产品管理人和托管人将采取必要、适当、合理的措施确保理财产品估值的准确性、及时性。当理财产品单位净值小数点后</w:t>
      </w:r>
      <w:r>
        <w:rPr>
          <w:color w:val="auto"/>
          <w:kern w:val="2"/>
          <w:sz w:val="21"/>
          <w:szCs w:val="21"/>
        </w:rPr>
        <w:t>4</w:t>
      </w:r>
      <w:r>
        <w:rPr>
          <w:color w:val="auto"/>
          <w:kern w:val="2"/>
          <w:sz w:val="21"/>
          <w:szCs w:val="21"/>
        </w:rPr>
        <w:t>位以内</w:t>
      </w:r>
      <w:r>
        <w:rPr>
          <w:color w:val="auto"/>
          <w:kern w:val="2"/>
          <w:sz w:val="21"/>
          <w:szCs w:val="21"/>
        </w:rPr>
        <w:t>(</w:t>
      </w:r>
      <w:r>
        <w:rPr>
          <w:color w:val="auto"/>
          <w:kern w:val="2"/>
          <w:sz w:val="21"/>
          <w:szCs w:val="21"/>
        </w:rPr>
        <w:t>含</w:t>
      </w:r>
      <w:r>
        <w:rPr>
          <w:color w:val="auto"/>
          <w:kern w:val="2"/>
          <w:sz w:val="21"/>
          <w:szCs w:val="21"/>
        </w:rPr>
        <w:t>4</w:t>
      </w:r>
      <w:r>
        <w:rPr>
          <w:color w:val="auto"/>
          <w:kern w:val="2"/>
          <w:sz w:val="21"/>
          <w:szCs w:val="21"/>
        </w:rPr>
        <w:t>位</w:t>
      </w:r>
      <w:r>
        <w:rPr>
          <w:color w:val="auto"/>
          <w:kern w:val="2"/>
          <w:sz w:val="21"/>
          <w:szCs w:val="21"/>
        </w:rPr>
        <w:t>)</w:t>
      </w:r>
      <w:r>
        <w:rPr>
          <w:color w:val="auto"/>
          <w:kern w:val="2"/>
          <w:sz w:val="21"/>
          <w:szCs w:val="21"/>
        </w:rPr>
        <w:t>发生估值错误时，视为理财产品单位净值错误。</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估值错误处理原则：</w:t>
      </w:r>
    </w:p>
    <w:p w:rsidR="009643E4" w:rsidRDefault="00D26BB4">
      <w:pPr>
        <w:pStyle w:val="Default"/>
        <w:spacing w:line="360" w:lineRule="exact"/>
        <w:ind w:firstLineChars="200" w:firstLine="420"/>
        <w:rPr>
          <w:color w:val="auto"/>
          <w:kern w:val="2"/>
          <w:sz w:val="21"/>
          <w:szCs w:val="21"/>
        </w:rPr>
      </w:pPr>
      <w:r>
        <w:rPr>
          <w:color w:val="auto"/>
          <w:kern w:val="2"/>
          <w:sz w:val="21"/>
          <w:szCs w:val="21"/>
        </w:rPr>
        <w:t>A</w:t>
      </w:r>
      <w:r>
        <w:rPr>
          <w:color w:val="auto"/>
          <w:kern w:val="2"/>
          <w:sz w:val="21"/>
          <w:szCs w:val="21"/>
        </w:rPr>
        <w:t>、由于</w:t>
      </w:r>
      <w:r>
        <w:rPr>
          <w:rFonts w:hint="eastAsia"/>
          <w:color w:val="auto"/>
          <w:kern w:val="2"/>
          <w:sz w:val="21"/>
          <w:szCs w:val="21"/>
        </w:rPr>
        <w:t>产品管理人或托管人</w:t>
      </w:r>
      <w:r>
        <w:rPr>
          <w:color w:val="auto"/>
          <w:kern w:val="2"/>
          <w:sz w:val="21"/>
          <w:szCs w:val="21"/>
        </w:rPr>
        <w:t>自身的过错造成估值错误，导致投资者遭受损失的，由估值错误责任方按照过错程度各自对该估值错误导致投资者遭受的直接损失给予赔偿，承担赔偿责任。</w:t>
      </w:r>
    </w:p>
    <w:p w:rsidR="009643E4" w:rsidRDefault="00D26BB4">
      <w:pPr>
        <w:pStyle w:val="Default"/>
        <w:spacing w:line="360" w:lineRule="exact"/>
        <w:ind w:firstLineChars="200" w:firstLine="420"/>
        <w:rPr>
          <w:color w:val="auto"/>
          <w:kern w:val="2"/>
          <w:sz w:val="21"/>
          <w:szCs w:val="21"/>
        </w:rPr>
      </w:pPr>
      <w:r>
        <w:rPr>
          <w:color w:val="auto"/>
          <w:kern w:val="2"/>
          <w:sz w:val="21"/>
          <w:szCs w:val="21"/>
        </w:rPr>
        <w:t>B</w:t>
      </w:r>
      <w:r>
        <w:rPr>
          <w:color w:val="auto"/>
          <w:kern w:val="2"/>
          <w:sz w:val="21"/>
          <w:szCs w:val="21"/>
        </w:rPr>
        <w:t>、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9643E4" w:rsidRDefault="00D26BB4">
      <w:pPr>
        <w:pStyle w:val="Default"/>
        <w:spacing w:line="360" w:lineRule="exact"/>
        <w:ind w:firstLineChars="200" w:firstLine="420"/>
        <w:rPr>
          <w:color w:val="auto"/>
          <w:kern w:val="2"/>
          <w:sz w:val="21"/>
          <w:szCs w:val="21"/>
        </w:rPr>
      </w:pPr>
      <w:r>
        <w:rPr>
          <w:color w:val="auto"/>
          <w:kern w:val="2"/>
          <w:sz w:val="21"/>
          <w:szCs w:val="21"/>
        </w:rPr>
        <w:t>C</w:t>
      </w:r>
      <w:r>
        <w:rPr>
          <w:color w:val="auto"/>
          <w:kern w:val="2"/>
          <w:sz w:val="21"/>
          <w:szCs w:val="21"/>
        </w:rPr>
        <w:t>、按法律法规规定的其他原则处理估值错误。</w:t>
      </w:r>
    </w:p>
    <w:p w:rsidR="009643E4" w:rsidRDefault="00D26BB4">
      <w:pPr>
        <w:pStyle w:val="Default"/>
        <w:spacing w:line="360" w:lineRule="exact"/>
        <w:ind w:firstLineChars="200" w:firstLine="422"/>
        <w:rPr>
          <w:b/>
          <w:color w:val="auto"/>
          <w:kern w:val="2"/>
          <w:sz w:val="21"/>
          <w:szCs w:val="21"/>
        </w:rPr>
      </w:pPr>
      <w:r>
        <w:rPr>
          <w:rFonts w:hint="eastAsia"/>
          <w:b/>
          <w:color w:val="auto"/>
          <w:kern w:val="2"/>
          <w:sz w:val="21"/>
          <w:szCs w:val="21"/>
        </w:rPr>
        <w:t>4</w:t>
      </w:r>
      <w:r>
        <w:rPr>
          <w:rFonts w:hint="eastAsia"/>
          <w:b/>
          <w:szCs w:val="21"/>
        </w:rPr>
        <w:t>.</w:t>
      </w:r>
      <w:r>
        <w:rPr>
          <w:rFonts w:hint="eastAsia"/>
          <w:b/>
          <w:color w:val="auto"/>
          <w:kern w:val="2"/>
          <w:sz w:val="21"/>
          <w:szCs w:val="21"/>
        </w:rPr>
        <w:t>特殊情况的处理</w:t>
      </w:r>
    </w:p>
    <w:p w:rsidR="009643E4" w:rsidRDefault="00D26BB4">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w:t>
      </w:r>
      <w:r>
        <w:rPr>
          <w:color w:val="auto"/>
          <w:kern w:val="2"/>
          <w:sz w:val="21"/>
          <w:szCs w:val="21"/>
        </w:rPr>
        <w:t>）由于不可抗力原因，或由于证券交易所、期货交易所、第三方估值机构、信托公司、基金公司等发送数据错</w:t>
      </w:r>
      <w:r>
        <w:rPr>
          <w:color w:val="auto"/>
          <w:kern w:val="2"/>
          <w:sz w:val="21"/>
          <w:szCs w:val="21"/>
        </w:rPr>
        <w:t>误等非产品管理人和托管人原因，</w:t>
      </w:r>
      <w:r>
        <w:rPr>
          <w:rFonts w:hint="eastAsia"/>
          <w:color w:val="auto"/>
          <w:kern w:val="2"/>
          <w:sz w:val="21"/>
          <w:szCs w:val="21"/>
        </w:rPr>
        <w:t>产品管理人和托管人</w:t>
      </w:r>
      <w:r>
        <w:rPr>
          <w:color w:val="auto"/>
          <w:kern w:val="2"/>
          <w:sz w:val="21"/>
          <w:szCs w:val="21"/>
        </w:rPr>
        <w:t>虽然已经采取必要、适当、合理的措施进行检查，但未能发现错误的，由此造成的估值错误，产品管理人和托管人免除赔偿责任。但</w:t>
      </w:r>
      <w:r>
        <w:rPr>
          <w:rFonts w:hint="eastAsia"/>
          <w:color w:val="auto"/>
          <w:kern w:val="2"/>
          <w:sz w:val="21"/>
          <w:szCs w:val="21"/>
        </w:rPr>
        <w:t>产品管理人</w:t>
      </w:r>
      <w:r>
        <w:rPr>
          <w:color w:val="auto"/>
          <w:kern w:val="2"/>
          <w:sz w:val="21"/>
          <w:szCs w:val="21"/>
        </w:rPr>
        <w:t>、托管人</w:t>
      </w:r>
      <w:r>
        <w:rPr>
          <w:rFonts w:hint="eastAsia"/>
          <w:color w:val="auto"/>
          <w:kern w:val="2"/>
          <w:sz w:val="21"/>
          <w:szCs w:val="21"/>
        </w:rPr>
        <w:t>将</w:t>
      </w:r>
      <w:r>
        <w:rPr>
          <w:color w:val="auto"/>
          <w:kern w:val="2"/>
          <w:sz w:val="21"/>
          <w:szCs w:val="21"/>
        </w:rPr>
        <w:t>积极采取必要的措施减轻或消除由此造成的影响。</w:t>
      </w:r>
    </w:p>
    <w:p w:rsidR="009643E4" w:rsidRDefault="00D26BB4">
      <w:pPr>
        <w:pStyle w:val="Default"/>
        <w:spacing w:line="360" w:lineRule="exact"/>
        <w:ind w:firstLineChars="200" w:firstLine="420"/>
        <w:rPr>
          <w:color w:val="auto"/>
          <w:kern w:val="2"/>
          <w:sz w:val="21"/>
          <w:szCs w:val="21"/>
        </w:rPr>
      </w:pPr>
      <w:r>
        <w:rPr>
          <w:color w:val="auto"/>
          <w:kern w:val="2"/>
          <w:sz w:val="21"/>
          <w:szCs w:val="21"/>
        </w:rPr>
        <w:t>(2)</w:t>
      </w:r>
      <w:r>
        <w:rPr>
          <w:color w:val="auto"/>
          <w:kern w:val="2"/>
          <w:sz w:val="21"/>
          <w:szCs w:val="21"/>
        </w:rPr>
        <w:t>前述内容如法律法规、监管机关另有规定的，或有关会计准则发生变化等，按照国家最新规定或产品管理</w:t>
      </w:r>
      <w:proofErr w:type="gramStart"/>
      <w:r>
        <w:rPr>
          <w:color w:val="auto"/>
          <w:kern w:val="2"/>
          <w:sz w:val="21"/>
          <w:szCs w:val="21"/>
        </w:rPr>
        <w:t>人最新</w:t>
      </w:r>
      <w:proofErr w:type="gramEnd"/>
      <w:r>
        <w:rPr>
          <w:color w:val="auto"/>
          <w:kern w:val="2"/>
          <w:sz w:val="21"/>
          <w:szCs w:val="21"/>
        </w:rPr>
        <w:t>约定估值。如果行业另有通行做法，产品管理人和托管人本着平等和保护份额持有人利益的原则进行协商。</w:t>
      </w:r>
    </w:p>
    <w:p w:rsidR="009643E4" w:rsidRDefault="00D26BB4">
      <w:pPr>
        <w:widowControl/>
        <w:spacing w:line="360" w:lineRule="exact"/>
        <w:ind w:left="-2" w:rightChars="15" w:right="31" w:firstLineChars="200" w:firstLine="422"/>
        <w:rPr>
          <w:rFonts w:ascii="宋体" w:hAnsi="宋体"/>
          <w:b/>
          <w:szCs w:val="21"/>
        </w:rPr>
      </w:pPr>
      <w:r>
        <w:rPr>
          <w:rFonts w:ascii="宋体" w:hAnsi="宋体" w:cs="宋体" w:hint="eastAsia"/>
          <w:b/>
          <w:szCs w:val="21"/>
        </w:rPr>
        <w:t>五、理财产品收益说明</w:t>
      </w:r>
    </w:p>
    <w:p w:rsidR="009643E4" w:rsidRDefault="00D26BB4">
      <w:pPr>
        <w:widowControl/>
        <w:spacing w:line="360" w:lineRule="exact"/>
        <w:ind w:left="-2" w:rightChars="15" w:right="31" w:firstLineChars="200" w:firstLine="422"/>
        <w:rPr>
          <w:rFonts w:ascii="宋体" w:hAnsi="宋体"/>
          <w:b/>
          <w:szCs w:val="21"/>
        </w:rPr>
      </w:pPr>
      <w:r>
        <w:rPr>
          <w:rFonts w:ascii="宋体" w:hAnsi="宋体" w:cs="宋体"/>
          <w:b/>
          <w:szCs w:val="21"/>
        </w:rPr>
        <w:t>1</w:t>
      </w:r>
      <w:r>
        <w:rPr>
          <w:rFonts w:ascii="宋体" w:hAnsi="宋体" w:cs="宋体" w:hint="eastAsia"/>
          <w:b/>
          <w:szCs w:val="21"/>
        </w:rPr>
        <w:t>.</w:t>
      </w:r>
      <w:r>
        <w:rPr>
          <w:rFonts w:ascii="宋体" w:hAnsi="宋体" w:cs="宋体" w:hint="eastAsia"/>
          <w:b/>
          <w:szCs w:val="21"/>
        </w:rPr>
        <w:t>理财产品本金及收益风险</w:t>
      </w:r>
    </w:p>
    <w:p w:rsidR="009643E4" w:rsidRDefault="00D26BB4">
      <w:pPr>
        <w:widowControl/>
        <w:spacing w:line="360" w:lineRule="exact"/>
        <w:ind w:left="-2" w:rightChars="15" w:right="31" w:firstLineChars="200" w:firstLine="420"/>
        <w:rPr>
          <w:rFonts w:ascii="宋体" w:hAnsi="宋体" w:cs="宋体"/>
          <w:szCs w:val="21"/>
        </w:rPr>
      </w:pPr>
      <w:r>
        <w:rPr>
          <w:rFonts w:ascii="宋体" w:hAnsi="宋体" w:cs="宋体" w:hint="eastAsia"/>
          <w:szCs w:val="21"/>
        </w:rPr>
        <w:t>本产品为非保本类理财产品，本行不提供保本承诺。在最不利的情况下，将损失全部本金及收益，由此产生的风险及损失由投资者自行承担。</w:t>
      </w:r>
    </w:p>
    <w:p w:rsidR="009643E4" w:rsidRDefault="00D26BB4">
      <w:pPr>
        <w:widowControl/>
        <w:spacing w:line="360" w:lineRule="exact"/>
        <w:ind w:left="-2" w:rightChars="15" w:right="31" w:firstLineChars="200" w:firstLine="422"/>
        <w:rPr>
          <w:rFonts w:ascii="宋体" w:hAnsi="宋体"/>
          <w:b/>
          <w:szCs w:val="21"/>
        </w:rPr>
      </w:pPr>
      <w:r>
        <w:rPr>
          <w:rFonts w:ascii="宋体" w:hAnsi="宋体" w:cs="宋体"/>
          <w:b/>
          <w:szCs w:val="21"/>
        </w:rPr>
        <w:t>2</w:t>
      </w:r>
      <w:r>
        <w:rPr>
          <w:rFonts w:ascii="宋体" w:hAnsi="宋体" w:cs="宋体" w:hint="eastAsia"/>
          <w:b/>
          <w:szCs w:val="21"/>
        </w:rPr>
        <w:t>.</w:t>
      </w:r>
      <w:r>
        <w:rPr>
          <w:rFonts w:ascii="宋体" w:hAnsi="宋体" w:cs="宋体"/>
          <w:b/>
          <w:szCs w:val="21"/>
        </w:rPr>
        <w:t>产品到期收益计算</w:t>
      </w:r>
    </w:p>
    <w:p w:rsidR="009643E4" w:rsidRDefault="00D26BB4">
      <w:pPr>
        <w:widowControl/>
        <w:spacing w:line="360" w:lineRule="exact"/>
        <w:ind w:left="-2" w:rightChars="15" w:right="31" w:firstLineChars="200" w:firstLine="420"/>
        <w:rPr>
          <w:rFonts w:ascii="宋体" w:hAnsi="宋体" w:cs="宋体"/>
          <w:b/>
          <w:bCs/>
          <w:szCs w:val="21"/>
          <w:u w:val="single"/>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szCs w:val="21"/>
          <w:u w:val="single"/>
        </w:rPr>
        <w:t>以下收益测算示例采用模拟数据计算，测算收益不等于实际收益，不代表以下的所有情形或某一情形一定会发生，投资者所能获得的收益以产品管理人的实际支付为准，请谨慎投资。</w:t>
      </w:r>
    </w:p>
    <w:p w:rsidR="009643E4" w:rsidRDefault="00D26BB4">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szCs w:val="21"/>
        </w:rPr>
        <w:t>产品到期投资者收益测算示例</w:t>
      </w:r>
    </w:p>
    <w:p w:rsidR="009643E4" w:rsidRDefault="00D26BB4">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w:t>
      </w:r>
      <w:r>
        <w:rPr>
          <w:rFonts w:ascii="宋体" w:hAnsi="宋体" w:cs="宋体"/>
          <w:szCs w:val="21"/>
        </w:rPr>
        <w:t>投资者收益</w:t>
      </w:r>
      <w:r>
        <w:rPr>
          <w:rFonts w:ascii="宋体" w:hAnsi="宋体" w:cs="宋体"/>
          <w:szCs w:val="21"/>
        </w:rPr>
        <w:t>=M</w:t>
      </w:r>
      <w:r>
        <w:rPr>
          <w:rFonts w:ascii="宋体" w:hAnsi="宋体" w:cs="宋体"/>
          <w:sz w:val="11"/>
          <w:szCs w:val="21"/>
        </w:rPr>
        <w:t>0</w:t>
      </w:r>
      <w:r>
        <w:rPr>
          <w:rFonts w:ascii="宋体" w:hAnsi="宋体" w:cs="宋体"/>
          <w:szCs w:val="21"/>
        </w:rPr>
        <w:t>×(P</w:t>
      </w:r>
      <w:r>
        <w:rPr>
          <w:rFonts w:ascii="宋体" w:hAnsi="宋体" w:cs="宋体"/>
          <w:sz w:val="11"/>
          <w:szCs w:val="21"/>
        </w:rPr>
        <w:t>i</w:t>
      </w:r>
      <w:r>
        <w:rPr>
          <w:rFonts w:ascii="宋体" w:hAnsi="宋体" w:cs="宋体"/>
          <w:szCs w:val="21"/>
        </w:rPr>
        <w:t>-P</w:t>
      </w:r>
      <w:r>
        <w:rPr>
          <w:rFonts w:ascii="宋体" w:hAnsi="宋体" w:cs="宋体"/>
          <w:sz w:val="11"/>
          <w:szCs w:val="21"/>
        </w:rPr>
        <w:t>0</w:t>
      </w:r>
      <w:r>
        <w:rPr>
          <w:rFonts w:ascii="宋体" w:hAnsi="宋体" w:cs="宋体"/>
          <w:szCs w:val="21"/>
        </w:rPr>
        <w:t>)</w:t>
      </w:r>
    </w:p>
    <w:p w:rsidR="009643E4" w:rsidRDefault="00D26BB4">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M</w:t>
      </w:r>
      <w:r>
        <w:rPr>
          <w:rFonts w:ascii="宋体" w:hAnsi="宋体" w:cs="宋体"/>
          <w:sz w:val="11"/>
          <w:szCs w:val="21"/>
        </w:rPr>
        <w:t>0</w:t>
      </w:r>
      <w:r>
        <w:rPr>
          <w:rFonts w:ascii="宋体" w:hAnsi="宋体" w:cs="宋体"/>
          <w:szCs w:val="21"/>
        </w:rPr>
        <w:t>：投资者持有份额</w:t>
      </w:r>
      <w:r>
        <w:rPr>
          <w:rFonts w:ascii="宋体" w:hAnsi="宋体" w:cs="宋体"/>
          <w:szCs w:val="21"/>
        </w:rPr>
        <w:t xml:space="preserve"> </w:t>
      </w:r>
    </w:p>
    <w:p w:rsidR="009643E4" w:rsidRDefault="00D26BB4">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i</w:t>
      </w:r>
      <w:r>
        <w:rPr>
          <w:rFonts w:ascii="宋体" w:hAnsi="宋体" w:cs="宋体"/>
          <w:szCs w:val="21"/>
        </w:rPr>
        <w:t>：投资者到期时产品份额净值</w:t>
      </w:r>
      <w:r>
        <w:rPr>
          <w:rFonts w:ascii="宋体" w:hAnsi="宋体" w:cs="宋体"/>
          <w:szCs w:val="21"/>
        </w:rPr>
        <w:t xml:space="preserve"> </w:t>
      </w:r>
    </w:p>
    <w:p w:rsidR="009643E4" w:rsidRDefault="00D26BB4">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0</w:t>
      </w:r>
      <w:r>
        <w:rPr>
          <w:rFonts w:ascii="宋体" w:hAnsi="宋体" w:cs="宋体"/>
          <w:szCs w:val="21"/>
        </w:rPr>
        <w:t>：投资者购买时产品份额净值</w:t>
      </w:r>
    </w:p>
    <w:p w:rsidR="009643E4" w:rsidRDefault="00D26BB4">
      <w:pPr>
        <w:widowControl/>
        <w:spacing w:line="360" w:lineRule="exact"/>
        <w:ind w:left="-2" w:rightChars="15" w:right="31" w:firstLineChars="200" w:firstLine="420"/>
        <w:rPr>
          <w:rFonts w:ascii="宋体" w:hAnsi="宋体" w:cs="宋体"/>
          <w:szCs w:val="21"/>
        </w:rPr>
      </w:pPr>
      <w:r>
        <w:rPr>
          <w:rFonts w:ascii="宋体" w:hAnsi="宋体" w:cs="宋体"/>
          <w:szCs w:val="21"/>
        </w:rPr>
        <w:t>计算示例</w:t>
      </w:r>
      <w:r>
        <w:rPr>
          <w:rFonts w:ascii="宋体" w:hAnsi="宋体" w:cs="宋体"/>
          <w:szCs w:val="21"/>
        </w:rPr>
        <w:t xml:space="preserve"> </w:t>
      </w:r>
    </w:p>
    <w:p w:rsidR="009643E4" w:rsidRDefault="00D26BB4">
      <w:pPr>
        <w:widowControl/>
        <w:spacing w:line="360" w:lineRule="exact"/>
        <w:ind w:left="-2" w:rightChars="15" w:right="31" w:firstLineChars="200" w:firstLine="420"/>
        <w:rPr>
          <w:rFonts w:ascii="宋体" w:hAnsi="宋体" w:cs="宋体"/>
          <w:szCs w:val="21"/>
        </w:rPr>
      </w:pPr>
      <w:r>
        <w:rPr>
          <w:rFonts w:ascii="宋体" w:hAnsi="宋体" w:cs="宋体"/>
          <w:szCs w:val="21"/>
        </w:rPr>
        <w:t>情景</w:t>
      </w:r>
      <w:r>
        <w:rPr>
          <w:rFonts w:ascii="宋体" w:hAnsi="宋体" w:cs="宋体"/>
          <w:szCs w:val="21"/>
        </w:rPr>
        <w:t xml:space="preserve"> 1</w:t>
      </w:r>
      <w:r>
        <w:rPr>
          <w:rFonts w:ascii="宋体" w:hAnsi="宋体" w:cs="宋体"/>
          <w:szCs w:val="21"/>
        </w:rPr>
        <w:t>：假设投资者于</w:t>
      </w:r>
      <w:r>
        <w:rPr>
          <w:rFonts w:ascii="宋体" w:hAnsi="宋体" w:cs="宋体"/>
          <w:szCs w:val="21"/>
        </w:rPr>
        <w:t>募集期内认购本产品，投资本金为</w:t>
      </w:r>
      <w:r>
        <w:rPr>
          <w:rFonts w:ascii="宋体" w:hAnsi="宋体" w:cs="宋体"/>
          <w:szCs w:val="21"/>
        </w:rPr>
        <w:t>100,000.00</w:t>
      </w:r>
      <w:r>
        <w:rPr>
          <w:rFonts w:ascii="宋体" w:hAnsi="宋体" w:cs="宋体"/>
          <w:szCs w:val="21"/>
        </w:rPr>
        <w:t>元，购买产品时份额净值为</w:t>
      </w:r>
      <w:r>
        <w:rPr>
          <w:rFonts w:ascii="宋体" w:hAnsi="宋体" w:cs="宋体"/>
          <w:szCs w:val="21"/>
        </w:rPr>
        <w:t xml:space="preserve"> 1.0000</w:t>
      </w:r>
      <w:r>
        <w:rPr>
          <w:rFonts w:ascii="宋体" w:hAnsi="宋体" w:cs="宋体"/>
          <w:szCs w:val="21"/>
        </w:rPr>
        <w:t>元，折算份额为</w:t>
      </w:r>
      <w:r>
        <w:rPr>
          <w:rFonts w:ascii="宋体" w:hAnsi="宋体" w:cs="宋体"/>
          <w:szCs w:val="21"/>
        </w:rPr>
        <w:t>100,000.00</w:t>
      </w:r>
      <w:r>
        <w:rPr>
          <w:rFonts w:ascii="宋体" w:hAnsi="宋体" w:cs="宋体"/>
          <w:szCs w:val="21"/>
        </w:rPr>
        <w:t>份。</w:t>
      </w:r>
      <w:r>
        <w:rPr>
          <w:rFonts w:ascii="宋体" w:hAnsi="宋体" w:cs="宋体"/>
          <w:szCs w:val="21"/>
        </w:rPr>
        <w:t xml:space="preserve"> </w:t>
      </w:r>
      <w:r>
        <w:rPr>
          <w:rFonts w:ascii="宋体" w:hAnsi="宋体" w:cs="宋体"/>
          <w:szCs w:val="21"/>
        </w:rPr>
        <w:t>产品到期时，产品份额净值为</w:t>
      </w:r>
      <w:r>
        <w:rPr>
          <w:rFonts w:ascii="宋体" w:hAnsi="宋体" w:cs="宋体"/>
          <w:szCs w:val="21"/>
        </w:rPr>
        <w:t xml:space="preserve"> 1.0820 </w:t>
      </w:r>
      <w:r>
        <w:rPr>
          <w:rFonts w:ascii="宋体" w:hAnsi="宋体" w:cs="宋体"/>
          <w:szCs w:val="21"/>
        </w:rPr>
        <w:t>元，则兑付给投资者的资金为：</w:t>
      </w:r>
    </w:p>
    <w:p w:rsidR="009643E4" w:rsidRDefault="00D26BB4">
      <w:pPr>
        <w:widowControl/>
        <w:spacing w:line="360" w:lineRule="exact"/>
        <w:ind w:left="-2" w:rightChars="15" w:right="31" w:firstLineChars="200" w:firstLine="420"/>
        <w:rPr>
          <w:rFonts w:ascii="宋体" w:hAnsi="宋体" w:cs="宋体"/>
          <w:szCs w:val="21"/>
        </w:rPr>
      </w:pPr>
      <w:r>
        <w:rPr>
          <w:rFonts w:ascii="宋体" w:hAnsi="宋体" w:cs="宋体" w:hint="eastAsia"/>
          <w:szCs w:val="21"/>
        </w:rPr>
        <w:t>100,000.00</w:t>
      </w:r>
      <w:r>
        <w:rPr>
          <w:rFonts w:ascii="宋体" w:hAnsi="宋体" w:cs="宋体" w:hint="eastAsia"/>
          <w:szCs w:val="21"/>
        </w:rPr>
        <w:t>×</w:t>
      </w:r>
      <w:r>
        <w:rPr>
          <w:rFonts w:ascii="宋体" w:hAnsi="宋体" w:cs="宋体" w:hint="eastAsia"/>
          <w:szCs w:val="21"/>
        </w:rPr>
        <w:t>1.0820=108,200.00</w:t>
      </w:r>
      <w:r>
        <w:rPr>
          <w:rFonts w:ascii="宋体" w:hAnsi="宋体" w:cs="宋体" w:hint="eastAsia"/>
          <w:szCs w:val="21"/>
        </w:rPr>
        <w:t>（元）。</w:t>
      </w:r>
      <w:r>
        <w:rPr>
          <w:rFonts w:ascii="宋体" w:hAnsi="宋体" w:cs="宋体" w:hint="eastAsia"/>
          <w:szCs w:val="21"/>
        </w:rPr>
        <w:t xml:space="preserve"> </w:t>
      </w:r>
    </w:p>
    <w:p w:rsidR="009643E4" w:rsidRDefault="00D26BB4">
      <w:pPr>
        <w:widowControl/>
        <w:spacing w:line="360" w:lineRule="exact"/>
        <w:ind w:left="-2" w:rightChars="15" w:right="31" w:firstLineChars="200" w:firstLine="420"/>
        <w:rPr>
          <w:rFonts w:ascii="宋体" w:hAnsi="宋体" w:cs="宋体"/>
          <w:szCs w:val="21"/>
        </w:rPr>
      </w:pPr>
      <w:r>
        <w:rPr>
          <w:rFonts w:ascii="宋体" w:hAnsi="宋体" w:cs="宋体"/>
          <w:szCs w:val="21"/>
        </w:rPr>
        <w:t>情景</w:t>
      </w:r>
      <w:r>
        <w:rPr>
          <w:rFonts w:ascii="宋体" w:hAnsi="宋体" w:cs="宋体"/>
          <w:szCs w:val="21"/>
        </w:rPr>
        <w:t xml:space="preserve"> 2</w:t>
      </w:r>
      <w:r>
        <w:rPr>
          <w:rFonts w:ascii="宋体" w:hAnsi="宋体" w:cs="宋体"/>
          <w:szCs w:val="21"/>
        </w:rPr>
        <w:t>：假设投资者于募集期内认购本产品，投资本金为</w:t>
      </w:r>
      <w:r>
        <w:rPr>
          <w:rFonts w:ascii="宋体" w:hAnsi="宋体" w:cs="宋体"/>
          <w:szCs w:val="21"/>
        </w:rPr>
        <w:t xml:space="preserve"> 100,000.00 </w:t>
      </w:r>
      <w:r>
        <w:rPr>
          <w:rFonts w:ascii="宋体" w:hAnsi="宋体" w:cs="宋体"/>
          <w:szCs w:val="21"/>
        </w:rPr>
        <w:t>元，购买产品时份额</w:t>
      </w:r>
      <w:r>
        <w:rPr>
          <w:rFonts w:ascii="宋体" w:hAnsi="宋体" w:cs="宋体"/>
          <w:szCs w:val="21"/>
        </w:rPr>
        <w:t xml:space="preserve"> </w:t>
      </w:r>
      <w:r>
        <w:rPr>
          <w:rFonts w:ascii="宋体" w:hAnsi="宋体" w:cs="宋体"/>
          <w:szCs w:val="21"/>
        </w:rPr>
        <w:t>净值为</w:t>
      </w:r>
      <w:r>
        <w:rPr>
          <w:rFonts w:ascii="宋体" w:hAnsi="宋体" w:cs="宋体"/>
          <w:szCs w:val="21"/>
        </w:rPr>
        <w:t xml:space="preserve"> 1.0000 </w:t>
      </w:r>
      <w:r>
        <w:rPr>
          <w:rFonts w:ascii="宋体" w:hAnsi="宋体" w:cs="宋体"/>
          <w:szCs w:val="21"/>
        </w:rPr>
        <w:t>元，折算份额为</w:t>
      </w:r>
      <w:r>
        <w:rPr>
          <w:rFonts w:ascii="宋体" w:hAnsi="宋体" w:cs="宋体"/>
          <w:szCs w:val="21"/>
        </w:rPr>
        <w:t>100,000.00</w:t>
      </w:r>
      <w:r>
        <w:rPr>
          <w:rFonts w:ascii="宋体" w:hAnsi="宋体" w:cs="宋体"/>
          <w:szCs w:val="21"/>
        </w:rPr>
        <w:t>份。产品到期时，产品份额净值为</w:t>
      </w:r>
      <w:r>
        <w:rPr>
          <w:rFonts w:ascii="宋体" w:hAnsi="宋体" w:cs="宋体"/>
          <w:szCs w:val="21"/>
        </w:rPr>
        <w:t>0.9975</w:t>
      </w:r>
      <w:r>
        <w:rPr>
          <w:rFonts w:ascii="宋体" w:hAnsi="宋体" w:cs="宋体"/>
          <w:szCs w:val="21"/>
        </w:rPr>
        <w:t>元，</w:t>
      </w:r>
      <w:r>
        <w:rPr>
          <w:rFonts w:ascii="宋体" w:hAnsi="宋体" w:cs="宋体"/>
          <w:szCs w:val="21"/>
        </w:rPr>
        <w:t xml:space="preserve"> </w:t>
      </w:r>
      <w:r>
        <w:rPr>
          <w:rFonts w:ascii="宋体" w:hAnsi="宋体" w:cs="宋体"/>
          <w:szCs w:val="21"/>
        </w:rPr>
        <w:t>则兑付给投资者的资金为：</w:t>
      </w:r>
      <w:r>
        <w:rPr>
          <w:rFonts w:ascii="宋体" w:hAnsi="宋体" w:cs="宋体"/>
          <w:szCs w:val="21"/>
        </w:rPr>
        <w:t xml:space="preserve"> </w:t>
      </w:r>
      <w:r>
        <w:rPr>
          <w:rFonts w:ascii="宋体" w:hAnsi="宋体" w:cs="宋体"/>
          <w:szCs w:val="21"/>
        </w:rPr>
        <w:t>100,000.00×0.9975=99,750.00</w:t>
      </w:r>
      <w:r>
        <w:rPr>
          <w:rFonts w:ascii="宋体" w:hAnsi="宋体" w:cs="宋体"/>
          <w:szCs w:val="21"/>
        </w:rPr>
        <w:t>（元）。</w:t>
      </w:r>
    </w:p>
    <w:p w:rsidR="009643E4" w:rsidRDefault="00D26BB4">
      <w:pPr>
        <w:widowControl/>
        <w:spacing w:line="360" w:lineRule="exact"/>
        <w:ind w:left="-2" w:rightChars="15" w:right="31" w:firstLineChars="200" w:firstLine="420"/>
        <w:rPr>
          <w:rFonts w:ascii="宋体" w:hAnsi="宋体" w:cs="宋体"/>
          <w:szCs w:val="21"/>
        </w:rPr>
      </w:pPr>
      <w:r>
        <w:rPr>
          <w:rFonts w:ascii="宋体" w:hAnsi="宋体" w:cs="宋体"/>
          <w:szCs w:val="21"/>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w:t>
      </w:r>
      <w:r>
        <w:rPr>
          <w:rFonts w:ascii="宋体" w:hAnsi="宋体" w:cs="宋体" w:hint="eastAsia"/>
          <w:szCs w:val="21"/>
        </w:rPr>
        <w:t>活跃度不足</w:t>
      </w:r>
      <w:r>
        <w:rPr>
          <w:rFonts w:ascii="宋体" w:hAnsi="宋体" w:cs="宋体"/>
          <w:szCs w:val="21"/>
        </w:rPr>
        <w:t>，存在流动性风险；二是投资的债券或股票品种等受市场价格波动影响，存在市场风险；三是投资的资产或资产组合涉及的融资人</w:t>
      </w:r>
      <w:r>
        <w:rPr>
          <w:rFonts w:ascii="宋体" w:hAnsi="宋体" w:cs="宋体"/>
          <w:szCs w:val="21"/>
        </w:rPr>
        <w:t>/</w:t>
      </w:r>
      <w:r>
        <w:rPr>
          <w:rFonts w:ascii="宋体" w:hAnsi="宋体" w:cs="宋体"/>
          <w:szCs w:val="21"/>
        </w:rPr>
        <w:t>义务人或债券发行人因违约造成的风险。如发生上述最不利的投资情形和投资结果，投资者将面临本金和收益损失的风险。</w:t>
      </w:r>
      <w:r>
        <w:rPr>
          <w:rFonts w:ascii="宋体" w:hAnsi="宋体" w:cs="宋体"/>
          <w:szCs w:val="21"/>
        </w:rPr>
        <w:t xml:space="preserve"> </w:t>
      </w:r>
    </w:p>
    <w:p w:rsidR="009643E4" w:rsidRDefault="00D26BB4">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）产品</w:t>
      </w:r>
      <w:r>
        <w:rPr>
          <w:rFonts w:ascii="宋体" w:hAnsi="宋体" w:cs="宋体"/>
          <w:szCs w:val="21"/>
        </w:rPr>
        <w:t>提前终止</w:t>
      </w:r>
      <w:r>
        <w:rPr>
          <w:rFonts w:ascii="宋体" w:hAnsi="宋体" w:cs="宋体" w:hint="eastAsia"/>
          <w:szCs w:val="21"/>
        </w:rPr>
        <w:t>投资者</w:t>
      </w:r>
      <w:r>
        <w:rPr>
          <w:rFonts w:ascii="宋体" w:hAnsi="宋体" w:cs="宋体"/>
          <w:szCs w:val="21"/>
        </w:rPr>
        <w:t>收益测算示例</w:t>
      </w:r>
    </w:p>
    <w:p w:rsidR="009643E4" w:rsidRDefault="00D26BB4">
      <w:pPr>
        <w:widowControl/>
        <w:spacing w:line="360" w:lineRule="exact"/>
        <w:ind w:left="-2" w:rightChars="15" w:right="31" w:firstLineChars="200" w:firstLine="420"/>
        <w:rPr>
          <w:szCs w:val="21"/>
          <w:u w:val="single"/>
        </w:rPr>
      </w:pPr>
      <w:r>
        <w:rPr>
          <w:rFonts w:ascii="宋体" w:hAnsi="宋体" w:cs="宋体"/>
          <w:szCs w:val="21"/>
        </w:rPr>
        <w:t>假设投资者于募集期内认购本产品，投资本金为</w:t>
      </w:r>
      <w:r>
        <w:rPr>
          <w:rFonts w:ascii="宋体" w:hAnsi="宋体" w:cs="宋体"/>
          <w:szCs w:val="21"/>
        </w:rPr>
        <w:t>100,000.00</w:t>
      </w:r>
      <w:r>
        <w:rPr>
          <w:rFonts w:ascii="宋体" w:hAnsi="宋体" w:cs="宋体"/>
          <w:szCs w:val="21"/>
        </w:rPr>
        <w:t>元，购买产品时份额净值为</w:t>
      </w:r>
      <w:r>
        <w:rPr>
          <w:rFonts w:ascii="宋体" w:hAnsi="宋体" w:cs="宋体"/>
          <w:szCs w:val="21"/>
        </w:rPr>
        <w:t xml:space="preserve"> 1.0000</w:t>
      </w:r>
      <w:r>
        <w:rPr>
          <w:rFonts w:ascii="宋体" w:hAnsi="宋体" w:cs="宋体"/>
          <w:szCs w:val="21"/>
        </w:rPr>
        <w:t>元，折算份额为</w:t>
      </w:r>
      <w:r>
        <w:rPr>
          <w:rFonts w:ascii="宋体" w:hAnsi="宋体" w:cs="宋体"/>
          <w:szCs w:val="21"/>
        </w:rPr>
        <w:t>100,000.00</w:t>
      </w:r>
      <w:r>
        <w:rPr>
          <w:rFonts w:ascii="宋体" w:hAnsi="宋体" w:cs="宋体"/>
          <w:szCs w:val="21"/>
        </w:rPr>
        <w:t>份，产品提前终止时，产品份额净值为</w:t>
      </w:r>
      <w:r>
        <w:rPr>
          <w:rFonts w:ascii="宋体" w:hAnsi="宋体" w:cs="宋体"/>
          <w:szCs w:val="21"/>
        </w:rPr>
        <w:t xml:space="preserve"> 1.0320</w:t>
      </w:r>
      <w:r>
        <w:rPr>
          <w:rFonts w:ascii="宋体" w:hAnsi="宋体" w:cs="宋体"/>
          <w:szCs w:val="21"/>
        </w:rPr>
        <w:t>元，则兑付给投资者的资金为：</w:t>
      </w:r>
      <w:r>
        <w:rPr>
          <w:rFonts w:ascii="宋体" w:hAnsi="宋体" w:cs="宋体"/>
          <w:szCs w:val="21"/>
        </w:rPr>
        <w:t>100,000.00×1.0320=103,200.00</w:t>
      </w:r>
      <w:r>
        <w:rPr>
          <w:rFonts w:ascii="宋体" w:hAnsi="宋体" w:cs="宋体"/>
          <w:szCs w:val="21"/>
        </w:rPr>
        <w:t>（元）。</w:t>
      </w:r>
    </w:p>
    <w:p w:rsidR="009643E4" w:rsidRDefault="00D26BB4">
      <w:pPr>
        <w:widowControl/>
        <w:spacing w:line="360" w:lineRule="exact"/>
        <w:ind w:left="-2" w:rightChars="15" w:right="31" w:firstLineChars="200" w:firstLine="422"/>
        <w:rPr>
          <w:rFonts w:ascii="宋体" w:hAnsi="宋体" w:cs="宋体"/>
          <w:b/>
          <w:szCs w:val="21"/>
        </w:rPr>
      </w:pPr>
      <w:r>
        <w:rPr>
          <w:rFonts w:ascii="宋体" w:hAnsi="宋体" w:cs="宋体" w:hint="eastAsia"/>
          <w:b/>
          <w:szCs w:val="21"/>
        </w:rPr>
        <w:t>六、信息披露</w:t>
      </w:r>
    </w:p>
    <w:bookmarkEnd w:id="1"/>
    <w:p w:rsidR="009643E4" w:rsidRDefault="00D26BB4">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1</w:t>
      </w:r>
      <w:r>
        <w:rPr>
          <w:rFonts w:ascii="宋体" w:hAnsi="宋体" w:cs="宋体" w:hint="eastAsia"/>
          <w:b/>
          <w:kern w:val="0"/>
          <w:szCs w:val="21"/>
        </w:rPr>
        <w:t>.</w:t>
      </w:r>
      <w:r>
        <w:rPr>
          <w:rFonts w:ascii="宋体" w:hAnsi="宋体" w:cs="宋体" w:hint="eastAsia"/>
          <w:b/>
          <w:kern w:val="0"/>
          <w:szCs w:val="21"/>
        </w:rPr>
        <w:t>理财产品发行公告</w:t>
      </w:r>
    </w:p>
    <w:p w:rsidR="009643E4" w:rsidRDefault="00D26BB4">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将在理财产品成立之后</w:t>
      </w:r>
      <w:r>
        <w:rPr>
          <w:rFonts w:ascii="宋体" w:hAnsi="宋体" w:cs="宋体"/>
          <w:kern w:val="0"/>
          <w:szCs w:val="21"/>
        </w:rPr>
        <w:t>5</w:t>
      </w:r>
      <w:r>
        <w:rPr>
          <w:rFonts w:ascii="宋体" w:hAnsi="宋体" w:cs="宋体" w:hint="eastAsia"/>
          <w:kern w:val="0"/>
          <w:szCs w:val="21"/>
        </w:rPr>
        <w:t>个工作日</w:t>
      </w:r>
      <w:r>
        <w:rPr>
          <w:rFonts w:ascii="宋体" w:hAnsi="宋体" w:cs="宋体"/>
          <w:kern w:val="0"/>
          <w:szCs w:val="21"/>
        </w:rPr>
        <w:t>日内披露发行公告，包括理财产品成立日期和认购规模等</w:t>
      </w:r>
      <w:r>
        <w:rPr>
          <w:rFonts w:ascii="宋体" w:hAnsi="宋体" w:cs="宋体" w:hint="eastAsia"/>
          <w:kern w:val="0"/>
          <w:szCs w:val="21"/>
        </w:rPr>
        <w:t>信息。如</w:t>
      </w:r>
      <w:r>
        <w:rPr>
          <w:rFonts w:ascii="宋体" w:hAnsi="宋体" w:cs="宋体" w:hint="eastAsia"/>
          <w:szCs w:val="21"/>
        </w:rPr>
        <w:t>产品管理人</w:t>
      </w:r>
      <w:r>
        <w:rPr>
          <w:rFonts w:ascii="宋体" w:hAnsi="宋体" w:cs="宋体" w:hint="eastAsia"/>
          <w:kern w:val="0"/>
          <w:szCs w:val="21"/>
        </w:rPr>
        <w:t>决定本理财产品不成立，将在知悉出现产品不成立情况之日起</w:t>
      </w:r>
      <w:r>
        <w:rPr>
          <w:rFonts w:ascii="宋体" w:hAnsi="宋体" w:cs="宋体" w:hint="eastAsia"/>
          <w:kern w:val="0"/>
          <w:szCs w:val="21"/>
        </w:rPr>
        <w:t>2</w:t>
      </w:r>
      <w:r>
        <w:rPr>
          <w:rFonts w:ascii="宋体" w:hAnsi="宋体" w:cs="宋体" w:hint="eastAsia"/>
          <w:kern w:val="0"/>
          <w:szCs w:val="21"/>
        </w:rPr>
        <w:t>个工作日</w:t>
      </w:r>
      <w:r>
        <w:rPr>
          <w:rFonts w:ascii="宋体" w:hAnsi="宋体" w:cs="宋体" w:hint="eastAsia"/>
          <w:kern w:val="0"/>
          <w:szCs w:val="21"/>
        </w:rPr>
        <w:t>内，向投资者发布相关信息公告。</w:t>
      </w:r>
    </w:p>
    <w:p w:rsidR="009643E4" w:rsidRDefault="00D26BB4">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2.</w:t>
      </w:r>
      <w:r>
        <w:rPr>
          <w:rFonts w:ascii="宋体" w:hAnsi="宋体" w:cs="宋体" w:hint="eastAsia"/>
          <w:b/>
          <w:kern w:val="0"/>
          <w:szCs w:val="21"/>
        </w:rPr>
        <w:t>理财产品定期公告</w:t>
      </w:r>
    </w:p>
    <w:p w:rsidR="009643E4" w:rsidRDefault="00D26BB4">
      <w:pPr>
        <w:widowControl/>
        <w:spacing w:line="360" w:lineRule="exact"/>
        <w:ind w:left="-2" w:rightChars="15" w:right="31" w:firstLineChars="200" w:firstLine="420"/>
        <w:rPr>
          <w:rFonts w:ascii="宋体" w:hAnsi="宋体" w:cs="宋体"/>
          <w:szCs w:val="21"/>
        </w:rPr>
      </w:pPr>
      <w:r>
        <w:rPr>
          <w:rFonts w:ascii="宋体" w:hAnsi="宋体" w:cs="宋体" w:hint="eastAsia"/>
          <w:szCs w:val="21"/>
        </w:rPr>
        <w:t>产品管理人</w:t>
      </w:r>
      <w:r>
        <w:rPr>
          <w:rFonts w:ascii="宋体" w:hAnsi="宋体" w:cs="宋体"/>
          <w:kern w:val="0"/>
          <w:szCs w:val="21"/>
        </w:rPr>
        <w:t>将在每个季度结束之日起</w:t>
      </w:r>
      <w:r>
        <w:rPr>
          <w:rFonts w:ascii="宋体" w:hAnsi="宋体" w:cs="宋体"/>
          <w:kern w:val="0"/>
          <w:szCs w:val="21"/>
        </w:rPr>
        <w:t>15</w:t>
      </w:r>
      <w:r>
        <w:rPr>
          <w:rFonts w:ascii="宋体" w:hAnsi="宋体" w:cs="宋体" w:hint="eastAsia"/>
          <w:kern w:val="0"/>
          <w:szCs w:val="21"/>
        </w:rPr>
        <w:t>个工作</w:t>
      </w:r>
      <w:r>
        <w:rPr>
          <w:rFonts w:ascii="宋体" w:hAnsi="宋体" w:cs="宋体"/>
          <w:kern w:val="0"/>
          <w:szCs w:val="21"/>
        </w:rPr>
        <w:t>日内、上半年结束之日起</w:t>
      </w:r>
      <w:r>
        <w:rPr>
          <w:rFonts w:ascii="宋体" w:hAnsi="宋体" w:cs="宋体"/>
          <w:kern w:val="0"/>
          <w:szCs w:val="21"/>
        </w:rPr>
        <w:t>60</w:t>
      </w:r>
      <w:r>
        <w:rPr>
          <w:rFonts w:ascii="宋体" w:hAnsi="宋体" w:cs="宋体" w:hint="eastAsia"/>
          <w:kern w:val="0"/>
          <w:szCs w:val="21"/>
        </w:rPr>
        <w:t>个工作</w:t>
      </w:r>
      <w:r>
        <w:rPr>
          <w:rFonts w:ascii="宋体" w:hAnsi="宋体" w:cs="宋体"/>
          <w:kern w:val="0"/>
          <w:szCs w:val="21"/>
        </w:rPr>
        <w:t>日内、每年结束之日起</w:t>
      </w:r>
      <w:r>
        <w:rPr>
          <w:rFonts w:ascii="宋体" w:hAnsi="宋体" w:cs="宋体"/>
          <w:kern w:val="0"/>
          <w:szCs w:val="21"/>
        </w:rPr>
        <w:t>90</w:t>
      </w:r>
      <w:r>
        <w:rPr>
          <w:rFonts w:ascii="宋体" w:hAnsi="宋体" w:cs="宋体" w:hint="eastAsia"/>
          <w:kern w:val="0"/>
          <w:szCs w:val="21"/>
        </w:rPr>
        <w:t>个工作</w:t>
      </w:r>
      <w:r>
        <w:rPr>
          <w:rFonts w:ascii="宋体" w:hAnsi="宋体" w:cs="宋体"/>
          <w:kern w:val="0"/>
          <w:szCs w:val="21"/>
        </w:rPr>
        <w:t>日内，编制完成理财产品的季度、半年和年度报告等定期报告。理财产品成立不足</w:t>
      </w:r>
      <w:r>
        <w:rPr>
          <w:rFonts w:ascii="宋体" w:hAnsi="宋体" w:cs="宋体"/>
          <w:kern w:val="0"/>
          <w:szCs w:val="21"/>
        </w:rPr>
        <w:t>90</w:t>
      </w:r>
      <w:r>
        <w:rPr>
          <w:rFonts w:ascii="宋体" w:hAnsi="宋体" w:cs="宋体"/>
          <w:kern w:val="0"/>
          <w:szCs w:val="21"/>
        </w:rPr>
        <w:t>日或者剩余存续期不超过</w:t>
      </w:r>
      <w:r>
        <w:rPr>
          <w:rFonts w:ascii="宋体" w:hAnsi="宋体" w:cs="宋体"/>
          <w:kern w:val="0"/>
          <w:szCs w:val="21"/>
        </w:rPr>
        <w:t>90</w:t>
      </w:r>
      <w:r>
        <w:rPr>
          <w:rFonts w:ascii="宋体" w:hAnsi="宋体" w:cs="宋体"/>
          <w:kern w:val="0"/>
          <w:szCs w:val="21"/>
        </w:rPr>
        <w:t>日的，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9643E4" w:rsidRDefault="00D26BB4">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将在每个</w:t>
      </w:r>
      <w:r>
        <w:rPr>
          <w:rFonts w:ascii="宋体" w:hAnsi="宋体" w:cs="宋体" w:hint="eastAsia"/>
          <w:kern w:val="0"/>
          <w:szCs w:val="21"/>
        </w:rPr>
        <w:t>估值日</w:t>
      </w:r>
      <w:r>
        <w:rPr>
          <w:rFonts w:ascii="宋体" w:hAnsi="宋体" w:cs="宋体"/>
          <w:kern w:val="0"/>
          <w:szCs w:val="21"/>
        </w:rPr>
        <w:t>后</w:t>
      </w:r>
      <w:r>
        <w:rPr>
          <w:rFonts w:ascii="宋体" w:hAnsi="宋体" w:cs="宋体"/>
          <w:kern w:val="0"/>
          <w:szCs w:val="21"/>
        </w:rPr>
        <w:t>2</w:t>
      </w:r>
      <w:r>
        <w:rPr>
          <w:rFonts w:ascii="宋体" w:hAnsi="宋体" w:cs="宋体"/>
          <w:kern w:val="0"/>
          <w:szCs w:val="21"/>
        </w:rPr>
        <w:t>个</w:t>
      </w:r>
      <w:r>
        <w:rPr>
          <w:rFonts w:ascii="宋体" w:hAnsi="宋体" w:cs="宋体" w:hint="eastAsia"/>
          <w:kern w:val="0"/>
          <w:szCs w:val="21"/>
        </w:rPr>
        <w:t>交易</w:t>
      </w:r>
      <w:r>
        <w:rPr>
          <w:rFonts w:ascii="宋体" w:hAnsi="宋体" w:cs="宋体"/>
          <w:kern w:val="0"/>
          <w:szCs w:val="21"/>
        </w:rPr>
        <w:t>日内，披露该</w:t>
      </w:r>
      <w:r>
        <w:rPr>
          <w:rFonts w:ascii="宋体" w:hAnsi="宋体" w:cs="宋体" w:hint="eastAsia"/>
          <w:kern w:val="0"/>
          <w:szCs w:val="21"/>
        </w:rPr>
        <w:t>产品</w:t>
      </w:r>
      <w:r>
        <w:rPr>
          <w:rFonts w:ascii="宋体" w:hAnsi="宋体" w:cs="宋体"/>
          <w:kern w:val="0"/>
          <w:szCs w:val="21"/>
        </w:rPr>
        <w:t>估值</w:t>
      </w:r>
      <w:r>
        <w:rPr>
          <w:rFonts w:ascii="宋体" w:hAnsi="宋体" w:cs="宋体" w:hint="eastAsia"/>
          <w:kern w:val="0"/>
          <w:szCs w:val="21"/>
        </w:rPr>
        <w:t>日净值</w:t>
      </w:r>
      <w:r>
        <w:rPr>
          <w:rFonts w:ascii="宋体" w:hAnsi="宋体" w:cs="宋体"/>
          <w:kern w:val="0"/>
          <w:szCs w:val="21"/>
        </w:rPr>
        <w:t>，在定期报告中披露本产品在季度、半年和年度最后一个工作日的份额净值、份额累计净值和资产净值。</w:t>
      </w:r>
    </w:p>
    <w:p w:rsidR="009643E4" w:rsidRDefault="00D26BB4">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3</w:t>
      </w:r>
      <w:r>
        <w:rPr>
          <w:rFonts w:ascii="宋体" w:hAnsi="宋体" w:cs="宋体" w:hint="eastAsia"/>
          <w:b/>
          <w:kern w:val="0"/>
          <w:szCs w:val="21"/>
        </w:rPr>
        <w:t>.</w:t>
      </w:r>
      <w:r>
        <w:rPr>
          <w:rFonts w:ascii="宋体" w:hAnsi="宋体" w:cs="宋体" w:hint="eastAsia"/>
          <w:b/>
          <w:kern w:val="0"/>
          <w:szCs w:val="21"/>
        </w:rPr>
        <w:t>理财产品临时性信息披露</w:t>
      </w:r>
    </w:p>
    <w:p w:rsidR="009643E4" w:rsidRDefault="00D26BB4">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若</w:t>
      </w:r>
      <w:r>
        <w:rPr>
          <w:rFonts w:ascii="宋体" w:hAnsi="宋体" w:cs="宋体" w:hint="eastAsia"/>
          <w:szCs w:val="21"/>
        </w:rPr>
        <w:t>认购期进行调整（认购期提前结束或认购期延长），及产品成立日、产品到期日发生变化，产品管理人将提前</w:t>
      </w:r>
      <w:r>
        <w:rPr>
          <w:rFonts w:ascii="宋体" w:hAnsi="宋体" w:cs="宋体" w:hint="eastAsia"/>
          <w:szCs w:val="21"/>
        </w:rPr>
        <w:t>2</w:t>
      </w:r>
      <w:r>
        <w:rPr>
          <w:rFonts w:ascii="宋体" w:hAnsi="宋体" w:cs="宋体"/>
          <w:szCs w:val="21"/>
        </w:rPr>
        <w:t>个工作日</w:t>
      </w:r>
      <w:r>
        <w:rPr>
          <w:rFonts w:ascii="宋体" w:hAnsi="宋体" w:cs="宋体" w:hint="eastAsia"/>
          <w:kern w:val="0"/>
          <w:szCs w:val="21"/>
        </w:rPr>
        <w:t>向投资者发布相关信息公告。</w:t>
      </w:r>
    </w:p>
    <w:p w:rsidR="009643E4" w:rsidRDefault="00D26BB4">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在本理财产品存续期内，如因国家法律法规、金融政策、监管规定、市场情况发生变化，或是出于维护本产品正常运行管理的需要，</w:t>
      </w:r>
      <w:r>
        <w:rPr>
          <w:rFonts w:ascii="宋体" w:hAnsi="宋体" w:cs="宋体" w:hint="eastAsia"/>
          <w:szCs w:val="21"/>
        </w:rPr>
        <w:t>产品管理人</w:t>
      </w:r>
      <w:r>
        <w:rPr>
          <w:rFonts w:ascii="宋体" w:hAnsi="宋体" w:cs="宋体" w:hint="eastAsia"/>
          <w:kern w:val="0"/>
          <w:szCs w:val="21"/>
        </w:rPr>
        <w:t>有权对《理财产品说明书》中投资范围、投资品种、投资比例或其他条款进行补充、说明和修改，但至少须在调整日</w:t>
      </w:r>
      <w:r>
        <w:rPr>
          <w:rFonts w:ascii="宋体" w:hAnsi="宋体" w:cs="宋体" w:hint="eastAsia"/>
          <w:kern w:val="0"/>
          <w:szCs w:val="21"/>
        </w:rPr>
        <w:t>前</w:t>
      </w:r>
      <w:r>
        <w:rPr>
          <w:rFonts w:ascii="宋体" w:hAnsi="宋体" w:cs="宋体"/>
          <w:kern w:val="0"/>
          <w:szCs w:val="21"/>
        </w:rPr>
        <w:t>3</w:t>
      </w:r>
      <w:r>
        <w:rPr>
          <w:rFonts w:ascii="宋体" w:hAnsi="宋体" w:cs="宋体" w:hint="eastAsia"/>
          <w:kern w:val="0"/>
          <w:szCs w:val="21"/>
        </w:rPr>
        <w:t>个工作日通过湖南银行官方网站（</w:t>
      </w:r>
      <w:r>
        <w:rPr>
          <w:rStyle w:val="a7"/>
          <w:rFonts w:hint="eastAsia"/>
          <w:color w:val="auto"/>
        </w:rPr>
        <w:t>www.hunan-bank.com</w:t>
      </w:r>
      <w:r>
        <w:rPr>
          <w:rFonts w:ascii="宋体" w:hAnsi="宋体" w:cs="宋体" w:hint="eastAsia"/>
          <w:kern w:val="0"/>
          <w:szCs w:val="21"/>
        </w:rPr>
        <w:t>）或相关营业网点发布相关信息。客户如不同意补充或修改后的《理财产品说明书》，可根据湖南银行的通知或公告在调整日之前提前赎回本理财产品，客户认购本金和收益将在提前赎回日后</w:t>
      </w:r>
      <w:r>
        <w:rPr>
          <w:rFonts w:ascii="宋体" w:hAnsi="宋体" w:cs="宋体" w:hint="eastAsia"/>
          <w:kern w:val="0"/>
          <w:szCs w:val="21"/>
        </w:rPr>
        <w:t>2</w:t>
      </w:r>
      <w:r>
        <w:rPr>
          <w:rFonts w:ascii="宋体" w:hAnsi="宋体" w:cs="宋体" w:hint="eastAsia"/>
          <w:kern w:val="0"/>
          <w:szCs w:val="21"/>
        </w:rPr>
        <w:t>个工作日内根据实际情况一次性支付。</w:t>
      </w:r>
    </w:p>
    <w:p w:rsidR="009643E4" w:rsidRDefault="00D26BB4">
      <w:pPr>
        <w:widowControl/>
        <w:spacing w:line="360" w:lineRule="exact"/>
        <w:ind w:left="-2" w:rightChars="15" w:right="31" w:firstLineChars="200" w:firstLine="420"/>
        <w:rPr>
          <w:rFonts w:ascii="宋体" w:hAnsi="宋体" w:cs="宋体"/>
          <w:kern w:val="0"/>
          <w:szCs w:val="21"/>
        </w:rPr>
      </w:pPr>
      <w:r>
        <w:rPr>
          <w:rFonts w:ascii="宋体" w:hAnsi="宋体" w:hint="eastAsia"/>
          <w:szCs w:val="21"/>
        </w:rPr>
        <w:t>在本产品存续期内，如出于维持本产品正常运营的需要且在</w:t>
      </w:r>
      <w:proofErr w:type="gramStart"/>
      <w:r>
        <w:rPr>
          <w:rFonts w:ascii="宋体" w:hAnsi="宋体" w:hint="eastAsia"/>
          <w:szCs w:val="21"/>
        </w:rPr>
        <w:t>不</w:t>
      </w:r>
      <w:proofErr w:type="gramEnd"/>
      <w:r>
        <w:rPr>
          <w:rFonts w:ascii="宋体" w:hAnsi="宋体" w:hint="eastAsia"/>
          <w:szCs w:val="21"/>
        </w:rPr>
        <w:t>实质损害投资者利益的前提下，或因国家法律法规、监管规定发生变化，管理人有权在法律法规、监管规定允许的范围内单方对本合同进行修订。管理人决定对本合同进行修订的，将提前两个工作日以本《理</w:t>
      </w:r>
      <w:r>
        <w:rPr>
          <w:rFonts w:ascii="宋体" w:hAnsi="宋体" w:hint="eastAsia"/>
          <w:szCs w:val="21"/>
        </w:rPr>
        <w:t>财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等，但因国家法律法规、监管规定发生变化导致的除外），客户如不同意补充或修改后的说明书，可在管理人公告的补充或修改后的相关业务调整生效前赎回本理财产品（此种情况下理财产品将开放特殊赎回期间，具体届时以我行公告为准），</w:t>
      </w:r>
      <w:r>
        <w:rPr>
          <w:rFonts w:ascii="宋体" w:hAnsi="宋体" w:hint="eastAsia"/>
          <w:b/>
          <w:bCs/>
          <w:szCs w:val="21"/>
        </w:rPr>
        <w:t>逾期未赎回的视为投资者书面同意相关调整并继续持有本理财产</w:t>
      </w:r>
      <w:r>
        <w:rPr>
          <w:rFonts w:ascii="宋体" w:hAnsi="宋体" w:hint="eastAsia"/>
          <w:b/>
          <w:bCs/>
          <w:szCs w:val="21"/>
        </w:rPr>
        <w:t>品。</w:t>
      </w:r>
    </w:p>
    <w:p w:rsidR="009643E4" w:rsidRDefault="00D26BB4">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在发生涉及理财产品认购事项的调整时，产品管理人将按照监管规定及理财产品销售文件约定发布临时公告。</w:t>
      </w:r>
    </w:p>
    <w:p w:rsidR="009643E4" w:rsidRDefault="00D26BB4">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4</w:t>
      </w:r>
      <w:r>
        <w:rPr>
          <w:rFonts w:ascii="宋体" w:hAnsi="宋体" w:cs="宋体" w:hint="eastAsia"/>
          <w:b/>
          <w:kern w:val="0"/>
          <w:szCs w:val="21"/>
        </w:rPr>
        <w:t>.</w:t>
      </w:r>
      <w:r>
        <w:rPr>
          <w:rFonts w:ascii="宋体" w:hAnsi="宋体" w:cs="宋体" w:hint="eastAsia"/>
          <w:b/>
          <w:kern w:val="0"/>
          <w:szCs w:val="21"/>
        </w:rPr>
        <w:t>理财产品重大事项公告</w:t>
      </w:r>
    </w:p>
    <w:p w:rsidR="009643E4" w:rsidRDefault="00D26BB4">
      <w:pPr>
        <w:widowControl/>
        <w:spacing w:line="360" w:lineRule="exact"/>
        <w:ind w:left="-2" w:rightChars="15" w:right="31" w:firstLineChars="200" w:firstLine="420"/>
        <w:rPr>
          <w:rFonts w:ascii="宋体" w:hAnsi="宋体" w:cs="宋体"/>
          <w:b/>
          <w:kern w:val="0"/>
          <w:szCs w:val="21"/>
        </w:rPr>
      </w:pPr>
      <w:r>
        <w:rPr>
          <w:rFonts w:ascii="宋体" w:hAnsi="宋体" w:cs="宋体" w:hint="eastAsia"/>
          <w:bCs/>
          <w:kern w:val="0"/>
          <w:szCs w:val="21"/>
        </w:rPr>
        <w:t>理财产品存续期间，如果发生管理人认为可能影响产品运作的重大不利事项时，包括但不限于未按照本《产品说明书》约定分配收益；理财产品所投资产出现重大损失；市场发生重大变化、投资的资产质量发生重大变化或者其它可能对投资者权益产生重大影响的突发事件等经管理人判断对理财投资价值有实质性影响的重大事件，管理人将在</w:t>
      </w:r>
      <w:r>
        <w:rPr>
          <w:rFonts w:ascii="宋体" w:hAnsi="宋体" w:cs="宋体" w:hint="eastAsia"/>
          <w:bCs/>
          <w:kern w:val="0"/>
          <w:szCs w:val="21"/>
        </w:rPr>
        <w:t xml:space="preserve"> 2 </w:t>
      </w:r>
      <w:proofErr w:type="gramStart"/>
      <w:r>
        <w:rPr>
          <w:rFonts w:ascii="宋体" w:hAnsi="宋体" w:cs="宋体" w:hint="eastAsia"/>
          <w:bCs/>
          <w:kern w:val="0"/>
          <w:szCs w:val="21"/>
        </w:rPr>
        <w:t>个</w:t>
      </w:r>
      <w:proofErr w:type="gramEnd"/>
      <w:r>
        <w:rPr>
          <w:rFonts w:ascii="宋体" w:hAnsi="宋体" w:cs="宋体" w:hint="eastAsia"/>
          <w:bCs/>
          <w:kern w:val="0"/>
          <w:szCs w:val="21"/>
        </w:rPr>
        <w:t>工作日内通过约定的信息披露渠道以一种或多种方式向投资者披露相关信息。</w:t>
      </w:r>
    </w:p>
    <w:p w:rsidR="009643E4" w:rsidRDefault="00D26BB4">
      <w:pPr>
        <w:widowControl/>
        <w:spacing w:line="360" w:lineRule="exact"/>
        <w:ind w:left="-2" w:rightChars="15" w:right="31" w:firstLineChars="200" w:firstLine="422"/>
        <w:rPr>
          <w:rFonts w:ascii="宋体" w:hAnsi="宋体" w:cs="宋体"/>
          <w:b/>
          <w:kern w:val="0"/>
          <w:szCs w:val="21"/>
        </w:rPr>
      </w:pPr>
      <w:r>
        <w:rPr>
          <w:rFonts w:ascii="宋体" w:hAnsi="宋体" w:cs="宋体" w:hint="eastAsia"/>
          <w:b/>
          <w:kern w:val="0"/>
          <w:szCs w:val="21"/>
        </w:rPr>
        <w:t>5.</w:t>
      </w:r>
      <w:r>
        <w:rPr>
          <w:rFonts w:ascii="宋体" w:hAnsi="宋体" w:cs="宋体" w:hint="eastAsia"/>
          <w:b/>
          <w:kern w:val="0"/>
          <w:szCs w:val="21"/>
        </w:rPr>
        <w:t>理财产品到期公告</w:t>
      </w:r>
    </w:p>
    <w:p w:rsidR="009643E4" w:rsidRDefault="00D26BB4">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本产品到期给付本金及收益，</w:t>
      </w:r>
      <w:r>
        <w:rPr>
          <w:rFonts w:ascii="宋体" w:hAnsi="宋体" w:cs="宋体" w:hint="eastAsia"/>
          <w:szCs w:val="21"/>
        </w:rPr>
        <w:t>产品管理人</w:t>
      </w:r>
      <w:r>
        <w:rPr>
          <w:rFonts w:ascii="宋体" w:hAnsi="宋体" w:cs="宋体" w:hint="eastAsia"/>
          <w:kern w:val="0"/>
          <w:szCs w:val="21"/>
        </w:rPr>
        <w:t>将在本《理财产品说明书》约定到期日或提前终止实际到期日后</w:t>
      </w:r>
      <w:r>
        <w:rPr>
          <w:rFonts w:ascii="宋体" w:hAnsi="宋体" w:cs="宋体" w:hint="eastAsia"/>
          <w:kern w:val="0"/>
          <w:szCs w:val="21"/>
        </w:rPr>
        <w:t>5</w:t>
      </w:r>
      <w:r>
        <w:rPr>
          <w:rFonts w:ascii="宋体" w:hAnsi="宋体" w:cs="宋体" w:hint="eastAsia"/>
          <w:kern w:val="0"/>
          <w:szCs w:val="21"/>
        </w:rPr>
        <w:t>个工作日内，向投资者发布相关信息公告。</w:t>
      </w:r>
    </w:p>
    <w:p w:rsidR="009643E4" w:rsidRDefault="00D26BB4">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如</w:t>
      </w:r>
      <w:r>
        <w:rPr>
          <w:rFonts w:ascii="宋体" w:hAnsi="宋体" w:cs="宋体" w:hint="eastAsia"/>
          <w:szCs w:val="21"/>
        </w:rPr>
        <w:t>产品管理人</w:t>
      </w:r>
      <w:r>
        <w:rPr>
          <w:rFonts w:ascii="宋体" w:hAnsi="宋体" w:cs="宋体" w:hint="eastAsia"/>
          <w:kern w:val="0"/>
          <w:szCs w:val="21"/>
        </w:rPr>
        <w:t>决定提前终止本产品，将于终止日前</w:t>
      </w:r>
      <w:r>
        <w:rPr>
          <w:rFonts w:ascii="宋体" w:hAnsi="宋体" w:cs="宋体" w:hint="eastAsia"/>
          <w:kern w:val="0"/>
          <w:szCs w:val="21"/>
        </w:rPr>
        <w:t>2</w:t>
      </w:r>
      <w:r>
        <w:rPr>
          <w:rFonts w:ascii="宋体" w:hAnsi="宋体" w:cs="宋体" w:hint="eastAsia"/>
          <w:kern w:val="0"/>
          <w:szCs w:val="21"/>
        </w:rPr>
        <w:t>个工作日，向投资者发布相关信息公告。</w:t>
      </w:r>
    </w:p>
    <w:p w:rsidR="009643E4" w:rsidRDefault="00D26BB4">
      <w:pPr>
        <w:spacing w:line="360" w:lineRule="exact"/>
        <w:ind w:firstLineChars="200" w:firstLine="420"/>
      </w:pPr>
      <w:r>
        <w:rPr>
          <w:rFonts w:ascii="宋体" w:hAnsi="宋体" w:cs="宋体" w:hint="eastAsia"/>
          <w:kern w:val="0"/>
          <w:szCs w:val="21"/>
        </w:rPr>
        <w:t>如本产品需延期清算</w:t>
      </w:r>
      <w:r>
        <w:rPr>
          <w:rFonts w:ascii="宋体" w:hAnsi="宋体" w:cs="宋体" w:hint="eastAsia"/>
          <w:kern w:val="0"/>
          <w:szCs w:val="21"/>
        </w:rPr>
        <w:t>,</w:t>
      </w:r>
      <w:r>
        <w:rPr>
          <w:rFonts w:ascii="宋体" w:hAnsi="宋体" w:cs="宋体" w:hint="eastAsia"/>
          <w:szCs w:val="21"/>
        </w:rPr>
        <w:t>产品管理人</w:t>
      </w:r>
      <w:r>
        <w:rPr>
          <w:rFonts w:ascii="宋体" w:hAnsi="宋体" w:cs="宋体" w:hint="eastAsia"/>
          <w:kern w:val="0"/>
          <w:szCs w:val="21"/>
        </w:rPr>
        <w:t>将于到期日前</w:t>
      </w:r>
      <w:r>
        <w:rPr>
          <w:rFonts w:ascii="宋体" w:hAnsi="宋体" w:cs="宋体" w:hint="eastAsia"/>
          <w:kern w:val="0"/>
          <w:szCs w:val="21"/>
        </w:rPr>
        <w:t>1</w:t>
      </w:r>
      <w:r>
        <w:rPr>
          <w:rFonts w:ascii="宋体" w:hAnsi="宋体" w:cs="宋体" w:hint="eastAsia"/>
          <w:kern w:val="0"/>
          <w:szCs w:val="21"/>
        </w:rPr>
        <w:t>个工作日，向投资者发布相关信息公告。</w:t>
      </w:r>
    </w:p>
    <w:tbl>
      <w:tblPr>
        <w:tblpPr w:leftFromText="180" w:rightFromText="180" w:vertAnchor="text" w:horzAnchor="margin" w:tblpY="733"/>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34"/>
      </w:tblGrid>
      <w:tr w:rsidR="009643E4">
        <w:trPr>
          <w:trHeight w:val="209"/>
        </w:trPr>
        <w:tc>
          <w:tcPr>
            <w:tcW w:w="10320" w:type="dxa"/>
            <w:gridSpan w:val="2"/>
            <w:tcBorders>
              <w:top w:val="single" w:sz="4" w:space="0" w:color="auto"/>
              <w:left w:val="single" w:sz="4" w:space="0" w:color="auto"/>
              <w:bottom w:val="single" w:sz="4" w:space="0" w:color="auto"/>
              <w:right w:val="single" w:sz="4" w:space="0" w:color="auto"/>
            </w:tcBorders>
          </w:tcPr>
          <w:p w:rsidR="009643E4" w:rsidRDefault="00D26BB4">
            <w:pPr>
              <w:spacing w:line="360" w:lineRule="exact"/>
              <w:ind w:right="420"/>
              <w:rPr>
                <w:rFonts w:ascii="宋体" w:hAnsi="宋体" w:cs="宋体"/>
                <w:szCs w:val="21"/>
              </w:rPr>
            </w:pPr>
            <w:r>
              <w:rPr>
                <w:rFonts w:ascii="宋体" w:hAnsi="宋体" w:cs="宋体" w:hint="eastAsia"/>
                <w:b/>
                <w:szCs w:val="21"/>
              </w:rPr>
              <w:t>客户确认</w:t>
            </w:r>
            <w:r>
              <w:rPr>
                <w:rFonts w:ascii="宋体" w:hAnsi="宋体" w:cs="宋体" w:hint="eastAsia"/>
                <w:szCs w:val="21"/>
              </w:rPr>
              <w:t>：客户已阅读本《理财产品说明书》，清楚了解并知悉本产品的基本情况尤其是</w:t>
            </w:r>
            <w:r>
              <w:rPr>
                <w:rFonts w:ascii="宋体" w:hAnsi="宋体" w:cs="宋体" w:hint="eastAsia"/>
                <w:szCs w:val="21"/>
              </w:rPr>
              <w:t>认购</w:t>
            </w:r>
            <w:r>
              <w:rPr>
                <w:rFonts w:ascii="宋体" w:hAnsi="宋体" w:cs="宋体" w:hint="eastAsia"/>
                <w:szCs w:val="21"/>
              </w:rPr>
              <w:t>资金投资、理财收益、产品费用及特别提示等内容，已不存在任何疑问或异议。</w:t>
            </w:r>
          </w:p>
        </w:tc>
      </w:tr>
      <w:tr w:rsidR="009643E4">
        <w:trPr>
          <w:trHeight w:val="752"/>
        </w:trPr>
        <w:tc>
          <w:tcPr>
            <w:tcW w:w="4786" w:type="dxa"/>
            <w:vMerge w:val="restart"/>
            <w:tcBorders>
              <w:top w:val="single" w:sz="4" w:space="0" w:color="auto"/>
              <w:left w:val="single" w:sz="4" w:space="0" w:color="auto"/>
              <w:right w:val="single" w:sz="4" w:space="0" w:color="auto"/>
            </w:tcBorders>
          </w:tcPr>
          <w:p w:rsidR="009643E4" w:rsidRDefault="00D26BB4">
            <w:pPr>
              <w:spacing w:line="360" w:lineRule="exact"/>
              <w:ind w:right="420"/>
              <w:rPr>
                <w:rFonts w:ascii="宋体" w:hAnsi="宋体" w:cs="宋体"/>
                <w:szCs w:val="21"/>
              </w:rPr>
            </w:pPr>
            <w:r>
              <w:rPr>
                <w:rFonts w:ascii="宋体" w:hAnsi="宋体" w:cs="宋体" w:hint="eastAsia"/>
                <w:szCs w:val="21"/>
              </w:rPr>
              <w:t>客户类别（由理财经理填写）：</w:t>
            </w:r>
          </w:p>
          <w:p w:rsidR="009643E4" w:rsidRDefault="00D26BB4">
            <w:pPr>
              <w:spacing w:line="360" w:lineRule="exact"/>
              <w:ind w:right="420"/>
              <w:rPr>
                <w:rFonts w:ascii="宋体" w:hAnsi="宋体" w:cs="宋体"/>
                <w:szCs w:val="21"/>
              </w:rPr>
            </w:pPr>
            <w:r>
              <w:rPr>
                <w:rFonts w:ascii="宋体" w:hAnsi="宋体" w:cs="宋体" w:hint="eastAsia"/>
                <w:szCs w:val="21"/>
              </w:rPr>
              <w:t>□不特定社会公众</w:t>
            </w:r>
            <w:r>
              <w:rPr>
                <w:rFonts w:ascii="宋体" w:hAnsi="宋体" w:cs="宋体" w:hint="eastAsia"/>
                <w:szCs w:val="21"/>
              </w:rPr>
              <w:t xml:space="preserve">   </w:t>
            </w:r>
            <w:r>
              <w:rPr>
                <w:rFonts w:ascii="宋体" w:hAnsi="宋体" w:cs="宋体" w:hint="eastAsia"/>
                <w:szCs w:val="21"/>
              </w:rPr>
              <w:t>□合格投资者</w:t>
            </w:r>
            <w:r>
              <w:rPr>
                <w:rFonts w:ascii="宋体" w:hAnsi="宋体" w:cs="宋体" w:hint="eastAsia"/>
                <w:szCs w:val="21"/>
              </w:rPr>
              <w:t xml:space="preserve">  </w:t>
            </w:r>
          </w:p>
        </w:tc>
        <w:tc>
          <w:tcPr>
            <w:tcW w:w="5534" w:type="dxa"/>
            <w:tcBorders>
              <w:top w:val="single" w:sz="4" w:space="0" w:color="auto"/>
              <w:left w:val="single" w:sz="4" w:space="0" w:color="auto"/>
              <w:bottom w:val="single" w:sz="4" w:space="0" w:color="auto"/>
              <w:right w:val="single" w:sz="4" w:space="0" w:color="auto"/>
            </w:tcBorders>
          </w:tcPr>
          <w:p w:rsidR="009643E4" w:rsidRDefault="00D26BB4">
            <w:pPr>
              <w:spacing w:line="360" w:lineRule="exact"/>
              <w:ind w:right="420"/>
              <w:rPr>
                <w:rFonts w:ascii="宋体" w:hAnsi="宋体" w:cs="宋体"/>
                <w:b/>
                <w:szCs w:val="21"/>
              </w:rPr>
            </w:pPr>
            <w:r>
              <w:rPr>
                <w:rFonts w:ascii="宋体" w:hAnsi="宋体" w:cs="宋体" w:hint="eastAsia"/>
                <w:b/>
                <w:szCs w:val="21"/>
              </w:rPr>
              <w:t>个人客户栏：</w:t>
            </w:r>
          </w:p>
          <w:p w:rsidR="009643E4" w:rsidRDefault="00D26BB4">
            <w:pPr>
              <w:spacing w:line="360" w:lineRule="exact"/>
              <w:ind w:right="420"/>
              <w:rPr>
                <w:rFonts w:ascii="宋体" w:hAnsi="宋体" w:cs="宋体"/>
                <w:szCs w:val="21"/>
              </w:rPr>
            </w:pPr>
            <w:r>
              <w:rPr>
                <w:rFonts w:ascii="宋体" w:hAnsi="宋体" w:cs="宋体" w:hint="eastAsia"/>
                <w:szCs w:val="21"/>
              </w:rPr>
              <w:t>投资者（客户）签名：</w:t>
            </w:r>
          </w:p>
          <w:p w:rsidR="009643E4" w:rsidRDefault="009643E4">
            <w:pPr>
              <w:spacing w:line="360" w:lineRule="exact"/>
              <w:ind w:right="420"/>
              <w:rPr>
                <w:rFonts w:ascii="宋体" w:hAnsi="宋体" w:cs="宋体"/>
                <w:szCs w:val="21"/>
              </w:rPr>
            </w:pPr>
          </w:p>
          <w:p w:rsidR="009643E4" w:rsidRDefault="009643E4">
            <w:pPr>
              <w:spacing w:line="360" w:lineRule="exact"/>
              <w:ind w:right="420"/>
              <w:rPr>
                <w:rFonts w:ascii="宋体" w:hAnsi="宋体" w:cs="宋体"/>
                <w:szCs w:val="21"/>
              </w:rPr>
            </w:pPr>
          </w:p>
          <w:p w:rsidR="009643E4" w:rsidRDefault="009643E4">
            <w:pPr>
              <w:spacing w:line="360" w:lineRule="exact"/>
              <w:ind w:right="420"/>
              <w:rPr>
                <w:rFonts w:ascii="宋体" w:hAnsi="宋体" w:cs="宋体"/>
                <w:szCs w:val="21"/>
              </w:rPr>
            </w:pPr>
          </w:p>
          <w:p w:rsidR="009643E4" w:rsidRDefault="00D26BB4">
            <w:pPr>
              <w:spacing w:line="360" w:lineRule="exact"/>
              <w:ind w:right="420"/>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9643E4">
        <w:trPr>
          <w:trHeight w:val="751"/>
        </w:trPr>
        <w:tc>
          <w:tcPr>
            <w:tcW w:w="4786" w:type="dxa"/>
            <w:vMerge/>
            <w:tcBorders>
              <w:left w:val="single" w:sz="4" w:space="0" w:color="auto"/>
              <w:bottom w:val="single" w:sz="4" w:space="0" w:color="auto"/>
              <w:right w:val="single" w:sz="4" w:space="0" w:color="auto"/>
            </w:tcBorders>
          </w:tcPr>
          <w:p w:rsidR="009643E4" w:rsidRDefault="009643E4">
            <w:pPr>
              <w:spacing w:line="360" w:lineRule="exact"/>
              <w:ind w:right="420"/>
              <w:rPr>
                <w:rFonts w:ascii="宋体" w:hAnsi="宋体" w:cs="宋体"/>
                <w:szCs w:val="21"/>
              </w:rPr>
            </w:pPr>
          </w:p>
        </w:tc>
        <w:tc>
          <w:tcPr>
            <w:tcW w:w="5534" w:type="dxa"/>
            <w:tcBorders>
              <w:top w:val="single" w:sz="4" w:space="0" w:color="auto"/>
              <w:left w:val="single" w:sz="4" w:space="0" w:color="auto"/>
              <w:bottom w:val="single" w:sz="4" w:space="0" w:color="auto"/>
              <w:right w:val="single" w:sz="4" w:space="0" w:color="auto"/>
            </w:tcBorders>
          </w:tcPr>
          <w:p w:rsidR="009643E4" w:rsidRDefault="00D26BB4">
            <w:pPr>
              <w:spacing w:line="360" w:lineRule="exact"/>
              <w:ind w:right="420"/>
              <w:rPr>
                <w:rFonts w:ascii="宋体" w:hAnsi="宋体" w:cs="宋体"/>
                <w:b/>
                <w:szCs w:val="21"/>
              </w:rPr>
            </w:pPr>
            <w:r>
              <w:rPr>
                <w:rFonts w:ascii="宋体" w:hAnsi="宋体" w:cs="宋体" w:hint="eastAsia"/>
                <w:b/>
                <w:szCs w:val="21"/>
              </w:rPr>
              <w:t>机构客户栏：</w:t>
            </w:r>
          </w:p>
          <w:p w:rsidR="009643E4" w:rsidRDefault="00D26BB4">
            <w:pPr>
              <w:spacing w:line="360" w:lineRule="exact"/>
              <w:ind w:right="420"/>
              <w:rPr>
                <w:rFonts w:ascii="宋体" w:hAnsi="宋体" w:cs="宋体"/>
                <w:szCs w:val="21"/>
              </w:rPr>
            </w:pPr>
            <w:r>
              <w:rPr>
                <w:rFonts w:ascii="宋体" w:hAnsi="宋体" w:cs="宋体" w:hint="eastAsia"/>
                <w:szCs w:val="21"/>
              </w:rPr>
              <w:t>投资者（客户）盖公章：</w:t>
            </w:r>
          </w:p>
          <w:p w:rsidR="009643E4" w:rsidRDefault="009643E4">
            <w:pPr>
              <w:spacing w:line="360" w:lineRule="exact"/>
              <w:ind w:right="420"/>
              <w:rPr>
                <w:rFonts w:ascii="宋体" w:hAnsi="宋体" w:cs="宋体"/>
                <w:szCs w:val="21"/>
              </w:rPr>
            </w:pPr>
          </w:p>
          <w:p w:rsidR="009643E4" w:rsidRDefault="009643E4">
            <w:pPr>
              <w:spacing w:line="360" w:lineRule="exact"/>
              <w:ind w:right="420"/>
              <w:rPr>
                <w:rFonts w:ascii="宋体" w:hAnsi="宋体" w:cs="宋体"/>
                <w:szCs w:val="21"/>
              </w:rPr>
            </w:pPr>
          </w:p>
          <w:p w:rsidR="009643E4" w:rsidRDefault="00D26BB4">
            <w:pPr>
              <w:spacing w:line="360" w:lineRule="exact"/>
              <w:ind w:right="420"/>
              <w:rPr>
                <w:rFonts w:ascii="宋体" w:hAnsi="宋体" w:cs="宋体"/>
                <w:szCs w:val="21"/>
              </w:rPr>
            </w:pPr>
            <w:r>
              <w:rPr>
                <w:rFonts w:ascii="宋体" w:hAnsi="宋体" w:cs="宋体" w:hint="eastAsia"/>
                <w:szCs w:val="21"/>
              </w:rPr>
              <w:t>法定代表人或委托代理人签字：</w:t>
            </w:r>
          </w:p>
          <w:p w:rsidR="009643E4" w:rsidRDefault="009643E4">
            <w:pPr>
              <w:spacing w:line="360" w:lineRule="exact"/>
              <w:ind w:right="420"/>
              <w:rPr>
                <w:rFonts w:ascii="宋体" w:hAnsi="宋体" w:cs="宋体"/>
                <w:szCs w:val="21"/>
              </w:rPr>
            </w:pPr>
          </w:p>
          <w:p w:rsidR="009643E4" w:rsidRDefault="00D26BB4">
            <w:pPr>
              <w:spacing w:line="360" w:lineRule="exact"/>
              <w:ind w:right="420"/>
              <w:rPr>
                <w:rFonts w:ascii="宋体" w:hAnsi="宋体" w:cs="宋体"/>
                <w:b/>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bl>
    <w:p w:rsidR="009643E4" w:rsidRDefault="009643E4">
      <w:pPr>
        <w:spacing w:line="360" w:lineRule="atLeast"/>
        <w:ind w:firstLineChars="200" w:firstLine="420"/>
      </w:pPr>
    </w:p>
    <w:p w:rsidR="009643E4" w:rsidRDefault="009643E4"/>
    <w:sectPr w:rsidR="009643E4">
      <w:type w:val="continuous"/>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BB4" w:rsidRDefault="00D26BB4" w:rsidP="00A82636">
      <w:r>
        <w:separator/>
      </w:r>
    </w:p>
  </w:endnote>
  <w:endnote w:type="continuationSeparator" w:id="0">
    <w:p w:rsidR="00D26BB4" w:rsidRDefault="00D26BB4" w:rsidP="00A8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BB4" w:rsidRDefault="00D26BB4" w:rsidP="00A82636">
      <w:r>
        <w:separator/>
      </w:r>
    </w:p>
  </w:footnote>
  <w:footnote w:type="continuationSeparator" w:id="0">
    <w:p w:rsidR="00D26BB4" w:rsidRDefault="00D26BB4" w:rsidP="00A82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51"/>
    <w:rsid w:val="000C780D"/>
    <w:rsid w:val="00341E68"/>
    <w:rsid w:val="00374F9F"/>
    <w:rsid w:val="005D7C0C"/>
    <w:rsid w:val="00854DE8"/>
    <w:rsid w:val="00883CE7"/>
    <w:rsid w:val="008D2F51"/>
    <w:rsid w:val="008E071C"/>
    <w:rsid w:val="009643E4"/>
    <w:rsid w:val="009718FD"/>
    <w:rsid w:val="00983A00"/>
    <w:rsid w:val="00A02753"/>
    <w:rsid w:val="00A82636"/>
    <w:rsid w:val="00B152B7"/>
    <w:rsid w:val="00D21292"/>
    <w:rsid w:val="00D26BB4"/>
    <w:rsid w:val="00E753D9"/>
    <w:rsid w:val="01081B3E"/>
    <w:rsid w:val="01140643"/>
    <w:rsid w:val="015654C1"/>
    <w:rsid w:val="01EE47BC"/>
    <w:rsid w:val="037709BE"/>
    <w:rsid w:val="03970EF3"/>
    <w:rsid w:val="053B1213"/>
    <w:rsid w:val="05D32A1C"/>
    <w:rsid w:val="06743A25"/>
    <w:rsid w:val="06890D40"/>
    <w:rsid w:val="078E5270"/>
    <w:rsid w:val="08EE6CBF"/>
    <w:rsid w:val="0BBA767F"/>
    <w:rsid w:val="0BC25FDA"/>
    <w:rsid w:val="0CEB6D41"/>
    <w:rsid w:val="0D257E20"/>
    <w:rsid w:val="0DF471F4"/>
    <w:rsid w:val="0E0C6E19"/>
    <w:rsid w:val="0E1203B5"/>
    <w:rsid w:val="0E2322C1"/>
    <w:rsid w:val="0EEC778C"/>
    <w:rsid w:val="0F4D2CA8"/>
    <w:rsid w:val="0FD61908"/>
    <w:rsid w:val="10393A4B"/>
    <w:rsid w:val="114B7377"/>
    <w:rsid w:val="114D3A73"/>
    <w:rsid w:val="11A006C8"/>
    <w:rsid w:val="11D4394C"/>
    <w:rsid w:val="123816A1"/>
    <w:rsid w:val="134F44BD"/>
    <w:rsid w:val="13DB629F"/>
    <w:rsid w:val="145246A6"/>
    <w:rsid w:val="14F45A07"/>
    <w:rsid w:val="152619DE"/>
    <w:rsid w:val="15C6316A"/>
    <w:rsid w:val="15D259A9"/>
    <w:rsid w:val="16833FFF"/>
    <w:rsid w:val="17D363F8"/>
    <w:rsid w:val="180D0283"/>
    <w:rsid w:val="1935295C"/>
    <w:rsid w:val="1A690088"/>
    <w:rsid w:val="1A92644B"/>
    <w:rsid w:val="1B193EA5"/>
    <w:rsid w:val="1B65127F"/>
    <w:rsid w:val="1B7E21A9"/>
    <w:rsid w:val="1D9D29C5"/>
    <w:rsid w:val="20604E6B"/>
    <w:rsid w:val="21536DBC"/>
    <w:rsid w:val="21A458C1"/>
    <w:rsid w:val="22811A2C"/>
    <w:rsid w:val="23620D1A"/>
    <w:rsid w:val="24346E74"/>
    <w:rsid w:val="25B76FF0"/>
    <w:rsid w:val="267A1062"/>
    <w:rsid w:val="27377E01"/>
    <w:rsid w:val="277C0C48"/>
    <w:rsid w:val="280433E6"/>
    <w:rsid w:val="294F5552"/>
    <w:rsid w:val="29502FD4"/>
    <w:rsid w:val="2A2E4BC0"/>
    <w:rsid w:val="2B162D28"/>
    <w:rsid w:val="2B5A212F"/>
    <w:rsid w:val="2BA647AD"/>
    <w:rsid w:val="2BAB0C35"/>
    <w:rsid w:val="2CCA1765"/>
    <w:rsid w:val="2CF7260B"/>
    <w:rsid w:val="2DDB0EC9"/>
    <w:rsid w:val="2F3017FB"/>
    <w:rsid w:val="2FBC28E4"/>
    <w:rsid w:val="2FC82895"/>
    <w:rsid w:val="30B377D6"/>
    <w:rsid w:val="31200D24"/>
    <w:rsid w:val="31A671A5"/>
    <w:rsid w:val="31BB4D3B"/>
    <w:rsid w:val="32EF7C1D"/>
    <w:rsid w:val="36C7606F"/>
    <w:rsid w:val="37B90E7A"/>
    <w:rsid w:val="38EB6A6B"/>
    <w:rsid w:val="395C5CA8"/>
    <w:rsid w:val="3B984845"/>
    <w:rsid w:val="3C7957BA"/>
    <w:rsid w:val="3D4424C8"/>
    <w:rsid w:val="3D6200C1"/>
    <w:rsid w:val="419868AD"/>
    <w:rsid w:val="422B5A9B"/>
    <w:rsid w:val="42C07614"/>
    <w:rsid w:val="430123EF"/>
    <w:rsid w:val="432A1241"/>
    <w:rsid w:val="432B1AFF"/>
    <w:rsid w:val="435B5696"/>
    <w:rsid w:val="4391099B"/>
    <w:rsid w:val="4431169D"/>
    <w:rsid w:val="44DE2C50"/>
    <w:rsid w:val="452143B1"/>
    <w:rsid w:val="458A364D"/>
    <w:rsid w:val="45EF19CA"/>
    <w:rsid w:val="472E322D"/>
    <w:rsid w:val="48A956B7"/>
    <w:rsid w:val="49787CE2"/>
    <w:rsid w:val="49D302DE"/>
    <w:rsid w:val="4B9A1F15"/>
    <w:rsid w:val="4BF06BEA"/>
    <w:rsid w:val="4F4E7DA7"/>
    <w:rsid w:val="4F726BDC"/>
    <w:rsid w:val="50D64FD6"/>
    <w:rsid w:val="51846ACD"/>
    <w:rsid w:val="53C27326"/>
    <w:rsid w:val="53DC46A3"/>
    <w:rsid w:val="54BE32BA"/>
    <w:rsid w:val="57511C1E"/>
    <w:rsid w:val="57844525"/>
    <w:rsid w:val="587B15C6"/>
    <w:rsid w:val="5A6A0E67"/>
    <w:rsid w:val="5AAA3A4D"/>
    <w:rsid w:val="5C12599F"/>
    <w:rsid w:val="5D100641"/>
    <w:rsid w:val="5D793BEB"/>
    <w:rsid w:val="5DA60BA7"/>
    <w:rsid w:val="5F141414"/>
    <w:rsid w:val="5FE46263"/>
    <w:rsid w:val="60B37BB5"/>
    <w:rsid w:val="616B1562"/>
    <w:rsid w:val="61B326EC"/>
    <w:rsid w:val="61DB091C"/>
    <w:rsid w:val="64966CE0"/>
    <w:rsid w:val="65757626"/>
    <w:rsid w:val="67896569"/>
    <w:rsid w:val="694036BC"/>
    <w:rsid w:val="69480852"/>
    <w:rsid w:val="69CB581E"/>
    <w:rsid w:val="6C4D7ABB"/>
    <w:rsid w:val="6C822514"/>
    <w:rsid w:val="6DFF1D88"/>
    <w:rsid w:val="6E7B48EA"/>
    <w:rsid w:val="6F080FB9"/>
    <w:rsid w:val="70DE1770"/>
    <w:rsid w:val="7232276A"/>
    <w:rsid w:val="726B0346"/>
    <w:rsid w:val="731474DA"/>
    <w:rsid w:val="74450ED1"/>
    <w:rsid w:val="74E63577"/>
    <w:rsid w:val="78271E31"/>
    <w:rsid w:val="79E8078D"/>
    <w:rsid w:val="79FB11CD"/>
    <w:rsid w:val="7A080CC1"/>
    <w:rsid w:val="7CF365EB"/>
    <w:rsid w:val="7DF42531"/>
    <w:rsid w:val="7F2F6A35"/>
    <w:rsid w:val="7FAF1E30"/>
    <w:rsid w:val="7FBE66A4"/>
    <w:rsid w:val="7FCD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rFonts w:cs="Times New Roman"/>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1908</Words>
  <Characters>10882</Characters>
  <Application>Microsoft Office Word</Application>
  <DocSecurity>0</DocSecurity>
  <Lines>90</Lines>
  <Paragraphs>25</Paragraphs>
  <ScaleCrop>false</ScaleCrop>
  <Company>P R C</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华融湘江银行净值型人民币理财产品说明书</dc:title>
  <dc:creator>Windows User</dc:creator>
  <cp:lastModifiedBy>黄一珂</cp:lastModifiedBy>
  <cp:revision>3</cp:revision>
  <dcterms:created xsi:type="dcterms:W3CDTF">2020-10-15T05:53:00Z</dcterms:created>
  <dcterms:modified xsi:type="dcterms:W3CDTF">2026-02-26T08:05:00Z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