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76" w:lineRule="auto"/>
        <w:jc w:val="center"/>
        <w:outlineLvl w:val="0"/>
        <w:rPr>
          <w:rStyle w:val="13"/>
          <w:rFonts w:hint="eastAsia" w:ascii="黑体" w:hAnsi="黑体" w:eastAsia="黑体"/>
          <w:sz w:val="28"/>
          <w:szCs w:val="28"/>
        </w:rPr>
      </w:pPr>
      <w:r>
        <w:rPr>
          <w:rStyle w:val="13"/>
          <w:rFonts w:hint="eastAsia" w:ascii="黑体" w:hAnsi="黑体" w:eastAsia="黑体"/>
          <w:sz w:val="28"/>
          <w:szCs w:val="28"/>
        </w:rPr>
        <w:t>渤银理财理财产品</w:t>
      </w:r>
    </w:p>
    <w:p>
      <w:pPr>
        <w:adjustRightInd w:val="0"/>
        <w:spacing w:line="276" w:lineRule="auto"/>
        <w:jc w:val="center"/>
        <w:outlineLvl w:val="0"/>
        <w:rPr>
          <w:rStyle w:val="13"/>
          <w:rFonts w:hint="eastAsia" w:ascii="黑体" w:hAnsi="黑体" w:eastAsia="黑体"/>
          <w:sz w:val="28"/>
          <w:szCs w:val="28"/>
        </w:rPr>
      </w:pPr>
      <w:r>
        <w:rPr>
          <w:rStyle w:val="13"/>
          <w:rFonts w:hint="eastAsia" w:ascii="黑体" w:hAnsi="黑体" w:eastAsia="黑体"/>
          <w:sz w:val="28"/>
          <w:szCs w:val="28"/>
        </w:rPr>
        <w:t>投资者权益须知</w:t>
      </w:r>
    </w:p>
    <w:p>
      <w:pPr>
        <w:outlineLvl w:val="1"/>
        <w:rPr>
          <w:rFonts w:hint="eastAsia" w:ascii="宋体" w:hAnsi="宋体"/>
          <w:b/>
          <w:sz w:val="18"/>
          <w:szCs w:val="18"/>
        </w:rPr>
      </w:pPr>
      <w:r>
        <w:rPr>
          <w:rFonts w:hint="eastAsia" w:ascii="宋体" w:hAnsi="宋体"/>
          <w:b/>
          <w:sz w:val="18"/>
          <w:szCs w:val="18"/>
        </w:rPr>
        <w:t>尊敬的投资者：</w:t>
      </w:r>
    </w:p>
    <w:p>
      <w:pPr>
        <w:spacing w:line="320" w:lineRule="exact"/>
        <w:ind w:firstLine="360" w:firstLineChars="200"/>
        <w:jc w:val="left"/>
        <w:rPr>
          <w:rFonts w:hint="eastAsia" w:ascii="宋体" w:hAnsi="宋体"/>
          <w:sz w:val="18"/>
          <w:szCs w:val="18"/>
        </w:rPr>
      </w:pPr>
      <w:r>
        <w:rPr>
          <w:rFonts w:hint="eastAsia" w:ascii="宋体" w:hAnsi="宋体"/>
          <w:sz w:val="18"/>
          <w:szCs w:val="18"/>
        </w:rPr>
        <w:t>感谢您通过销售服务机构【</w:t>
      </w:r>
      <w:r>
        <w:rPr>
          <w:rFonts w:hint="eastAsia" w:ascii="宋体" w:hAnsi="宋体"/>
          <w:bCs/>
          <w:sz w:val="18"/>
          <w:szCs w:val="18"/>
        </w:rPr>
        <w:t>湖南银行股份有限公司</w:t>
      </w:r>
      <w:r>
        <w:rPr>
          <w:rFonts w:hint="eastAsia" w:ascii="宋体" w:hAnsi="宋体"/>
          <w:sz w:val="18"/>
          <w:szCs w:val="18"/>
        </w:rPr>
        <w:t>】以(□ 直销：产品管理人销售/</w:t>
      </w:r>
      <w:r>
        <w:rPr>
          <w:rFonts w:hint="eastAsia" w:ascii="宋体" w:hAnsi="宋体"/>
          <w:sz w:val="18"/>
          <w:szCs w:val="18"/>
        </w:rPr>
        <w:sym w:font="Wingdings 2" w:char="0052"/>
      </w:r>
      <w:r>
        <w:rPr>
          <w:rFonts w:hint="eastAsia" w:ascii="宋体" w:hAnsi="宋体"/>
          <w:sz w:val="18"/>
          <w:szCs w:val="18"/>
        </w:rPr>
        <w:t xml:space="preserve">  代销：代理销售服务机构销售)的形式购买渤银理财有限责任公司（以下简称“渤银理财”）作为产品管理人管理的理财产品。【</w:t>
      </w:r>
      <w:r>
        <w:rPr>
          <w:rFonts w:hint="eastAsia" w:ascii="宋体" w:hAnsi="宋体"/>
          <w:bCs/>
          <w:sz w:val="18"/>
          <w:szCs w:val="18"/>
        </w:rPr>
        <w:t>湖南银行股份有限公司</w:t>
      </w:r>
      <w:r>
        <w:rPr>
          <w:rFonts w:hint="eastAsia" w:ascii="宋体" w:hAnsi="宋体"/>
          <w:sz w:val="18"/>
          <w:szCs w:val="18"/>
        </w:rPr>
        <w:t>】作为代理销售服务机构不承担产品的投资和兑付责任。</w:t>
      </w:r>
    </w:p>
    <w:p>
      <w:pPr>
        <w:spacing w:line="320" w:lineRule="exact"/>
        <w:ind w:firstLine="360" w:firstLineChars="200"/>
        <w:jc w:val="left"/>
        <w:rPr>
          <w:rFonts w:hint="eastAsia" w:ascii="宋体" w:hAnsi="宋体"/>
          <w:sz w:val="18"/>
          <w:szCs w:val="18"/>
        </w:rPr>
      </w:pPr>
      <w:r>
        <w:rPr>
          <w:rFonts w:hint="eastAsia" w:ascii="宋体" w:hAnsi="宋体"/>
          <w:sz w:val="18"/>
          <w:szCs w:val="18"/>
        </w:rPr>
        <w:t>请仔细阅读本《投资者权益须知》及</w:t>
      </w:r>
      <w:r>
        <w:rPr>
          <w:rFonts w:ascii="宋体" w:hAnsi="宋体"/>
          <w:sz w:val="18"/>
          <w:szCs w:val="18"/>
        </w:rPr>
        <w:t>《</w:t>
      </w:r>
      <w:r>
        <w:rPr>
          <w:rFonts w:hint="eastAsia" w:ascii="宋体" w:hAnsi="宋体"/>
          <w:sz w:val="18"/>
          <w:szCs w:val="18"/>
        </w:rPr>
        <w:t>投资</w:t>
      </w:r>
      <w:r>
        <w:rPr>
          <w:rFonts w:ascii="宋体" w:hAnsi="宋体"/>
          <w:sz w:val="18"/>
          <w:szCs w:val="18"/>
        </w:rPr>
        <w:t>协议书》、《</w:t>
      </w:r>
      <w:r>
        <w:rPr>
          <w:rFonts w:hint="eastAsia" w:ascii="宋体" w:hAnsi="宋体"/>
          <w:sz w:val="18"/>
          <w:szCs w:val="18"/>
        </w:rPr>
        <w:t>理财</w:t>
      </w:r>
      <w:r>
        <w:rPr>
          <w:rFonts w:ascii="宋体" w:hAnsi="宋体"/>
          <w:sz w:val="18"/>
          <w:szCs w:val="18"/>
        </w:rPr>
        <w:t>产品说明书》、</w:t>
      </w:r>
      <w:r>
        <w:rPr>
          <w:rFonts w:hint="eastAsia" w:ascii="宋体" w:hAnsi="宋体"/>
          <w:sz w:val="18"/>
          <w:szCs w:val="18"/>
        </w:rPr>
        <w:t>《理财产品（代理）销售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w:t>
      </w:r>
      <w:r>
        <w:rPr>
          <w:rFonts w:hint="eastAsia" w:ascii="宋体" w:hAnsi="宋体"/>
          <w:sz w:val="18"/>
          <w:szCs w:val="18"/>
        </w:rPr>
        <w:t>等内容，清楚并了解您投资的理财产品的特点、投资方向、风险收益特征等内容，综合考虑自身的财产与收入状况、投资经验、风险承受能力和投资偏好等，独立作出决策。</w:t>
      </w:r>
      <w:r>
        <w:rPr>
          <w:rFonts w:ascii="宋体" w:hAnsi="宋体"/>
          <w:sz w:val="18"/>
          <w:szCs w:val="18"/>
        </w:rPr>
        <w:t xml:space="preserve"> </w:t>
      </w:r>
    </w:p>
    <w:p>
      <w:pPr>
        <w:ind w:firstLine="360" w:firstLineChars="200"/>
        <w:rPr>
          <w:rFonts w:hint="eastAsia" w:ascii="宋体" w:hAnsi="宋体"/>
          <w:sz w:val="18"/>
          <w:szCs w:val="18"/>
        </w:rPr>
      </w:pPr>
    </w:p>
    <w:p>
      <w:pPr>
        <w:ind w:firstLine="361" w:firstLineChars="200"/>
        <w:outlineLvl w:val="1"/>
        <w:rPr>
          <w:rFonts w:hint="eastAsia" w:ascii="宋体" w:hAnsi="宋体"/>
          <w:b/>
          <w:sz w:val="18"/>
          <w:szCs w:val="18"/>
        </w:rPr>
      </w:pPr>
      <w:r>
        <w:rPr>
          <w:rFonts w:hint="eastAsia" w:ascii="宋体" w:hAnsi="宋体"/>
          <w:b/>
          <w:sz w:val="18"/>
          <w:szCs w:val="18"/>
        </w:rPr>
        <w:t>一、理财产品购买流程</w:t>
      </w:r>
    </w:p>
    <w:p>
      <w:pPr>
        <w:ind w:firstLine="360" w:firstLineChars="200"/>
        <w:rPr>
          <w:rFonts w:hint="eastAsia"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销售服务机构</w:t>
      </w:r>
      <w:r>
        <w:rPr>
          <w:rFonts w:hint="eastAsia" w:ascii="宋体" w:hAnsi="宋体"/>
          <w:sz w:val="18"/>
          <w:szCs w:val="18"/>
          <w:lang w:val="en-US" w:eastAsia="zh-CN"/>
        </w:rPr>
        <w:t>要求的</w:t>
      </w:r>
      <w:bookmarkStart w:id="0" w:name="_GoBack"/>
      <w:bookmarkEnd w:id="0"/>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pPr>
        <w:ind w:firstLine="360" w:firstLineChars="200"/>
        <w:rPr>
          <w:rFonts w:hint="eastAsia"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销售服务机构</w:t>
      </w:r>
      <w:r>
        <w:rPr>
          <w:rFonts w:ascii="宋体" w:hAnsi="宋体"/>
          <w:sz w:val="18"/>
          <w:szCs w:val="18"/>
        </w:rPr>
        <w:t>对您的风险承受能力评估</w:t>
      </w:r>
      <w:r>
        <w:rPr>
          <w:rFonts w:hint="eastAsia" w:ascii="宋体" w:hAnsi="宋体"/>
          <w:sz w:val="18"/>
          <w:szCs w:val="18"/>
        </w:rPr>
        <w:t>（如需）</w:t>
      </w:r>
      <w:r>
        <w:rPr>
          <w:rFonts w:ascii="宋体" w:hAnsi="宋体"/>
          <w:sz w:val="18"/>
          <w:szCs w:val="18"/>
        </w:rPr>
        <w:t>，并根据风险评估结果选择适合的产品</w:t>
      </w:r>
      <w:r>
        <w:rPr>
          <w:rFonts w:hint="eastAsia" w:ascii="宋体" w:hAnsi="宋体"/>
          <w:sz w:val="18"/>
          <w:szCs w:val="18"/>
        </w:rPr>
        <w:t>，如为私募理财产品，还需进行合格投资者评估</w:t>
      </w:r>
      <w:r>
        <w:rPr>
          <w:rFonts w:ascii="宋体" w:hAnsi="宋体"/>
          <w:sz w:val="18"/>
          <w:szCs w:val="18"/>
        </w:rPr>
        <w:t>。</w:t>
      </w:r>
    </w:p>
    <w:p>
      <w:pPr>
        <w:ind w:firstLine="360" w:firstLineChars="200"/>
        <w:rPr>
          <w:rFonts w:hint="eastAsia"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w:t>
      </w:r>
      <w:r>
        <w:rPr>
          <w:rFonts w:hint="eastAsia" w:ascii="宋体" w:hAnsi="宋体"/>
          <w:sz w:val="18"/>
          <w:szCs w:val="18"/>
        </w:rPr>
        <w:t>理财</w:t>
      </w:r>
      <w:r>
        <w:rPr>
          <w:rFonts w:ascii="宋体" w:hAnsi="宋体"/>
          <w:sz w:val="18"/>
          <w:szCs w:val="18"/>
        </w:rPr>
        <w:t>产品说明书》、</w:t>
      </w:r>
      <w:r>
        <w:rPr>
          <w:rFonts w:hint="eastAsia" w:ascii="宋体" w:hAnsi="宋体"/>
          <w:sz w:val="18"/>
          <w:szCs w:val="18"/>
        </w:rPr>
        <w:t>《理财产品（代理）销售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pPr>
        <w:ind w:firstLine="360" w:firstLineChars="200"/>
        <w:rPr>
          <w:rFonts w:hint="eastAsia" w:ascii="宋体" w:hAnsi="宋体"/>
          <w:sz w:val="18"/>
          <w:szCs w:val="18"/>
        </w:rPr>
      </w:pPr>
      <w:r>
        <w:rPr>
          <w:rFonts w:hint="eastAsia" w:ascii="宋体" w:hAnsi="宋体"/>
          <w:sz w:val="18"/>
          <w:szCs w:val="18"/>
        </w:rPr>
        <w:t>（四）销售服务机构营业网点或电子银行</w:t>
      </w:r>
      <w:r>
        <w:rPr>
          <w:rFonts w:ascii="宋体" w:hAnsi="宋体"/>
          <w:sz w:val="18"/>
          <w:szCs w:val="18"/>
        </w:rPr>
        <w:t>（包括但不限于网上银行</w:t>
      </w:r>
      <w:r>
        <w:rPr>
          <w:rFonts w:hint="eastAsia" w:ascii="宋体" w:hAnsi="宋体"/>
          <w:sz w:val="18"/>
          <w:szCs w:val="18"/>
        </w:rPr>
        <w:t>或</w:t>
      </w:r>
      <w:r>
        <w:rPr>
          <w:rFonts w:ascii="宋体" w:hAnsi="宋体"/>
          <w:sz w:val="18"/>
          <w:szCs w:val="18"/>
        </w:rPr>
        <w:t>手机银行）均可办理理财产品的购买手续，但是对于具体理财产品，</w:t>
      </w:r>
      <w:r>
        <w:rPr>
          <w:rFonts w:hint="eastAsia" w:ascii="宋体" w:hAnsi="宋体"/>
          <w:sz w:val="18"/>
          <w:szCs w:val="18"/>
        </w:rPr>
        <w:t>产品管理人</w:t>
      </w:r>
      <w:r>
        <w:rPr>
          <w:rFonts w:ascii="宋体" w:hAnsi="宋体"/>
          <w:sz w:val="18"/>
          <w:szCs w:val="18"/>
        </w:rPr>
        <w:t>将根据产品风险等级和市场情况自行确定发售渠道。</w:t>
      </w:r>
    </w:p>
    <w:p>
      <w:pPr>
        <w:ind w:firstLine="361" w:firstLineChars="200"/>
        <w:outlineLvl w:val="1"/>
        <w:rPr>
          <w:rFonts w:hint="eastAsia" w:ascii="宋体" w:hAnsi="宋体"/>
          <w:b/>
          <w:sz w:val="18"/>
          <w:szCs w:val="18"/>
        </w:rPr>
      </w:pPr>
      <w:r>
        <w:rPr>
          <w:rFonts w:hint="eastAsia" w:ascii="宋体" w:hAnsi="宋体"/>
          <w:b/>
          <w:sz w:val="18"/>
          <w:szCs w:val="18"/>
        </w:rPr>
        <w:t>二、投资者风险承受能力与产品风险评级</w:t>
      </w:r>
    </w:p>
    <w:p>
      <w:pPr>
        <w:ind w:firstLine="361" w:firstLineChars="200"/>
        <w:rPr>
          <w:rFonts w:hint="eastAsia" w:ascii="宋体" w:hAnsi="宋体"/>
          <w:b/>
          <w:sz w:val="18"/>
          <w:szCs w:val="18"/>
        </w:rPr>
      </w:pPr>
      <w:r>
        <w:rPr>
          <w:rFonts w:hint="eastAsia" w:ascii="宋体" w:hAnsi="宋体"/>
          <w:b/>
          <w:sz w:val="18"/>
          <w:szCs w:val="18"/>
        </w:rPr>
        <w:t>（一）投资者风险承受能力评估说明</w:t>
      </w:r>
    </w:p>
    <w:p>
      <w:pPr>
        <w:ind w:firstLine="360" w:firstLineChars="200"/>
        <w:rPr>
          <w:rFonts w:hint="eastAsia" w:ascii="宋体" w:hAnsi="宋体"/>
          <w:b/>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您首次购买渤银理财的理财产品前，需要进行风险承受能力评估，填写投资者风险承受能力评估问卷，理财销售管理系统会记录投资者身份信息及风险评估结果信息。该评估结果有效期十二个月，并将作为评价您是否适合购买理财产品的重要因素。您可以通过销售服务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宋体" w:hAnsi="宋体"/>
          <w:b/>
          <w:sz w:val="18"/>
          <w:szCs w:val="18"/>
        </w:rPr>
        <w:t>如您的风险承受能力评估结果已超过有效期或者在评估结果有效期内影响您风险承受能力的因素发生变化，请您及时重新完成风险承受能力评估。如为私募理财产品，还需进行合格投资者评估。如您为符合法律法规规定的专业投资者，销售服务机构可视情况简化或者免于对您进行风险承受能力评估。</w:t>
      </w:r>
    </w:p>
    <w:p>
      <w:pPr>
        <w:ind w:firstLine="361" w:firstLineChars="200"/>
        <w:rPr>
          <w:rFonts w:hint="eastAsia" w:ascii="宋体" w:hAnsi="宋体"/>
          <w:b/>
          <w:sz w:val="18"/>
          <w:szCs w:val="18"/>
        </w:rPr>
      </w:pPr>
      <w:r>
        <w:rPr>
          <w:rFonts w:ascii="宋体" w:hAnsi="宋体"/>
          <w:b/>
          <w:sz w:val="18"/>
          <w:szCs w:val="18"/>
        </w:rPr>
        <w:t xml:space="preserve">2. </w:t>
      </w:r>
      <w:r>
        <w:rPr>
          <w:rFonts w:hint="eastAsia" w:ascii="宋体" w:hAnsi="宋体"/>
          <w:b/>
          <w:sz w:val="18"/>
          <w:szCs w:val="18"/>
        </w:rPr>
        <w:t>投资者风险承受能力评级与理财产品风险评级</w:t>
      </w:r>
    </w:p>
    <w:p>
      <w:pPr>
        <w:ind w:firstLine="360" w:firstLineChars="200"/>
        <w:rPr>
          <w:rFonts w:hint="eastAsia" w:ascii="宋体" w:hAnsi="宋体"/>
          <w:sz w:val="18"/>
          <w:szCs w:val="18"/>
        </w:rPr>
      </w:pPr>
      <w:r>
        <w:rPr>
          <w:rFonts w:hint="eastAsia" w:ascii="宋体" w:hAnsi="宋体"/>
          <w:sz w:val="18"/>
          <w:szCs w:val="18"/>
        </w:rPr>
        <w:t>渤银理财产品风险评级共分为五级：R1低风险、R2较低/中低风险、R3中风险、R4较高</w:t>
      </w:r>
      <w:r>
        <w:rPr>
          <w:rFonts w:hint="eastAsia" w:ascii="宋体" w:hAnsi="宋体" w:cs="仿宋_GB2312"/>
          <w:kern w:val="0"/>
          <w:sz w:val="18"/>
          <w:szCs w:val="18"/>
        </w:rPr>
        <w:t>/中高</w:t>
      </w:r>
      <w:r>
        <w:rPr>
          <w:rFonts w:hint="eastAsia" w:ascii="宋体" w:hAnsi="宋体"/>
          <w:sz w:val="18"/>
          <w:szCs w:val="18"/>
        </w:rPr>
        <w:t>风险、R5高风险。不同风险的理财产品对应不同的投资者风险承受能力评级。</w:t>
      </w:r>
      <w:r>
        <w:rPr>
          <w:rFonts w:ascii="宋体" w:hAnsi="宋体"/>
          <w:sz w:val="18"/>
          <w:szCs w:val="18"/>
        </w:rPr>
        <w:t>风险承受能力评级越高适合购买的理财产品风险评级越高，适合购买的理财产品类型越丰富</w:t>
      </w:r>
      <w:r>
        <w:rPr>
          <w:rFonts w:hint="eastAsia" w:ascii="宋体" w:hAnsi="宋体"/>
          <w:sz w:val="18"/>
          <w:szCs w:val="18"/>
        </w:rPr>
        <w:t>。</w:t>
      </w:r>
      <w:r>
        <w:rPr>
          <w:rFonts w:hint="eastAsia" w:ascii="宋体" w:hAnsi="宋体"/>
          <w:b/>
          <w:bCs/>
          <w:sz w:val="18"/>
          <w:szCs w:val="18"/>
        </w:rPr>
        <w:t>在产品存续期内，渤银理财会根据市场变化等情况对产品风险等级进行动态管理。如产品评级相关因素发生重大变化，并可能引起产品风险等级发生变动；渤银理财会重新评估其风险等级，并将风险等级变动情况及时告知销售服务机构</w:t>
      </w:r>
      <w:r>
        <w:rPr>
          <w:rFonts w:hint="eastAsia" w:ascii="宋体" w:hAnsi="宋体"/>
          <w:b/>
          <w:sz w:val="18"/>
          <w:szCs w:val="18"/>
        </w:rPr>
        <w:t>。销售服务机构会及时披露风险等级变动情况，并根据产品及投资者信息变化情况，主动调整适当性匹配意见，及时告知投资者。在产品开放期，投资者可以自主决定是否持有存量产品。</w:t>
      </w:r>
      <w:r>
        <w:rPr>
          <w:rFonts w:ascii="宋体" w:hAnsi="宋体"/>
          <w:sz w:val="18"/>
          <w:szCs w:val="18"/>
        </w:rPr>
        <w:t>投资者风险承受能力评级类型与适合购买的理财产品的对应关系为：</w:t>
      </w:r>
    </w:p>
    <w:tbl>
      <w:tblPr>
        <w:tblStyle w:val="11"/>
        <w:tblW w:w="834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125"/>
        <w:gridCol w:w="5155"/>
        <w:gridCol w:w="206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1125" w:type="dxa"/>
            <w:vAlign w:val="center"/>
          </w:tcPr>
          <w:p>
            <w:pPr>
              <w:jc w:val="center"/>
              <w:rPr>
                <w:rFonts w:hint="eastAsia" w:ascii="宋体" w:hAnsi="宋体"/>
                <w:color w:val="000000"/>
                <w:sz w:val="18"/>
                <w:szCs w:val="18"/>
              </w:rPr>
            </w:pPr>
            <w:r>
              <w:rPr>
                <w:rFonts w:hint="eastAsia" w:ascii="宋体" w:hAnsi="宋体"/>
                <w:sz w:val="18"/>
                <w:szCs w:val="18"/>
              </w:rPr>
              <w:t>风险评级</w:t>
            </w:r>
          </w:p>
        </w:tc>
        <w:tc>
          <w:tcPr>
            <w:tcW w:w="5155" w:type="dxa"/>
            <w:vAlign w:val="center"/>
          </w:tcPr>
          <w:p>
            <w:pPr>
              <w:jc w:val="center"/>
              <w:rPr>
                <w:rFonts w:hint="eastAsia" w:ascii="宋体" w:hAnsi="宋体"/>
                <w:color w:val="000000"/>
                <w:sz w:val="18"/>
                <w:szCs w:val="18"/>
              </w:rPr>
            </w:pPr>
            <w:r>
              <w:rPr>
                <w:rFonts w:hint="eastAsia" w:ascii="宋体" w:hAnsi="宋体"/>
                <w:sz w:val="18"/>
                <w:szCs w:val="18"/>
              </w:rPr>
              <w:t>评级说明</w:t>
            </w:r>
          </w:p>
        </w:tc>
        <w:tc>
          <w:tcPr>
            <w:tcW w:w="2069" w:type="dxa"/>
            <w:vAlign w:val="center"/>
          </w:tcPr>
          <w:p>
            <w:pPr>
              <w:jc w:val="center"/>
              <w:rPr>
                <w:rFonts w:hint="eastAsia" w:ascii="宋体" w:hAnsi="宋体"/>
                <w:color w:val="000000"/>
                <w:sz w:val="18"/>
                <w:szCs w:val="18"/>
              </w:rPr>
            </w:pPr>
            <w:r>
              <w:rPr>
                <w:rFonts w:hint="eastAsia" w:ascii="宋体" w:hAnsi="宋体"/>
                <w:sz w:val="18"/>
                <w:szCs w:val="18"/>
              </w:rPr>
              <w:t>投资者风险承受能力评级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atLeast"/>
          <w:jc w:val="center"/>
        </w:trPr>
        <w:tc>
          <w:tcPr>
            <w:tcW w:w="1125" w:type="dxa"/>
            <w:vAlign w:val="center"/>
          </w:tcPr>
          <w:p>
            <w:pPr>
              <w:jc w:val="center"/>
              <w:rPr>
                <w:rFonts w:hint="eastAsia" w:ascii="宋体" w:hAnsi="宋体"/>
                <w:color w:val="000000"/>
                <w:sz w:val="18"/>
                <w:szCs w:val="18"/>
              </w:rPr>
            </w:pPr>
            <w:r>
              <w:rPr>
                <w:rFonts w:ascii="宋体" w:hAnsi="宋体"/>
                <w:sz w:val="18"/>
                <w:szCs w:val="18"/>
              </w:rPr>
              <w:t>R1</w:t>
            </w:r>
          </w:p>
        </w:tc>
        <w:tc>
          <w:tcPr>
            <w:tcW w:w="5155" w:type="dxa"/>
            <w:vAlign w:val="center"/>
          </w:tcPr>
          <w:p>
            <w:pPr>
              <w:rPr>
                <w:rFonts w:hint="eastAsia" w:ascii="宋体" w:hAnsi="宋体"/>
                <w:color w:val="000000"/>
                <w:sz w:val="18"/>
                <w:szCs w:val="18"/>
              </w:rPr>
            </w:pPr>
            <w:r>
              <w:rPr>
                <w:rFonts w:hint="eastAsia" w:ascii="宋体" w:hAnsi="宋体"/>
                <w:color w:val="000000"/>
                <w:sz w:val="18"/>
                <w:szCs w:val="18"/>
              </w:rPr>
              <w:t>总体风险程度低，收益波动小，产品本金安全性高，收益不能实现的可能性很小；</w:t>
            </w:r>
          </w:p>
        </w:tc>
        <w:tc>
          <w:tcPr>
            <w:tcW w:w="2069" w:type="dxa"/>
            <w:vAlign w:val="center"/>
          </w:tcPr>
          <w:p>
            <w:pPr>
              <w:rPr>
                <w:rFonts w:hint="eastAsia" w:ascii="宋体" w:hAnsi="宋体"/>
                <w:color w:val="000000"/>
                <w:sz w:val="18"/>
                <w:szCs w:val="18"/>
              </w:rPr>
            </w:pPr>
            <w:r>
              <w:rPr>
                <w:rFonts w:ascii="宋体" w:hAnsi="宋体"/>
                <w:sz w:val="18"/>
                <w:szCs w:val="18"/>
              </w:rPr>
              <w:t>C1</w:t>
            </w:r>
            <w:r>
              <w:rPr>
                <w:rFonts w:hint="eastAsia" w:ascii="宋体" w:hAnsi="宋体"/>
                <w:sz w:val="18"/>
                <w:szCs w:val="18"/>
              </w:rPr>
              <w:t>（保守型）</w:t>
            </w:r>
            <w:r>
              <w:rPr>
                <w:rFonts w:ascii="宋体" w:hAnsi="宋体"/>
                <w:sz w:val="18"/>
                <w:szCs w:val="18"/>
              </w:rPr>
              <w:t>及以上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atLeast"/>
          <w:jc w:val="center"/>
        </w:trPr>
        <w:tc>
          <w:tcPr>
            <w:tcW w:w="1125" w:type="dxa"/>
            <w:vAlign w:val="center"/>
          </w:tcPr>
          <w:p>
            <w:pPr>
              <w:jc w:val="center"/>
              <w:rPr>
                <w:rFonts w:hint="eastAsia" w:ascii="宋体" w:hAnsi="宋体"/>
                <w:color w:val="000000"/>
                <w:sz w:val="18"/>
                <w:szCs w:val="18"/>
              </w:rPr>
            </w:pPr>
            <w:r>
              <w:rPr>
                <w:rFonts w:ascii="宋体" w:hAnsi="宋体"/>
                <w:sz w:val="18"/>
                <w:szCs w:val="18"/>
              </w:rPr>
              <w:t>R2</w:t>
            </w:r>
          </w:p>
        </w:tc>
        <w:tc>
          <w:tcPr>
            <w:tcW w:w="5155" w:type="dxa"/>
            <w:vAlign w:val="center"/>
          </w:tcPr>
          <w:p>
            <w:pPr>
              <w:rPr>
                <w:rFonts w:hint="eastAsia" w:ascii="宋体" w:hAnsi="宋体"/>
                <w:color w:val="000000"/>
                <w:sz w:val="18"/>
                <w:szCs w:val="18"/>
              </w:rPr>
            </w:pPr>
            <w:r>
              <w:rPr>
                <w:rFonts w:hint="eastAsia" w:ascii="宋体" w:hAnsi="宋体"/>
                <w:color w:val="000000"/>
                <w:sz w:val="18"/>
                <w:szCs w:val="18"/>
              </w:rPr>
              <w:t>总体风险程度较低，收益波动较小，虽然存在一些可能对产品本金和收益安全产生不利影响的因素，但产品本金出现损失的可能性较小；</w:t>
            </w:r>
          </w:p>
        </w:tc>
        <w:tc>
          <w:tcPr>
            <w:tcW w:w="2069" w:type="dxa"/>
            <w:vAlign w:val="center"/>
          </w:tcPr>
          <w:p>
            <w:pPr>
              <w:rPr>
                <w:rFonts w:hint="eastAsia" w:ascii="宋体" w:hAnsi="宋体"/>
                <w:color w:val="000000"/>
                <w:sz w:val="18"/>
                <w:szCs w:val="18"/>
              </w:rPr>
            </w:pPr>
            <w:r>
              <w:rPr>
                <w:rFonts w:ascii="宋体" w:hAnsi="宋体"/>
                <w:sz w:val="18"/>
                <w:szCs w:val="18"/>
              </w:rPr>
              <w:t>C2</w:t>
            </w:r>
            <w:r>
              <w:rPr>
                <w:rFonts w:hint="eastAsia" w:ascii="宋体" w:hAnsi="宋体"/>
                <w:sz w:val="18"/>
                <w:szCs w:val="18"/>
              </w:rPr>
              <w:t>（稳健型）</w:t>
            </w:r>
            <w:r>
              <w:rPr>
                <w:rFonts w:ascii="宋体" w:hAnsi="宋体"/>
                <w:sz w:val="18"/>
                <w:szCs w:val="18"/>
              </w:rPr>
              <w:t>及以上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atLeast"/>
          <w:jc w:val="center"/>
        </w:trPr>
        <w:tc>
          <w:tcPr>
            <w:tcW w:w="1125" w:type="dxa"/>
            <w:vAlign w:val="center"/>
          </w:tcPr>
          <w:p>
            <w:pPr>
              <w:jc w:val="center"/>
              <w:rPr>
                <w:rFonts w:hint="eastAsia" w:ascii="宋体" w:hAnsi="宋体"/>
                <w:color w:val="000000"/>
                <w:sz w:val="18"/>
                <w:szCs w:val="18"/>
              </w:rPr>
            </w:pPr>
            <w:r>
              <w:rPr>
                <w:rFonts w:ascii="宋体" w:hAnsi="宋体"/>
                <w:sz w:val="18"/>
                <w:szCs w:val="18"/>
              </w:rPr>
              <w:t>R3</w:t>
            </w:r>
          </w:p>
        </w:tc>
        <w:tc>
          <w:tcPr>
            <w:tcW w:w="5155" w:type="dxa"/>
            <w:vAlign w:val="center"/>
          </w:tcPr>
          <w:p>
            <w:pPr>
              <w:rPr>
                <w:rFonts w:hint="eastAsia" w:ascii="宋体" w:hAnsi="宋体"/>
                <w:color w:val="000000"/>
                <w:sz w:val="18"/>
                <w:szCs w:val="18"/>
              </w:rPr>
            </w:pPr>
            <w:r>
              <w:rPr>
                <w:rFonts w:hint="eastAsia" w:ascii="宋体" w:hAnsi="宋体"/>
                <w:color w:val="000000"/>
                <w:sz w:val="18"/>
                <w:szCs w:val="18"/>
              </w:rPr>
              <w:t>总体风险程度适中，收益存在一定的波动，产品本金出现损失的可能性不容忽视；</w:t>
            </w:r>
          </w:p>
        </w:tc>
        <w:tc>
          <w:tcPr>
            <w:tcW w:w="2069" w:type="dxa"/>
            <w:vAlign w:val="center"/>
          </w:tcPr>
          <w:p>
            <w:pPr>
              <w:rPr>
                <w:rFonts w:hint="eastAsia" w:ascii="宋体" w:hAnsi="宋体"/>
                <w:color w:val="000000"/>
                <w:sz w:val="18"/>
                <w:szCs w:val="18"/>
              </w:rPr>
            </w:pPr>
            <w:r>
              <w:rPr>
                <w:rFonts w:ascii="宋体" w:hAnsi="宋体"/>
                <w:sz w:val="18"/>
                <w:szCs w:val="18"/>
              </w:rPr>
              <w:t>C3</w:t>
            </w:r>
            <w:r>
              <w:rPr>
                <w:rFonts w:hint="eastAsia" w:ascii="宋体" w:hAnsi="宋体"/>
                <w:sz w:val="18"/>
                <w:szCs w:val="18"/>
              </w:rPr>
              <w:t>（平衡型）</w:t>
            </w:r>
            <w:r>
              <w:rPr>
                <w:rFonts w:ascii="宋体" w:hAnsi="宋体"/>
                <w:sz w:val="18"/>
                <w:szCs w:val="18"/>
              </w:rPr>
              <w:t>及以上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atLeast"/>
          <w:jc w:val="center"/>
        </w:trPr>
        <w:tc>
          <w:tcPr>
            <w:tcW w:w="1125" w:type="dxa"/>
            <w:vAlign w:val="center"/>
          </w:tcPr>
          <w:p>
            <w:pPr>
              <w:jc w:val="center"/>
              <w:rPr>
                <w:rFonts w:hint="eastAsia" w:ascii="宋体" w:hAnsi="宋体"/>
                <w:color w:val="000000"/>
                <w:sz w:val="18"/>
                <w:szCs w:val="18"/>
              </w:rPr>
            </w:pPr>
            <w:r>
              <w:rPr>
                <w:rFonts w:ascii="宋体" w:hAnsi="宋体"/>
                <w:sz w:val="18"/>
                <w:szCs w:val="18"/>
              </w:rPr>
              <w:t>R4</w:t>
            </w:r>
          </w:p>
        </w:tc>
        <w:tc>
          <w:tcPr>
            <w:tcW w:w="5155" w:type="dxa"/>
            <w:vAlign w:val="center"/>
          </w:tcPr>
          <w:p>
            <w:pPr>
              <w:rPr>
                <w:rFonts w:hint="eastAsia" w:ascii="宋体" w:hAnsi="宋体"/>
                <w:color w:val="000000"/>
                <w:sz w:val="18"/>
                <w:szCs w:val="18"/>
              </w:rPr>
            </w:pPr>
            <w:r>
              <w:rPr>
                <w:rFonts w:hint="eastAsia" w:ascii="宋体" w:hAnsi="宋体"/>
                <w:color w:val="000000"/>
                <w:sz w:val="18"/>
                <w:szCs w:val="18"/>
              </w:rPr>
              <w:t>总体风险程度较高，收益波动较明显，产品本金出现损失的可能性高； </w:t>
            </w:r>
          </w:p>
        </w:tc>
        <w:tc>
          <w:tcPr>
            <w:tcW w:w="2069" w:type="dxa"/>
            <w:vAlign w:val="center"/>
          </w:tcPr>
          <w:p>
            <w:pPr>
              <w:rPr>
                <w:rFonts w:hint="eastAsia" w:ascii="宋体" w:hAnsi="宋体"/>
                <w:color w:val="000000"/>
                <w:sz w:val="18"/>
                <w:szCs w:val="18"/>
              </w:rPr>
            </w:pPr>
            <w:r>
              <w:rPr>
                <w:rFonts w:ascii="宋体" w:hAnsi="宋体"/>
                <w:sz w:val="18"/>
                <w:szCs w:val="18"/>
              </w:rPr>
              <w:t>C4</w:t>
            </w:r>
            <w:r>
              <w:rPr>
                <w:rFonts w:hint="eastAsia" w:ascii="宋体" w:hAnsi="宋体"/>
                <w:sz w:val="18"/>
                <w:szCs w:val="18"/>
              </w:rPr>
              <w:t>（成长型）</w:t>
            </w:r>
            <w:r>
              <w:rPr>
                <w:rFonts w:ascii="宋体" w:hAnsi="宋体"/>
                <w:sz w:val="18"/>
                <w:szCs w:val="18"/>
              </w:rPr>
              <w:t>及以上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atLeast"/>
          <w:jc w:val="center"/>
        </w:trPr>
        <w:tc>
          <w:tcPr>
            <w:tcW w:w="1125" w:type="dxa"/>
            <w:vAlign w:val="center"/>
          </w:tcPr>
          <w:p>
            <w:pPr>
              <w:jc w:val="center"/>
              <w:rPr>
                <w:rFonts w:hint="eastAsia" w:ascii="宋体" w:hAnsi="宋体"/>
                <w:color w:val="000000"/>
                <w:sz w:val="18"/>
                <w:szCs w:val="18"/>
              </w:rPr>
            </w:pPr>
            <w:r>
              <w:rPr>
                <w:rFonts w:ascii="宋体" w:hAnsi="宋体"/>
                <w:sz w:val="18"/>
                <w:szCs w:val="18"/>
              </w:rPr>
              <w:t>R5</w:t>
            </w:r>
          </w:p>
        </w:tc>
        <w:tc>
          <w:tcPr>
            <w:tcW w:w="5155" w:type="dxa"/>
            <w:vAlign w:val="center"/>
          </w:tcPr>
          <w:p>
            <w:pPr>
              <w:rPr>
                <w:rFonts w:hint="eastAsia" w:ascii="宋体" w:hAnsi="宋体"/>
                <w:color w:val="000000"/>
                <w:sz w:val="18"/>
                <w:szCs w:val="18"/>
              </w:rPr>
            </w:pPr>
            <w:r>
              <w:rPr>
                <w:rFonts w:hint="eastAsia" w:ascii="宋体" w:hAnsi="宋体"/>
                <w:color w:val="000000"/>
                <w:sz w:val="18"/>
                <w:szCs w:val="18"/>
              </w:rPr>
              <w:t>总体风险程度高，收益波动明显，产品本金出现损失的可能性很高，产品本金出现全部损失的可能性不容忽视。</w:t>
            </w:r>
          </w:p>
        </w:tc>
        <w:tc>
          <w:tcPr>
            <w:tcW w:w="2069" w:type="dxa"/>
            <w:vAlign w:val="center"/>
          </w:tcPr>
          <w:p>
            <w:pPr>
              <w:rPr>
                <w:rFonts w:hint="eastAsia" w:ascii="宋体" w:hAnsi="宋体"/>
                <w:color w:val="000000"/>
                <w:sz w:val="18"/>
                <w:szCs w:val="18"/>
              </w:rPr>
            </w:pPr>
            <w:r>
              <w:rPr>
                <w:rFonts w:ascii="宋体" w:hAnsi="宋体"/>
                <w:sz w:val="18"/>
                <w:szCs w:val="18"/>
              </w:rPr>
              <w:t>C5</w:t>
            </w:r>
            <w:r>
              <w:rPr>
                <w:rFonts w:hint="eastAsia" w:ascii="宋体" w:hAnsi="宋体"/>
                <w:sz w:val="18"/>
                <w:szCs w:val="18"/>
              </w:rPr>
              <w:t>（进取型）</w:t>
            </w:r>
            <w:r>
              <w:rPr>
                <w:rFonts w:ascii="宋体" w:hAnsi="宋体"/>
                <w:sz w:val="18"/>
                <w:szCs w:val="18"/>
              </w:rPr>
              <w:t xml:space="preserve"> </w:t>
            </w:r>
          </w:p>
        </w:tc>
      </w:tr>
    </w:tbl>
    <w:p>
      <w:pPr>
        <w:ind w:firstLine="361" w:firstLineChars="200"/>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bCs w:val="0"/>
          <w:kern w:val="0"/>
          <w:sz w:val="18"/>
          <w:szCs w:val="18"/>
        </w:rPr>
        <w:t>★</w:t>
      </w:r>
      <w:r>
        <w:rPr>
          <w:rFonts w:hint="eastAsia" w:asciiTheme="minorEastAsia" w:hAnsiTheme="minorEastAsia" w:eastAsiaTheme="minorEastAsia" w:cstheme="minorEastAsia"/>
          <w:b/>
          <w:sz w:val="18"/>
          <w:szCs w:val="18"/>
        </w:rPr>
        <w:t>（二）针对“理财产品风险评级”“投资者风险承受能力”的不同划分与表述的特别提示</w:t>
      </w:r>
    </w:p>
    <w:p>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上述理财产品风险评级、投资者风险承受能力等级的划分与表述仅适用于直销渠道使用；对于代销渠道仅供参考，不具有法律效力。若投资者通过代理销售服务机构购买本理财产品，理财产品风险评级、投资者风险承受能力等级的划分与表述、适合投资者类型以代理销售服务机构告知的结果为准。</w:t>
      </w:r>
    </w:p>
    <w:p>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代理销售服务机构在代销过程中，应当根据本机构的方式和方法，独立、审慎地自行判断确定本产品的风险评级，当代理销售服务机构对本产品的风险评级结果与产品管理人不一致时，代理销售服务机构应当采用较高风险等级的评级结果。投资者的风险承受能力等级不低于该较高风险评级的评级结果时，方可购买本产品。</w:t>
      </w:r>
    </w:p>
    <w:p>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3.代理销售服务机构投资者风险承受能力评级及各评级与理财产品风险等级的匹配关系：</w:t>
      </w:r>
    </w:p>
    <w:tbl>
      <w:tblPr>
        <w:tblStyle w:val="11"/>
        <w:tblW w:w="834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888"/>
        <w:gridCol w:w="1248"/>
        <w:gridCol w:w="1142"/>
        <w:gridCol w:w="1309"/>
        <w:gridCol w:w="1414"/>
        <w:gridCol w:w="12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27" w:hRule="atLeast"/>
          <w:jc w:val="center"/>
        </w:trPr>
        <w:tc>
          <w:tcPr>
            <w:tcW w:w="1888" w:type="dxa"/>
            <w:tcBorders>
              <w:tl2br w:val="nil"/>
              <w:tr2bl w:val="nil"/>
            </w:tcBorders>
          </w:tcPr>
          <w:p>
            <w:pPr>
              <w:pStyle w:val="35"/>
              <w:keepNext w:val="0"/>
              <w:keepLines w:val="0"/>
              <w:suppressLineNumbers w:val="0"/>
              <w:spacing w:before="0" w:beforeAutospacing="0" w:after="0" w:afterAutospacing="0" w:line="360" w:lineRule="auto"/>
              <w:ind w:left="0" w:right="0" w:firstLine="0" w:firstLineChars="0"/>
              <w:jc w:val="right"/>
              <w:rPr>
                <w:rFonts w:hint="eastAsia" w:asciiTheme="minorEastAsia" w:hAnsiTheme="minorEastAsia" w:eastAsiaTheme="minorEastAsia" w:cstheme="minorEastAsia"/>
                <w:b/>
                <w:sz w:val="18"/>
                <w:szCs w:val="18"/>
                <w:shd w:val="clear" w:color="auto" w:fill="auto"/>
              </w:rPr>
            </w:pPr>
            <w:r>
              <w:rPr>
                <w:rFonts w:hint="eastAsia" w:asciiTheme="minorEastAsia" w:hAnsiTheme="minorEastAsia" w:eastAsiaTheme="minorEastAsia" w:cstheme="minorEastAsia"/>
                <w:b/>
                <w:sz w:val="18"/>
                <w:szCs w:val="18"/>
                <w:shd w:val="clear" w:color="auto" w:fill="auto"/>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-3810</wp:posOffset>
                      </wp:positionV>
                      <wp:extent cx="1190625" cy="688975"/>
                      <wp:effectExtent l="2540" t="3810" r="6985" b="12065"/>
                      <wp:wrapNone/>
                      <wp:docPr id="1" name="直接连接符 1"/>
                      <wp:cNvGraphicFramePr/>
                      <a:graphic xmlns:a="http://schemas.openxmlformats.org/drawingml/2006/main">
                        <a:graphicData uri="http://schemas.microsoft.com/office/word/2010/wordprocessingShape">
                          <wps:wsp>
                            <wps:cNvCnPr/>
                            <wps:spPr>
                              <a:xfrm>
                                <a:off x="0" y="0"/>
                                <a:ext cx="1190625" cy="68897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75pt;margin-top:-0.3pt;height:54.25pt;width:93.75pt;z-index:251659264;mso-width-relative:page;mso-height-relative:page;" filled="f" stroked="t" coordsize="21600,21600" o:gfxdata="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IiP4NYAAAAIAQAADwAAAAAAAAABACAAAAAiAAAAZHJzL2Rvd25yZXYueG1sUEsB&#10;AhQAFAAAAAgAh07iQJ2CMp/3AQAA6QMAAA4AAAAAAAAAAQAgAAAAJQEAAGRycy9lMm9Eb2MueG1s&#10;UEsFBgAAAAAGAAYAWQEAAI4FAAAAAA==&#10;">
                      <v:fill on="f" focussize="0,0"/>
                      <v:stroke weight="0.5pt" color="#000000" joinstyle="round"/>
                      <v:imagedata o:title=""/>
                      <o:lock v:ext="edit" aspectratio="f"/>
                    </v:line>
                  </w:pict>
                </mc:Fallback>
              </mc:AlternateContent>
            </w:r>
            <w:r>
              <w:rPr>
                <w:rFonts w:hint="eastAsia" w:asciiTheme="minorEastAsia" w:hAnsiTheme="minorEastAsia" w:eastAsiaTheme="minorEastAsia" w:cstheme="minorEastAsia"/>
                <w:b/>
                <w:sz w:val="18"/>
                <w:szCs w:val="18"/>
                <w:shd w:val="clear" w:color="auto" w:fill="auto"/>
                <w:lang w:val="en-US" w:eastAsia="zh-CN"/>
              </w:rPr>
              <w:t xml:space="preserve"> </w:t>
            </w:r>
            <w:r>
              <w:rPr>
                <w:rFonts w:hint="eastAsia" w:asciiTheme="minorEastAsia" w:hAnsiTheme="minorEastAsia" w:eastAsiaTheme="minorEastAsia" w:cstheme="minorEastAsia"/>
                <w:b/>
                <w:sz w:val="18"/>
                <w:szCs w:val="18"/>
                <w:shd w:val="clear" w:color="auto" w:fill="auto"/>
              </w:rPr>
              <w:t>产品风险情况</w:t>
            </w:r>
          </w:p>
          <w:p>
            <w:pPr>
              <w:pStyle w:val="35"/>
              <w:keepNext w:val="0"/>
              <w:keepLines w:val="0"/>
              <w:suppressLineNumbers w:val="0"/>
              <w:spacing w:before="0" w:beforeAutospacing="0" w:after="0" w:afterAutospacing="0" w:line="240" w:lineRule="atLeast"/>
              <w:ind w:left="0" w:right="0" w:firstLine="0" w:firstLineChars="0"/>
              <w:rPr>
                <w:rFonts w:hint="eastAsia" w:asciiTheme="minorEastAsia" w:hAnsiTheme="minorEastAsia" w:eastAsiaTheme="minorEastAsia" w:cstheme="minorEastAsia"/>
                <w:b/>
                <w:sz w:val="18"/>
                <w:szCs w:val="18"/>
                <w:shd w:val="clear" w:color="auto" w:fill="auto"/>
              </w:rPr>
            </w:pPr>
            <w:r>
              <w:rPr>
                <w:rFonts w:hint="eastAsia" w:asciiTheme="minorEastAsia" w:hAnsiTheme="minorEastAsia" w:eastAsiaTheme="minorEastAsia" w:cstheme="minorEastAsia"/>
                <w:b/>
                <w:sz w:val="18"/>
                <w:szCs w:val="18"/>
                <w:shd w:val="clear" w:color="auto" w:fill="auto"/>
              </w:rPr>
              <w:t>投资者</w:t>
            </w:r>
          </w:p>
          <w:p>
            <w:pPr>
              <w:pStyle w:val="35"/>
              <w:keepNext w:val="0"/>
              <w:keepLines w:val="0"/>
              <w:suppressLineNumbers w:val="0"/>
              <w:spacing w:before="0" w:beforeAutospacing="0" w:after="0" w:afterAutospacing="0" w:line="240" w:lineRule="atLeast"/>
              <w:ind w:left="0" w:right="0" w:firstLine="0" w:firstLineChars="0"/>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b/>
                <w:sz w:val="18"/>
                <w:szCs w:val="18"/>
                <w:shd w:val="clear" w:color="auto" w:fill="auto"/>
              </w:rPr>
              <w:t>风险类型</w:t>
            </w:r>
          </w:p>
        </w:tc>
        <w:tc>
          <w:tcPr>
            <w:tcW w:w="1248" w:type="dxa"/>
            <w:tcBorders>
              <w:tl2br w:val="nil"/>
              <w:tr2bl w:val="nil"/>
            </w:tcBorders>
            <w:vAlign w:val="center"/>
          </w:tcPr>
          <w:p>
            <w:pPr>
              <w:pStyle w:val="35"/>
              <w:keepNext w:val="0"/>
              <w:keepLines w:val="0"/>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低风险</w:t>
            </w:r>
          </w:p>
        </w:tc>
        <w:tc>
          <w:tcPr>
            <w:tcW w:w="1142" w:type="dxa"/>
            <w:tcBorders>
              <w:tl2br w:val="nil"/>
              <w:tr2bl w:val="nil"/>
            </w:tcBorders>
            <w:vAlign w:val="center"/>
          </w:tcPr>
          <w:p>
            <w:pPr>
              <w:pStyle w:val="35"/>
              <w:keepNext w:val="0"/>
              <w:keepLines w:val="0"/>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中低风险</w:t>
            </w:r>
          </w:p>
        </w:tc>
        <w:tc>
          <w:tcPr>
            <w:tcW w:w="1309" w:type="dxa"/>
            <w:tcBorders>
              <w:tl2br w:val="nil"/>
              <w:tr2bl w:val="nil"/>
            </w:tcBorders>
            <w:vAlign w:val="center"/>
          </w:tcPr>
          <w:p>
            <w:pPr>
              <w:pStyle w:val="35"/>
              <w:keepNext w:val="0"/>
              <w:keepLines w:val="0"/>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中等风险</w:t>
            </w:r>
          </w:p>
        </w:tc>
        <w:tc>
          <w:tcPr>
            <w:tcW w:w="1414" w:type="dxa"/>
            <w:tcBorders>
              <w:tl2br w:val="nil"/>
              <w:tr2bl w:val="nil"/>
            </w:tcBorders>
            <w:vAlign w:val="center"/>
          </w:tcPr>
          <w:p>
            <w:pPr>
              <w:pStyle w:val="35"/>
              <w:keepNext w:val="0"/>
              <w:keepLines w:val="0"/>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中高风险</w:t>
            </w:r>
          </w:p>
        </w:tc>
        <w:tc>
          <w:tcPr>
            <w:tcW w:w="1256" w:type="dxa"/>
            <w:tcBorders>
              <w:tl2br w:val="nil"/>
              <w:tr2bl w:val="nil"/>
            </w:tcBorders>
            <w:vAlign w:val="center"/>
          </w:tcPr>
          <w:p>
            <w:pPr>
              <w:pStyle w:val="35"/>
              <w:keepNext w:val="0"/>
              <w:keepLines w:val="0"/>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高风险</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7" w:hRule="atLeast"/>
          <w:jc w:val="center"/>
        </w:trPr>
        <w:tc>
          <w:tcPr>
            <w:tcW w:w="1888" w:type="dxa"/>
            <w:tcBorders>
              <w:tl2br w:val="nil"/>
              <w:tr2bl w:val="nil"/>
            </w:tcBorders>
          </w:tcPr>
          <w:p>
            <w:pPr>
              <w:pStyle w:val="35"/>
              <w:keepNext w:val="0"/>
              <w:keepLines w:val="0"/>
              <w:suppressLineNumbers w:val="0"/>
              <w:spacing w:before="0" w:beforeAutospacing="0" w:after="0" w:afterAutospacing="0" w:line="360" w:lineRule="auto"/>
              <w:ind w:left="0" w:right="0" w:firstLine="0" w:firstLineChars="0"/>
              <w:rPr>
                <w:rFonts w:hint="eastAsia" w:asciiTheme="minorEastAsia" w:hAnsiTheme="minorEastAsia" w:eastAsiaTheme="minorEastAsia" w:cstheme="minorEastAsia"/>
                <w:b/>
                <w:sz w:val="18"/>
                <w:szCs w:val="18"/>
                <w:shd w:val="clear" w:color="auto" w:fill="auto"/>
              </w:rPr>
            </w:pPr>
            <w:r>
              <w:rPr>
                <w:rFonts w:hint="eastAsia" w:asciiTheme="minorEastAsia" w:hAnsiTheme="minorEastAsia" w:eastAsiaTheme="minorEastAsia" w:cstheme="minorEastAsia"/>
                <w:b/>
                <w:sz w:val="18"/>
                <w:szCs w:val="18"/>
                <w:shd w:val="clear" w:color="auto" w:fill="auto"/>
              </w:rPr>
              <w:t>激进型</w:t>
            </w:r>
          </w:p>
        </w:tc>
        <w:tc>
          <w:tcPr>
            <w:tcW w:w="1248"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适合</w:t>
            </w:r>
          </w:p>
        </w:tc>
        <w:tc>
          <w:tcPr>
            <w:tcW w:w="1142"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适合</w:t>
            </w:r>
          </w:p>
        </w:tc>
        <w:tc>
          <w:tcPr>
            <w:tcW w:w="1309"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适合</w:t>
            </w:r>
          </w:p>
        </w:tc>
        <w:tc>
          <w:tcPr>
            <w:tcW w:w="1414"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适合</w:t>
            </w:r>
          </w:p>
        </w:tc>
        <w:tc>
          <w:tcPr>
            <w:tcW w:w="1256" w:type="dxa"/>
            <w:tcBorders>
              <w:tl2br w:val="nil"/>
              <w:tr2bl w:val="nil"/>
            </w:tcBorders>
            <w:vAlign w:val="center"/>
          </w:tcPr>
          <w:p>
            <w:pPr>
              <w:pStyle w:val="35"/>
              <w:keepNext w:val="0"/>
              <w:keepLines w:val="0"/>
              <w:suppressLineNumbers w:val="0"/>
              <w:spacing w:before="0" w:beforeAutospacing="0" w:after="0" w:afterAutospacing="0" w:line="360" w:lineRule="auto"/>
              <w:ind w:left="0" w:right="-122" w:rightChars="-58" w:firstLine="0" w:firstLineChars="0"/>
              <w:jc w:val="center"/>
              <w:rPr>
                <w:rFonts w:hint="eastAsia" w:asciiTheme="minorEastAsia" w:hAnsiTheme="minorEastAsia" w:eastAsiaTheme="minorEastAsia" w:cstheme="minorEastAsia"/>
                <w:b/>
                <w:sz w:val="18"/>
                <w:szCs w:val="18"/>
                <w:shd w:val="clear" w:color="auto" w:fill="auto"/>
              </w:rPr>
            </w:pPr>
            <w:r>
              <w:rPr>
                <w:rFonts w:hint="eastAsia" w:asciiTheme="minorEastAsia" w:hAnsiTheme="minorEastAsia" w:eastAsiaTheme="minorEastAsia" w:cstheme="minorEastAsia"/>
                <w:sz w:val="18"/>
                <w:szCs w:val="18"/>
                <w:shd w:val="clear" w:color="auto" w:fill="auto"/>
              </w:rPr>
              <w:t>适合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7" w:hRule="atLeast"/>
          <w:jc w:val="center"/>
        </w:trPr>
        <w:tc>
          <w:tcPr>
            <w:tcW w:w="1888" w:type="dxa"/>
            <w:tcBorders>
              <w:tl2br w:val="nil"/>
              <w:tr2bl w:val="nil"/>
            </w:tcBorders>
            <w:shd w:val="clear" w:color="auto" w:fill="auto"/>
          </w:tcPr>
          <w:p>
            <w:pPr>
              <w:pStyle w:val="35"/>
              <w:keepNext w:val="0"/>
              <w:keepLines w:val="0"/>
              <w:suppressLineNumbers w:val="0"/>
              <w:spacing w:before="0" w:beforeAutospacing="0" w:after="0" w:afterAutospacing="0" w:line="360" w:lineRule="auto"/>
              <w:ind w:left="0" w:right="0" w:firstLine="0" w:firstLineChars="0"/>
              <w:rPr>
                <w:rFonts w:hint="eastAsia" w:asciiTheme="minorEastAsia" w:hAnsiTheme="minorEastAsia" w:eastAsiaTheme="minorEastAsia" w:cstheme="minorEastAsia"/>
                <w:b/>
                <w:sz w:val="18"/>
                <w:szCs w:val="18"/>
                <w:shd w:val="clear" w:color="auto" w:fill="auto"/>
              </w:rPr>
            </w:pPr>
            <w:r>
              <w:rPr>
                <w:rFonts w:hint="eastAsia" w:asciiTheme="minorEastAsia" w:hAnsiTheme="minorEastAsia" w:eastAsiaTheme="minorEastAsia" w:cstheme="minorEastAsia"/>
                <w:b/>
                <w:sz w:val="18"/>
                <w:szCs w:val="18"/>
                <w:shd w:val="clear" w:color="auto" w:fill="auto"/>
              </w:rPr>
              <w:t>进取型</w:t>
            </w:r>
          </w:p>
        </w:tc>
        <w:tc>
          <w:tcPr>
            <w:tcW w:w="1248"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适合</w:t>
            </w:r>
          </w:p>
        </w:tc>
        <w:tc>
          <w:tcPr>
            <w:tcW w:w="114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适合</w:t>
            </w:r>
          </w:p>
        </w:tc>
        <w:tc>
          <w:tcPr>
            <w:tcW w:w="130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适合</w:t>
            </w:r>
          </w:p>
        </w:tc>
        <w:tc>
          <w:tcPr>
            <w:tcW w:w="141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适合</w:t>
            </w:r>
          </w:p>
        </w:tc>
        <w:tc>
          <w:tcPr>
            <w:tcW w:w="1256"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不适合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7" w:hRule="atLeast"/>
          <w:jc w:val="center"/>
        </w:trPr>
        <w:tc>
          <w:tcPr>
            <w:tcW w:w="1888" w:type="dxa"/>
            <w:tcBorders>
              <w:tl2br w:val="nil"/>
              <w:tr2bl w:val="nil"/>
            </w:tcBorders>
            <w:shd w:val="clear" w:color="auto" w:fill="auto"/>
          </w:tcPr>
          <w:p>
            <w:pPr>
              <w:pStyle w:val="35"/>
              <w:keepNext w:val="0"/>
              <w:keepLines w:val="0"/>
              <w:suppressLineNumbers w:val="0"/>
              <w:spacing w:before="0" w:beforeAutospacing="0" w:after="0" w:afterAutospacing="0" w:line="360" w:lineRule="auto"/>
              <w:ind w:left="0" w:right="0" w:firstLine="0" w:firstLineChars="0"/>
              <w:rPr>
                <w:rFonts w:hint="eastAsia" w:asciiTheme="minorEastAsia" w:hAnsiTheme="minorEastAsia" w:eastAsiaTheme="minorEastAsia" w:cstheme="minorEastAsia"/>
                <w:b/>
                <w:sz w:val="18"/>
                <w:szCs w:val="18"/>
                <w:shd w:val="clear" w:color="auto" w:fill="auto"/>
              </w:rPr>
            </w:pPr>
            <w:r>
              <w:rPr>
                <w:rFonts w:hint="eastAsia" w:asciiTheme="minorEastAsia" w:hAnsiTheme="minorEastAsia" w:eastAsiaTheme="minorEastAsia" w:cstheme="minorEastAsia"/>
                <w:b/>
                <w:sz w:val="18"/>
                <w:szCs w:val="18"/>
                <w:shd w:val="clear" w:color="auto" w:fill="auto"/>
              </w:rPr>
              <w:t>稳健型</w:t>
            </w:r>
          </w:p>
        </w:tc>
        <w:tc>
          <w:tcPr>
            <w:tcW w:w="1248"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适合</w:t>
            </w:r>
          </w:p>
        </w:tc>
        <w:tc>
          <w:tcPr>
            <w:tcW w:w="114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适合</w:t>
            </w:r>
          </w:p>
        </w:tc>
        <w:tc>
          <w:tcPr>
            <w:tcW w:w="130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适合</w:t>
            </w:r>
          </w:p>
        </w:tc>
        <w:tc>
          <w:tcPr>
            <w:tcW w:w="1414"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不适合</w:t>
            </w:r>
          </w:p>
        </w:tc>
        <w:tc>
          <w:tcPr>
            <w:tcW w:w="1256"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不适合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888" w:type="dxa"/>
            <w:tcBorders>
              <w:tl2br w:val="nil"/>
              <w:tr2bl w:val="nil"/>
            </w:tcBorders>
            <w:shd w:val="clear" w:color="auto" w:fill="auto"/>
          </w:tcPr>
          <w:p>
            <w:pPr>
              <w:pStyle w:val="35"/>
              <w:keepNext w:val="0"/>
              <w:keepLines w:val="0"/>
              <w:suppressLineNumbers w:val="0"/>
              <w:spacing w:before="0" w:beforeAutospacing="0" w:after="0" w:afterAutospacing="0" w:line="360" w:lineRule="auto"/>
              <w:ind w:left="0" w:right="0" w:firstLine="0" w:firstLineChars="0"/>
              <w:rPr>
                <w:rFonts w:hint="eastAsia" w:asciiTheme="minorEastAsia" w:hAnsiTheme="minorEastAsia" w:eastAsiaTheme="minorEastAsia" w:cstheme="minorEastAsia"/>
                <w:b/>
                <w:sz w:val="18"/>
                <w:szCs w:val="18"/>
                <w:shd w:val="clear" w:color="auto" w:fill="auto"/>
              </w:rPr>
            </w:pPr>
            <w:r>
              <w:rPr>
                <w:rFonts w:hint="eastAsia" w:asciiTheme="minorEastAsia" w:hAnsiTheme="minorEastAsia" w:eastAsiaTheme="minorEastAsia" w:cstheme="minorEastAsia"/>
                <w:b/>
                <w:sz w:val="18"/>
                <w:szCs w:val="18"/>
                <w:shd w:val="clear" w:color="auto" w:fill="auto"/>
              </w:rPr>
              <w:t>谨慎型</w:t>
            </w:r>
          </w:p>
        </w:tc>
        <w:tc>
          <w:tcPr>
            <w:tcW w:w="1248"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适合</w:t>
            </w:r>
          </w:p>
        </w:tc>
        <w:tc>
          <w:tcPr>
            <w:tcW w:w="114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适合</w:t>
            </w:r>
          </w:p>
        </w:tc>
        <w:tc>
          <w:tcPr>
            <w:tcW w:w="1309"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不适合</w:t>
            </w:r>
          </w:p>
        </w:tc>
        <w:tc>
          <w:tcPr>
            <w:tcW w:w="1414"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不适合</w:t>
            </w:r>
          </w:p>
        </w:tc>
        <w:tc>
          <w:tcPr>
            <w:tcW w:w="1256"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不适合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2" w:hRule="atLeast"/>
          <w:jc w:val="center"/>
        </w:trPr>
        <w:tc>
          <w:tcPr>
            <w:tcW w:w="1888" w:type="dxa"/>
            <w:tcBorders>
              <w:tl2br w:val="nil"/>
              <w:tr2bl w:val="nil"/>
            </w:tcBorders>
            <w:shd w:val="clear" w:color="auto" w:fill="auto"/>
          </w:tcPr>
          <w:p>
            <w:pPr>
              <w:pStyle w:val="35"/>
              <w:keepNext w:val="0"/>
              <w:keepLines w:val="0"/>
              <w:suppressLineNumbers w:val="0"/>
              <w:spacing w:before="0" w:beforeAutospacing="0" w:after="0" w:afterAutospacing="0" w:line="360" w:lineRule="auto"/>
              <w:ind w:left="0" w:right="0" w:firstLine="0" w:firstLineChars="0"/>
              <w:rPr>
                <w:rFonts w:hint="eastAsia" w:asciiTheme="minorEastAsia" w:hAnsiTheme="minorEastAsia" w:eastAsiaTheme="minorEastAsia" w:cstheme="minorEastAsia"/>
                <w:b/>
                <w:sz w:val="18"/>
                <w:szCs w:val="18"/>
                <w:shd w:val="clear" w:color="auto" w:fill="auto"/>
              </w:rPr>
            </w:pPr>
            <w:r>
              <w:rPr>
                <w:rFonts w:hint="eastAsia" w:asciiTheme="minorEastAsia" w:hAnsiTheme="minorEastAsia" w:eastAsiaTheme="minorEastAsia" w:cstheme="minorEastAsia"/>
                <w:b/>
                <w:sz w:val="18"/>
                <w:szCs w:val="18"/>
                <w:shd w:val="clear" w:color="auto" w:fill="auto"/>
              </w:rPr>
              <w:t>保守型</w:t>
            </w:r>
          </w:p>
        </w:tc>
        <w:tc>
          <w:tcPr>
            <w:tcW w:w="1248"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适合</w:t>
            </w:r>
          </w:p>
        </w:tc>
        <w:tc>
          <w:tcPr>
            <w:tcW w:w="1142"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不适合</w:t>
            </w:r>
          </w:p>
        </w:tc>
        <w:tc>
          <w:tcPr>
            <w:tcW w:w="1309"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不适合</w:t>
            </w:r>
          </w:p>
        </w:tc>
        <w:tc>
          <w:tcPr>
            <w:tcW w:w="1414"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不适合</w:t>
            </w:r>
          </w:p>
        </w:tc>
        <w:tc>
          <w:tcPr>
            <w:tcW w:w="1256"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sz w:val="18"/>
                <w:szCs w:val="18"/>
                <w:shd w:val="clear" w:color="auto" w:fill="auto"/>
              </w:rPr>
              <w:t>不适合</w:t>
            </w:r>
          </w:p>
        </w:tc>
      </w:tr>
    </w:tbl>
    <w:p>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注：以上对应关系如有变动，以代理销售服务机构告知的结果为准。</w:t>
      </w:r>
    </w:p>
    <w:p>
      <w:pPr>
        <w:ind w:firstLine="361" w:firstLineChars="200"/>
        <w:outlineLvl w:val="1"/>
        <w:rPr>
          <w:rFonts w:hint="eastAsia" w:ascii="宋体" w:hAnsi="宋体"/>
          <w:b/>
          <w:sz w:val="18"/>
          <w:szCs w:val="18"/>
        </w:rPr>
      </w:pPr>
      <w:r>
        <w:rPr>
          <w:rFonts w:hint="eastAsia" w:ascii="宋体" w:hAnsi="宋体"/>
          <w:b/>
          <w:sz w:val="18"/>
          <w:szCs w:val="18"/>
        </w:rPr>
        <w:t>三、关于理财产品的信息披露</w:t>
      </w:r>
    </w:p>
    <w:p>
      <w:pPr>
        <w:ind w:firstLine="360" w:firstLineChars="200"/>
        <w:outlineLvl w:val="1"/>
        <w:rPr>
          <w:rFonts w:hint="eastAsia" w:ascii="宋体" w:hAnsi="宋体"/>
          <w:b/>
          <w:sz w:val="18"/>
          <w:szCs w:val="18"/>
        </w:rPr>
      </w:pPr>
      <w:r>
        <w:rPr>
          <w:rFonts w:hint="eastAsia" w:ascii="宋体" w:hAnsi="宋体"/>
          <w:sz w:val="18"/>
          <w:szCs w:val="18"/>
        </w:rPr>
        <w:t>理财产品相关信息的披露方式、渠道和频率，您可以根据本产品对应的产品说明书“信息披露”中约定，通过拨打管理人或代理销售服务机构客户服务热线、登录管理人网站或代理销售服务机构网站或至代理销售服务机构营业网点进行查询。</w:t>
      </w:r>
    </w:p>
    <w:p>
      <w:pPr>
        <w:ind w:firstLine="361" w:firstLineChars="200"/>
        <w:outlineLvl w:val="1"/>
        <w:rPr>
          <w:rFonts w:hint="eastAsia" w:ascii="宋体" w:hAnsi="宋体"/>
          <w:b/>
          <w:sz w:val="18"/>
          <w:szCs w:val="18"/>
        </w:rPr>
      </w:pPr>
      <w:r>
        <w:rPr>
          <w:rFonts w:hint="eastAsia" w:ascii="宋体" w:hAnsi="宋体"/>
          <w:b/>
          <w:sz w:val="18"/>
          <w:szCs w:val="18"/>
        </w:rPr>
        <w:t>四、关于投诉与建议</w:t>
      </w:r>
    </w:p>
    <w:p>
      <w:pPr>
        <w:ind w:firstLine="360" w:firstLineChars="200"/>
        <w:rPr>
          <w:rFonts w:hint="eastAsia" w:ascii="宋体" w:hAnsi="宋体"/>
          <w:sz w:val="18"/>
          <w:szCs w:val="18"/>
        </w:rPr>
      </w:pPr>
      <w:r>
        <w:rPr>
          <w:rFonts w:hint="eastAsia" w:ascii="宋体" w:hAnsi="宋体"/>
          <w:sz w:val="18"/>
          <w:szCs w:val="18"/>
        </w:rPr>
        <w:t>如您对所购买的理财产品有任何意见或建议，请反馈至管理人或代理销售服务机构的各营业网点工作人员，也可致电管理人或代理销售服务机构的全国统一客户服务热线，并根据客服的提示进行操作，管理人与代理销售服务机构将及时受理并给予答复。</w:t>
      </w:r>
    </w:p>
    <w:p>
      <w:pPr>
        <w:ind w:firstLine="361" w:firstLineChars="200"/>
        <w:outlineLvl w:val="1"/>
        <w:rPr>
          <w:rFonts w:hint="eastAsia" w:ascii="宋体" w:hAnsi="宋体"/>
          <w:b/>
          <w:sz w:val="18"/>
          <w:szCs w:val="18"/>
        </w:rPr>
      </w:pPr>
      <w:r>
        <w:rPr>
          <w:rFonts w:hint="eastAsia" w:ascii="宋体" w:hAnsi="宋体"/>
          <w:b/>
          <w:sz w:val="18"/>
          <w:szCs w:val="18"/>
        </w:rPr>
        <w:t>五、联络方式</w:t>
      </w:r>
    </w:p>
    <w:p>
      <w:pPr>
        <w:ind w:firstLine="360" w:firstLineChars="200"/>
        <w:rPr>
          <w:rFonts w:hint="eastAsia" w:ascii="宋体" w:hAnsi="宋体"/>
          <w:sz w:val="18"/>
          <w:szCs w:val="18"/>
        </w:rPr>
      </w:pPr>
      <w:r>
        <w:rPr>
          <w:rFonts w:hint="eastAsia" w:ascii="宋体" w:hAnsi="宋体"/>
          <w:sz w:val="18"/>
          <w:szCs w:val="18"/>
        </w:rPr>
        <w:t>（一）管理人联络方式</w:t>
      </w:r>
    </w:p>
    <w:p>
      <w:pPr>
        <w:ind w:firstLine="360" w:firstLineChars="200"/>
        <w:rPr>
          <w:rFonts w:hint="eastAsia" w:ascii="宋体" w:hAnsi="宋体"/>
          <w:sz w:val="18"/>
          <w:szCs w:val="18"/>
        </w:rPr>
      </w:pPr>
      <w:r>
        <w:rPr>
          <w:rFonts w:hint="eastAsia" w:ascii="宋体" w:hAnsi="宋体"/>
          <w:sz w:val="18"/>
          <w:szCs w:val="18"/>
        </w:rPr>
        <w:t>【渤银理财有限责任公司】客户服务热线：【022-58065621（工作日8:30-17:30）】</w:t>
      </w:r>
    </w:p>
    <w:p>
      <w:pPr>
        <w:ind w:firstLine="360" w:firstLineChars="200"/>
      </w:pPr>
      <w:r>
        <w:rPr>
          <w:rFonts w:hint="eastAsia" w:ascii="宋体" w:hAnsi="宋体"/>
          <w:sz w:val="18"/>
          <w:szCs w:val="18"/>
        </w:rPr>
        <w:t>【渤银理财有限责任公司】门户网站：【</w:t>
      </w:r>
      <w:r>
        <w:rPr>
          <w:rFonts w:hint="eastAsia" w:ascii="宋体" w:hAnsi="宋体" w:cs="Times New Roman"/>
          <w:bCs/>
          <w:i w:val="0"/>
          <w:caps w:val="0"/>
          <w:color w:val="auto"/>
          <w:spacing w:val="0"/>
          <w:sz w:val="18"/>
          <w:szCs w:val="18"/>
          <w:highlight w:val="none"/>
          <w:lang w:val="en-US" w:eastAsia="zh-CN"/>
        </w:rPr>
        <w:t>www.cbhbwm.com.cn</w:t>
      </w:r>
      <w:r>
        <w:rPr>
          <w:rFonts w:hint="eastAsia" w:ascii="宋体" w:hAnsi="宋体"/>
          <w:sz w:val="18"/>
          <w:szCs w:val="18"/>
        </w:rPr>
        <w:t>】</w:t>
      </w:r>
    </w:p>
    <w:p>
      <w:pPr>
        <w:ind w:firstLine="360" w:firstLineChars="200"/>
        <w:rPr>
          <w:rFonts w:hint="eastAsia" w:ascii="宋体" w:hAnsi="宋体"/>
          <w:sz w:val="18"/>
          <w:szCs w:val="18"/>
        </w:rPr>
      </w:pPr>
      <w:r>
        <w:rPr>
          <w:rFonts w:hint="eastAsia" w:ascii="宋体" w:hAnsi="宋体"/>
          <w:sz w:val="18"/>
          <w:szCs w:val="18"/>
        </w:rPr>
        <w:t>（二）代理销售服务机构联络方式</w:t>
      </w:r>
    </w:p>
    <w:p>
      <w:pPr>
        <w:ind w:firstLine="360" w:firstLineChars="200"/>
        <w:rPr>
          <w:rFonts w:hint="eastAsia" w:ascii="宋体" w:hAnsi="宋体"/>
          <w:sz w:val="18"/>
          <w:szCs w:val="18"/>
        </w:rPr>
      </w:pPr>
      <w:r>
        <w:rPr>
          <w:rFonts w:hint="eastAsia" w:ascii="宋体" w:hAnsi="宋体"/>
          <w:sz w:val="18"/>
          <w:szCs w:val="18"/>
        </w:rPr>
        <w:t>【</w:t>
      </w:r>
      <w:r>
        <w:rPr>
          <w:rFonts w:hint="eastAsia" w:ascii="宋体" w:hAnsi="宋体"/>
          <w:bCs/>
          <w:sz w:val="18"/>
          <w:szCs w:val="18"/>
        </w:rPr>
        <w:t>湖南银行股份有限公司</w:t>
      </w:r>
      <w:r>
        <w:rPr>
          <w:rFonts w:hint="eastAsia" w:ascii="宋体" w:hAnsi="宋体"/>
          <w:sz w:val="18"/>
          <w:szCs w:val="18"/>
        </w:rPr>
        <w:t>】客户服务热线：【</w:t>
      </w:r>
      <w:r>
        <w:rPr>
          <w:rFonts w:hint="eastAsia" w:ascii="宋体" w:hAnsi="宋体"/>
          <w:bCs/>
          <w:sz w:val="18"/>
          <w:szCs w:val="18"/>
        </w:rPr>
        <w:t>0731-96599</w:t>
      </w:r>
      <w:r>
        <w:rPr>
          <w:rFonts w:hint="eastAsia" w:ascii="宋体" w:hAnsi="宋体"/>
          <w:sz w:val="18"/>
          <w:szCs w:val="18"/>
        </w:rPr>
        <w:t>】</w:t>
      </w:r>
    </w:p>
    <w:p>
      <w:pPr>
        <w:ind w:firstLine="360" w:firstLineChars="200"/>
        <w:rPr>
          <w:rFonts w:hint="eastAsia" w:ascii="宋体" w:hAnsi="宋体"/>
          <w:sz w:val="18"/>
          <w:szCs w:val="18"/>
        </w:rPr>
      </w:pPr>
      <w:r>
        <w:rPr>
          <w:rFonts w:hint="eastAsia" w:ascii="宋体" w:hAnsi="宋体"/>
          <w:sz w:val="18"/>
          <w:szCs w:val="18"/>
        </w:rPr>
        <w:t>【</w:t>
      </w:r>
      <w:r>
        <w:rPr>
          <w:rFonts w:hint="eastAsia" w:ascii="宋体" w:hAnsi="宋体"/>
          <w:bCs/>
          <w:sz w:val="18"/>
          <w:szCs w:val="18"/>
        </w:rPr>
        <w:t>湖南银行股份有限公司</w:t>
      </w:r>
      <w:r>
        <w:rPr>
          <w:rFonts w:hint="eastAsia" w:ascii="宋体" w:hAnsi="宋体"/>
          <w:sz w:val="18"/>
          <w:szCs w:val="18"/>
        </w:rPr>
        <w:t>】门户网站：【www.hunan-bank.com】</w:t>
      </w:r>
    </w:p>
    <w:p>
      <w:pPr>
        <w:widowControl/>
        <w:ind w:right="84" w:rightChars="40"/>
        <w:jc w:val="right"/>
      </w:pPr>
    </w:p>
    <w:p>
      <w:pPr>
        <w:ind w:firstLine="0" w:firstLineChars="0"/>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sectPr>
      <w:type w:val="continuous"/>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第</w:t>
    </w:r>
    <w:r>
      <w:fldChar w:fldCharType="begin"/>
    </w:r>
    <w:r>
      <w:instrText xml:space="preserve">PAGE   \* MERGEFORMAT</w:instrText>
    </w:r>
    <w:r>
      <w:fldChar w:fldCharType="separate"/>
    </w:r>
    <w:r>
      <w:rPr>
        <w:lang w:val="zh-CN"/>
      </w:rPr>
      <w:t>5</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thickThinLargeGap" w:color="auto" w:sz="24" w:space="10"/>
      </w:pBdr>
      <w:tabs>
        <w:tab w:val="right" w:pos="8280"/>
      </w:tabs>
      <w:wordWrap w:val="0"/>
      <w:adjustRightInd w:val="0"/>
      <w:ind w:firstLine="180" w:firstLineChars="100"/>
      <w:jc w:val="right"/>
    </w:pPr>
    <w:r>
      <w:rPr>
        <w:rFonts w:hint="eastAsia"/>
      </w:rPr>
      <w:t>投资者权益须知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trackRevisions w:val="1"/>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zk1NmJiZGVmYTUyZmYxZTZmYjcwM2RjOTNkYzEifQ=="/>
  </w:docVars>
  <w:rsids>
    <w:rsidRoot w:val="7D130642"/>
    <w:rsid w:val="00010D64"/>
    <w:rsid w:val="00093999"/>
    <w:rsid w:val="000B6E26"/>
    <w:rsid w:val="001077E8"/>
    <w:rsid w:val="001318A9"/>
    <w:rsid w:val="001557D3"/>
    <w:rsid w:val="001822EF"/>
    <w:rsid w:val="001A7056"/>
    <w:rsid w:val="001D4EAC"/>
    <w:rsid w:val="001F4453"/>
    <w:rsid w:val="001F681F"/>
    <w:rsid w:val="003521CA"/>
    <w:rsid w:val="0035296E"/>
    <w:rsid w:val="003B36DC"/>
    <w:rsid w:val="003D3A75"/>
    <w:rsid w:val="003D5973"/>
    <w:rsid w:val="004038A0"/>
    <w:rsid w:val="004652C2"/>
    <w:rsid w:val="00467F18"/>
    <w:rsid w:val="00475A8F"/>
    <w:rsid w:val="00480F67"/>
    <w:rsid w:val="004B58E3"/>
    <w:rsid w:val="004D394B"/>
    <w:rsid w:val="004F672F"/>
    <w:rsid w:val="00510C06"/>
    <w:rsid w:val="0053286A"/>
    <w:rsid w:val="005342AC"/>
    <w:rsid w:val="00546758"/>
    <w:rsid w:val="00551FC1"/>
    <w:rsid w:val="00574CDA"/>
    <w:rsid w:val="00594DC3"/>
    <w:rsid w:val="005E0FA5"/>
    <w:rsid w:val="00667106"/>
    <w:rsid w:val="00691EC3"/>
    <w:rsid w:val="00720A38"/>
    <w:rsid w:val="0074351A"/>
    <w:rsid w:val="00783987"/>
    <w:rsid w:val="00790D5E"/>
    <w:rsid w:val="00877DA1"/>
    <w:rsid w:val="00894D81"/>
    <w:rsid w:val="008A69B3"/>
    <w:rsid w:val="008E61C6"/>
    <w:rsid w:val="00905BCD"/>
    <w:rsid w:val="009C0F40"/>
    <w:rsid w:val="00A01E6F"/>
    <w:rsid w:val="00A10B78"/>
    <w:rsid w:val="00A75F6D"/>
    <w:rsid w:val="00AC5CDD"/>
    <w:rsid w:val="00AD35B3"/>
    <w:rsid w:val="00B73617"/>
    <w:rsid w:val="00B90138"/>
    <w:rsid w:val="00BA5BCF"/>
    <w:rsid w:val="00BE08D6"/>
    <w:rsid w:val="00BF0CC9"/>
    <w:rsid w:val="00C05A02"/>
    <w:rsid w:val="00C20B0C"/>
    <w:rsid w:val="00C23745"/>
    <w:rsid w:val="00C82D0B"/>
    <w:rsid w:val="00CA025C"/>
    <w:rsid w:val="00CA0711"/>
    <w:rsid w:val="00CA6ED1"/>
    <w:rsid w:val="00CB092A"/>
    <w:rsid w:val="00CD172A"/>
    <w:rsid w:val="00D651B4"/>
    <w:rsid w:val="00DE35EC"/>
    <w:rsid w:val="00E34726"/>
    <w:rsid w:val="00EB400B"/>
    <w:rsid w:val="00EC4301"/>
    <w:rsid w:val="00F23C94"/>
    <w:rsid w:val="00F80482"/>
    <w:rsid w:val="00F96866"/>
    <w:rsid w:val="00FB1128"/>
    <w:rsid w:val="014C3BB0"/>
    <w:rsid w:val="02D43E81"/>
    <w:rsid w:val="03DE1464"/>
    <w:rsid w:val="03EE1DE1"/>
    <w:rsid w:val="043A183B"/>
    <w:rsid w:val="048074DB"/>
    <w:rsid w:val="049B3B1D"/>
    <w:rsid w:val="04A049DE"/>
    <w:rsid w:val="05286EA0"/>
    <w:rsid w:val="0573785F"/>
    <w:rsid w:val="058A3EA4"/>
    <w:rsid w:val="05B75DB2"/>
    <w:rsid w:val="06191F1C"/>
    <w:rsid w:val="06C878D4"/>
    <w:rsid w:val="07786DEE"/>
    <w:rsid w:val="07D45D6A"/>
    <w:rsid w:val="087E0B29"/>
    <w:rsid w:val="08D112D7"/>
    <w:rsid w:val="093213AA"/>
    <w:rsid w:val="094914C2"/>
    <w:rsid w:val="0A3637EA"/>
    <w:rsid w:val="0A775146"/>
    <w:rsid w:val="0B6D1816"/>
    <w:rsid w:val="0C8F5BC5"/>
    <w:rsid w:val="0D5C77F7"/>
    <w:rsid w:val="10006B6C"/>
    <w:rsid w:val="10F27413"/>
    <w:rsid w:val="11386B9D"/>
    <w:rsid w:val="11926760"/>
    <w:rsid w:val="126F5347"/>
    <w:rsid w:val="1274439B"/>
    <w:rsid w:val="12AD402E"/>
    <w:rsid w:val="14F21F6C"/>
    <w:rsid w:val="15A7173D"/>
    <w:rsid w:val="15BB7D2F"/>
    <w:rsid w:val="15F70E6E"/>
    <w:rsid w:val="166D6ED3"/>
    <w:rsid w:val="17A371CF"/>
    <w:rsid w:val="185E53C1"/>
    <w:rsid w:val="187B1850"/>
    <w:rsid w:val="18994F27"/>
    <w:rsid w:val="18DD2021"/>
    <w:rsid w:val="18DD4F6B"/>
    <w:rsid w:val="196835AE"/>
    <w:rsid w:val="19E47C1A"/>
    <w:rsid w:val="1A08278C"/>
    <w:rsid w:val="1A663A71"/>
    <w:rsid w:val="1A887DC1"/>
    <w:rsid w:val="1A8E6703"/>
    <w:rsid w:val="1A980172"/>
    <w:rsid w:val="1AC078C5"/>
    <w:rsid w:val="1AE57717"/>
    <w:rsid w:val="1B6C159F"/>
    <w:rsid w:val="1BDD7D96"/>
    <w:rsid w:val="1BF81957"/>
    <w:rsid w:val="1C2B75AF"/>
    <w:rsid w:val="1CA15A92"/>
    <w:rsid w:val="1D1A5A07"/>
    <w:rsid w:val="1DBC5B35"/>
    <w:rsid w:val="1E2170DA"/>
    <w:rsid w:val="1FE928DA"/>
    <w:rsid w:val="2075279B"/>
    <w:rsid w:val="207D7BFC"/>
    <w:rsid w:val="20DB1B63"/>
    <w:rsid w:val="2176090B"/>
    <w:rsid w:val="21DA4FE1"/>
    <w:rsid w:val="23CD20CB"/>
    <w:rsid w:val="23EA66C6"/>
    <w:rsid w:val="24CD7AB1"/>
    <w:rsid w:val="258642F9"/>
    <w:rsid w:val="258E109F"/>
    <w:rsid w:val="25985F29"/>
    <w:rsid w:val="272F064F"/>
    <w:rsid w:val="27DE3207"/>
    <w:rsid w:val="27F83E10"/>
    <w:rsid w:val="281F29F7"/>
    <w:rsid w:val="281F69A6"/>
    <w:rsid w:val="28817107"/>
    <w:rsid w:val="28AD0083"/>
    <w:rsid w:val="292C4DDC"/>
    <w:rsid w:val="298C1931"/>
    <w:rsid w:val="29901FE3"/>
    <w:rsid w:val="2AC70F0F"/>
    <w:rsid w:val="2B4D2CD7"/>
    <w:rsid w:val="2CEA4E2E"/>
    <w:rsid w:val="2D8655EC"/>
    <w:rsid w:val="2DF94282"/>
    <w:rsid w:val="2F536E50"/>
    <w:rsid w:val="2F772D8A"/>
    <w:rsid w:val="2FBD5241"/>
    <w:rsid w:val="30093EE4"/>
    <w:rsid w:val="30C65728"/>
    <w:rsid w:val="33062079"/>
    <w:rsid w:val="33BC72B7"/>
    <w:rsid w:val="33C062FE"/>
    <w:rsid w:val="347279FA"/>
    <w:rsid w:val="348B4AF7"/>
    <w:rsid w:val="348D6C17"/>
    <w:rsid w:val="34B63D63"/>
    <w:rsid w:val="35CB7C4A"/>
    <w:rsid w:val="377C48AB"/>
    <w:rsid w:val="389A60DD"/>
    <w:rsid w:val="394F5241"/>
    <w:rsid w:val="39DB0DE8"/>
    <w:rsid w:val="3A383AE9"/>
    <w:rsid w:val="3AC93C01"/>
    <w:rsid w:val="3BA82B74"/>
    <w:rsid w:val="3C512802"/>
    <w:rsid w:val="3DA26112"/>
    <w:rsid w:val="3E1B6766"/>
    <w:rsid w:val="3E3E7670"/>
    <w:rsid w:val="3F124434"/>
    <w:rsid w:val="3F167B7F"/>
    <w:rsid w:val="40135E6D"/>
    <w:rsid w:val="40AA6A91"/>
    <w:rsid w:val="416B1A15"/>
    <w:rsid w:val="42480FC5"/>
    <w:rsid w:val="42D82E27"/>
    <w:rsid w:val="443A09C7"/>
    <w:rsid w:val="443A7791"/>
    <w:rsid w:val="447A4A30"/>
    <w:rsid w:val="44880D9E"/>
    <w:rsid w:val="455544D8"/>
    <w:rsid w:val="45D0434D"/>
    <w:rsid w:val="466153D7"/>
    <w:rsid w:val="47145859"/>
    <w:rsid w:val="474458CA"/>
    <w:rsid w:val="477C562C"/>
    <w:rsid w:val="47A84A89"/>
    <w:rsid w:val="47E21313"/>
    <w:rsid w:val="48FB0BD8"/>
    <w:rsid w:val="4A6B1079"/>
    <w:rsid w:val="4AFC5B1B"/>
    <w:rsid w:val="4B666BF4"/>
    <w:rsid w:val="4C285B57"/>
    <w:rsid w:val="4C6A590C"/>
    <w:rsid w:val="4CD45C3E"/>
    <w:rsid w:val="4D8235E0"/>
    <w:rsid w:val="4D91166C"/>
    <w:rsid w:val="4E262D36"/>
    <w:rsid w:val="4E5E46B3"/>
    <w:rsid w:val="4FAE0046"/>
    <w:rsid w:val="4FB818E1"/>
    <w:rsid w:val="50661DA8"/>
    <w:rsid w:val="514C2799"/>
    <w:rsid w:val="515F16DA"/>
    <w:rsid w:val="51752E0C"/>
    <w:rsid w:val="51CE188D"/>
    <w:rsid w:val="51F24DAA"/>
    <w:rsid w:val="52203BB6"/>
    <w:rsid w:val="5259022B"/>
    <w:rsid w:val="52F010CF"/>
    <w:rsid w:val="53D850B5"/>
    <w:rsid w:val="54250C4D"/>
    <w:rsid w:val="54965674"/>
    <w:rsid w:val="55871BC5"/>
    <w:rsid w:val="56476B07"/>
    <w:rsid w:val="5678105E"/>
    <w:rsid w:val="568B02B4"/>
    <w:rsid w:val="56BF71CB"/>
    <w:rsid w:val="57CD3AE4"/>
    <w:rsid w:val="5A29653E"/>
    <w:rsid w:val="5B755E3D"/>
    <w:rsid w:val="5C0A4076"/>
    <w:rsid w:val="5D253E92"/>
    <w:rsid w:val="5D30657D"/>
    <w:rsid w:val="5EC7076B"/>
    <w:rsid w:val="5F0F290E"/>
    <w:rsid w:val="5F176EC1"/>
    <w:rsid w:val="608337A9"/>
    <w:rsid w:val="609C7BC8"/>
    <w:rsid w:val="61665D76"/>
    <w:rsid w:val="619131B9"/>
    <w:rsid w:val="62181A11"/>
    <w:rsid w:val="628F5685"/>
    <w:rsid w:val="62B24937"/>
    <w:rsid w:val="632F2020"/>
    <w:rsid w:val="635A41C8"/>
    <w:rsid w:val="639E67FB"/>
    <w:rsid w:val="643A5B1B"/>
    <w:rsid w:val="658744C9"/>
    <w:rsid w:val="67DA36E5"/>
    <w:rsid w:val="682E3C26"/>
    <w:rsid w:val="69C5345B"/>
    <w:rsid w:val="69F92AEA"/>
    <w:rsid w:val="6A800322"/>
    <w:rsid w:val="6ABD1723"/>
    <w:rsid w:val="6AC9642E"/>
    <w:rsid w:val="6B122AA9"/>
    <w:rsid w:val="6B521347"/>
    <w:rsid w:val="6BCB0D40"/>
    <w:rsid w:val="6C384DAD"/>
    <w:rsid w:val="6C434C02"/>
    <w:rsid w:val="6D15764C"/>
    <w:rsid w:val="6D5B1C74"/>
    <w:rsid w:val="6D63762F"/>
    <w:rsid w:val="72D40DFE"/>
    <w:rsid w:val="73772951"/>
    <w:rsid w:val="73807C1C"/>
    <w:rsid w:val="73A618E6"/>
    <w:rsid w:val="740E1E64"/>
    <w:rsid w:val="747B1FB7"/>
    <w:rsid w:val="74B56A35"/>
    <w:rsid w:val="74EA38C3"/>
    <w:rsid w:val="75120D1B"/>
    <w:rsid w:val="752019D3"/>
    <w:rsid w:val="758070D1"/>
    <w:rsid w:val="762D50B7"/>
    <w:rsid w:val="76316203"/>
    <w:rsid w:val="76AB0ED1"/>
    <w:rsid w:val="76C530C7"/>
    <w:rsid w:val="76CC2A5B"/>
    <w:rsid w:val="79B266FC"/>
    <w:rsid w:val="7A7E7BBA"/>
    <w:rsid w:val="7AB1187B"/>
    <w:rsid w:val="7B0D69D2"/>
    <w:rsid w:val="7B380127"/>
    <w:rsid w:val="7D130642"/>
    <w:rsid w:val="7FC14B38"/>
    <w:rsid w:val="7FD23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0" w:semiHidden="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1"/>
    <w:qFormat/>
    <w:uiPriority w:val="0"/>
    <w:pPr>
      <w:keepNext/>
      <w:keepLines/>
      <w:spacing w:before="120" w:after="120" w:line="360" w:lineRule="auto"/>
      <w:outlineLvl w:val="0"/>
    </w:pPr>
    <w:rPr>
      <w:rFonts w:ascii="宋体"/>
      <w:b/>
      <w:color w:val="000000"/>
      <w:kern w:val="0"/>
      <w:sz w:val="24"/>
    </w:rPr>
  </w:style>
  <w:style w:type="paragraph" w:styleId="2">
    <w:name w:val="heading 2"/>
    <w:basedOn w:val="1"/>
    <w:next w:val="1"/>
    <w:semiHidden/>
    <w:unhideWhenUsed/>
    <w:qFormat/>
    <w:uiPriority w:val="9"/>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qFormat/>
    <w:uiPriority w:val="0"/>
    <w:pPr>
      <w:jc w:val="left"/>
    </w:pPr>
  </w:style>
  <w:style w:type="paragraph" w:styleId="5">
    <w:name w:val="Balloon Text"/>
    <w:basedOn w:val="1"/>
    <w:link w:val="25"/>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rFonts w:ascii="Calibri" w:hAnsi="Calibri" w:cs="黑体"/>
      <w:sz w:val="18"/>
      <w:szCs w:val="18"/>
    </w:rPr>
  </w:style>
  <w:style w:type="paragraph" w:styleId="7">
    <w:name w:val="header"/>
    <w:basedOn w:val="1"/>
    <w:link w:val="19"/>
    <w:unhideWhenUsed/>
    <w:qFormat/>
    <w:uiPriority w:val="0"/>
    <w:pPr>
      <w:pBdr>
        <w:bottom w:val="single" w:color="auto" w:sz="6" w:space="1"/>
      </w:pBdr>
      <w:tabs>
        <w:tab w:val="center" w:pos="4153"/>
        <w:tab w:val="right" w:pos="8306"/>
      </w:tabs>
      <w:snapToGrid w:val="0"/>
      <w:jc w:val="center"/>
    </w:pPr>
    <w:rPr>
      <w:rFonts w:ascii="Calibri" w:hAnsi="Calibri" w:cs="黑体"/>
      <w:sz w:val="18"/>
      <w:szCs w:val="18"/>
    </w:rPr>
  </w:style>
  <w:style w:type="paragraph" w:styleId="8">
    <w:name w:val="HTML Preformatted"/>
    <w:basedOn w:val="1"/>
    <w:link w:val="2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4"/>
    <w:next w:val="4"/>
    <w:link w:val="26"/>
    <w:semiHidden/>
    <w:unhideWhenUsed/>
    <w:qFormat/>
    <w:uiPriority w:val="99"/>
    <w:rPr>
      <w:b/>
      <w:bCs/>
    </w:rPr>
  </w:style>
  <w:style w:type="character" w:styleId="13">
    <w:name w:val="Strong"/>
    <w:basedOn w:val="12"/>
    <w:qFormat/>
    <w:uiPriority w:val="22"/>
    <w:rPr>
      <w:b/>
      <w:bCs/>
    </w:rPr>
  </w:style>
  <w:style w:type="character" w:styleId="14">
    <w:name w:val="Hyperlink"/>
    <w:basedOn w:val="12"/>
    <w:unhideWhenUsed/>
    <w:qFormat/>
    <w:uiPriority w:val="99"/>
    <w:rPr>
      <w:color w:val="0000FF"/>
      <w:u w:val="single"/>
    </w:rPr>
  </w:style>
  <w:style w:type="character" w:styleId="15">
    <w:name w:val="annotation reference"/>
    <w:qFormat/>
    <w:uiPriority w:val="0"/>
    <w:rPr>
      <w:sz w:val="21"/>
    </w:rPr>
  </w:style>
  <w:style w:type="paragraph" w:customStyle="1" w:styleId="1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7">
    <w:name w:val="修订1"/>
    <w:hidden/>
    <w:semiHidden/>
    <w:qFormat/>
    <w:uiPriority w:val="99"/>
    <w:rPr>
      <w:rFonts w:ascii="Times New Roman" w:hAnsi="Times New Roman" w:eastAsia="宋体" w:cs="Times New Roman"/>
      <w:kern w:val="2"/>
      <w:sz w:val="21"/>
      <w:lang w:val="en-US" w:eastAsia="zh-CN" w:bidi="ar-SA"/>
    </w:rPr>
  </w:style>
  <w:style w:type="paragraph" w:customStyle="1" w:styleId="18">
    <w:name w:val="修订2"/>
    <w:hidden/>
    <w:semiHidden/>
    <w:qFormat/>
    <w:uiPriority w:val="99"/>
    <w:rPr>
      <w:rFonts w:ascii="Times New Roman" w:hAnsi="Times New Roman" w:eastAsia="宋体" w:cs="Times New Roman"/>
      <w:kern w:val="2"/>
      <w:sz w:val="21"/>
      <w:lang w:val="en-US" w:eastAsia="zh-CN" w:bidi="ar-SA"/>
    </w:rPr>
  </w:style>
  <w:style w:type="character" w:customStyle="1" w:styleId="19">
    <w:name w:val="页眉 字符"/>
    <w:basedOn w:val="12"/>
    <w:link w:val="7"/>
    <w:qFormat/>
    <w:uiPriority w:val="0"/>
    <w:rPr>
      <w:sz w:val="18"/>
      <w:szCs w:val="18"/>
    </w:rPr>
  </w:style>
  <w:style w:type="character" w:customStyle="1" w:styleId="20">
    <w:name w:val="页脚 字符"/>
    <w:basedOn w:val="12"/>
    <w:link w:val="6"/>
    <w:qFormat/>
    <w:uiPriority w:val="99"/>
    <w:rPr>
      <w:sz w:val="18"/>
      <w:szCs w:val="18"/>
    </w:rPr>
  </w:style>
  <w:style w:type="character" w:customStyle="1" w:styleId="21">
    <w:name w:val="标题 1 字符"/>
    <w:basedOn w:val="12"/>
    <w:link w:val="3"/>
    <w:qFormat/>
    <w:uiPriority w:val="0"/>
    <w:rPr>
      <w:rFonts w:ascii="宋体" w:hAnsi="Times New Roman" w:eastAsia="宋体" w:cs="Times New Roman"/>
      <w:b/>
      <w:color w:val="000000"/>
      <w:kern w:val="0"/>
      <w:sz w:val="24"/>
      <w:szCs w:val="20"/>
    </w:rPr>
  </w:style>
  <w:style w:type="character" w:customStyle="1" w:styleId="22">
    <w:name w:val="HTML 预设格式 字符"/>
    <w:basedOn w:val="12"/>
    <w:link w:val="8"/>
    <w:qFormat/>
    <w:uiPriority w:val="99"/>
    <w:rPr>
      <w:rFonts w:ascii="宋体" w:hAnsi="宋体" w:eastAsia="宋体" w:cs="宋体"/>
      <w:kern w:val="0"/>
      <w:sz w:val="24"/>
      <w:szCs w:val="24"/>
    </w:rPr>
  </w:style>
  <w:style w:type="character" w:customStyle="1" w:styleId="23">
    <w:name w:val="批注文字 Char"/>
    <w:basedOn w:val="12"/>
    <w:semiHidden/>
    <w:qFormat/>
    <w:uiPriority w:val="99"/>
    <w:rPr>
      <w:rFonts w:ascii="Times New Roman" w:hAnsi="Times New Roman" w:eastAsia="宋体" w:cs="Times New Roman"/>
      <w:szCs w:val="20"/>
    </w:rPr>
  </w:style>
  <w:style w:type="character" w:customStyle="1" w:styleId="24">
    <w:name w:val="批注文字 字符"/>
    <w:basedOn w:val="12"/>
    <w:link w:val="4"/>
    <w:qFormat/>
    <w:uiPriority w:val="0"/>
    <w:rPr>
      <w:rFonts w:ascii="Times New Roman" w:hAnsi="Times New Roman" w:eastAsia="宋体" w:cs="Times New Roman"/>
      <w:szCs w:val="20"/>
    </w:rPr>
  </w:style>
  <w:style w:type="character" w:customStyle="1" w:styleId="25">
    <w:name w:val="批注框文本 字符"/>
    <w:basedOn w:val="12"/>
    <w:link w:val="5"/>
    <w:semiHidden/>
    <w:qFormat/>
    <w:uiPriority w:val="99"/>
    <w:rPr>
      <w:rFonts w:ascii="Times New Roman" w:hAnsi="Times New Roman" w:eastAsia="宋体" w:cs="Times New Roman"/>
      <w:sz w:val="18"/>
      <w:szCs w:val="18"/>
    </w:rPr>
  </w:style>
  <w:style w:type="character" w:customStyle="1" w:styleId="26">
    <w:name w:val="批注主题 字符"/>
    <w:basedOn w:val="24"/>
    <w:link w:val="10"/>
    <w:semiHidden/>
    <w:qFormat/>
    <w:uiPriority w:val="99"/>
    <w:rPr>
      <w:rFonts w:ascii="Times New Roman" w:hAnsi="Times New Roman" w:eastAsia="宋体" w:cs="Times New Roman"/>
      <w:b/>
      <w:bCs/>
      <w:szCs w:val="20"/>
    </w:rPr>
  </w:style>
  <w:style w:type="paragraph" w:customStyle="1" w:styleId="27">
    <w:name w:val="修订3"/>
    <w:hidden/>
    <w:semiHidden/>
    <w:qFormat/>
    <w:uiPriority w:val="99"/>
    <w:rPr>
      <w:rFonts w:ascii="Times New Roman" w:hAnsi="Times New Roman" w:eastAsia="宋体" w:cs="Times New Roman"/>
      <w:kern w:val="2"/>
      <w:sz w:val="21"/>
      <w:lang w:val="en-US" w:eastAsia="zh-CN" w:bidi="ar-SA"/>
    </w:rPr>
  </w:style>
  <w:style w:type="character" w:customStyle="1" w:styleId="28">
    <w:name w:val="未处理的提及1"/>
    <w:basedOn w:val="12"/>
    <w:semiHidden/>
    <w:unhideWhenUsed/>
    <w:qFormat/>
    <w:uiPriority w:val="99"/>
    <w:rPr>
      <w:color w:val="605E5C"/>
      <w:shd w:val="clear" w:color="auto" w:fill="E1DFDD"/>
    </w:rPr>
  </w:style>
  <w:style w:type="paragraph" w:customStyle="1" w:styleId="29">
    <w:name w:val="修订4"/>
    <w:hidden/>
    <w:semiHidden/>
    <w:qFormat/>
    <w:uiPriority w:val="99"/>
    <w:rPr>
      <w:rFonts w:ascii="Times New Roman" w:hAnsi="Times New Roman" w:eastAsia="宋体" w:cs="Times New Roman"/>
      <w:kern w:val="2"/>
      <w:sz w:val="21"/>
      <w:lang w:val="en-US" w:eastAsia="zh-CN" w:bidi="ar-SA"/>
    </w:rPr>
  </w:style>
  <w:style w:type="paragraph" w:customStyle="1" w:styleId="30">
    <w:name w:val="修订5"/>
    <w:hidden/>
    <w:semiHidden/>
    <w:qFormat/>
    <w:uiPriority w:val="99"/>
    <w:rPr>
      <w:rFonts w:ascii="Times New Roman" w:hAnsi="Times New Roman" w:eastAsia="宋体" w:cs="Times New Roman"/>
      <w:kern w:val="2"/>
      <w:sz w:val="21"/>
      <w:lang w:val="en-US" w:eastAsia="zh-CN" w:bidi="ar-SA"/>
    </w:rPr>
  </w:style>
  <w:style w:type="paragraph" w:customStyle="1" w:styleId="31">
    <w:name w:val="修订6"/>
    <w:hidden/>
    <w:unhideWhenUsed/>
    <w:qFormat/>
    <w:uiPriority w:val="99"/>
    <w:rPr>
      <w:rFonts w:ascii="Times New Roman" w:hAnsi="Times New Roman" w:eastAsia="宋体" w:cs="Times New Roman"/>
      <w:kern w:val="2"/>
      <w:sz w:val="21"/>
      <w:lang w:val="en-US" w:eastAsia="zh-CN" w:bidi="ar-SA"/>
    </w:rPr>
  </w:style>
  <w:style w:type="paragraph" w:styleId="32">
    <w:name w:val="List Paragraph"/>
    <w:basedOn w:val="1"/>
    <w:qFormat/>
    <w:uiPriority w:val="34"/>
    <w:pPr>
      <w:ind w:left="720"/>
      <w:contextualSpacing/>
    </w:pPr>
  </w:style>
  <w:style w:type="paragraph" w:customStyle="1" w:styleId="33">
    <w:name w:val="Body Text First Indent 21"/>
    <w:qFormat/>
    <w:uiPriority w:val="0"/>
    <w:pPr>
      <w:widowControl w:val="0"/>
      <w:ind w:left="420" w:leftChars="200" w:firstLine="420" w:firstLineChars="200"/>
      <w:jc w:val="both"/>
    </w:pPr>
    <w:rPr>
      <w:rFonts w:ascii="Times New Roman" w:hAnsi="Times New Roman" w:eastAsia="宋体" w:cs="Times New Roman"/>
      <w:kern w:val="2"/>
      <w:sz w:val="21"/>
      <w:szCs w:val="22"/>
      <w:lang w:val="en-US" w:eastAsia="zh-CN" w:bidi="ar-SA"/>
    </w:rPr>
  </w:style>
  <w:style w:type="paragraph" w:customStyle="1" w:styleId="34">
    <w:name w:val="Revision"/>
    <w:hidden/>
    <w:unhideWhenUsed/>
    <w:qFormat/>
    <w:uiPriority w:val="99"/>
    <w:rPr>
      <w:rFonts w:ascii="Times New Roman" w:hAnsi="Times New Roman" w:eastAsia="宋体" w:cs="Times New Roman"/>
      <w:kern w:val="2"/>
      <w:sz w:val="21"/>
      <w:lang w:val="en-US" w:eastAsia="zh-CN" w:bidi="ar-SA"/>
    </w:rPr>
  </w:style>
  <w:style w:type="paragraph" w:customStyle="1" w:styleId="35">
    <w:name w:val="正文文本缩进1"/>
    <w:basedOn w:val="1"/>
    <w:qFormat/>
    <w:uiPriority w:val="0"/>
    <w:pPr>
      <w:ind w:firstLine="56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36286</Words>
  <Characters>37467</Characters>
  <Lines>38</Lines>
  <Paragraphs>10</Paragraphs>
  <TotalTime>2</TotalTime>
  <ScaleCrop>false</ScaleCrop>
  <LinksUpToDate>false</LinksUpToDate>
  <CharactersWithSpaces>37605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2026-01-22T10:48:00Z</dcterms:created>
  <dc:creator>xuchen.zhang</dc:creator>
  <cp:lastModifiedBy>杜萌娜</cp:lastModifiedBy>
  <dcterms:modified xsi:type="dcterms:W3CDTF">2026-01-27T03:08:29Z</dcterms:modified>
  <dc:title>兴银理财【天天万利宝稳利恒盈】净值型理财产品</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ED8D50FE6C30460F8E453B29B11AF0DB</vt:lpwstr>
  </property>
</Properties>
</file>