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outlineLvl w:val="0"/>
        <w:rPr>
          <w:rFonts w:ascii="宋体" w:hAnsi="宋体"/>
          <w:b/>
          <w:sz w:val="32"/>
          <w:szCs w:val="32"/>
        </w:rPr>
      </w:pPr>
      <w:bookmarkStart w:id="1" w:name="_GoBack"/>
      <w:bookmarkEnd w:id="1"/>
      <w:r>
        <w:rPr>
          <w:rFonts w:hint="eastAsia" w:ascii="宋体" w:hAnsi="宋体"/>
          <w:b/>
          <w:sz w:val="32"/>
          <w:szCs w:val="32"/>
        </w:rPr>
        <w:t>湖南银行机构理财产品协议</w:t>
      </w:r>
      <w:bookmarkStart w:id="0" w:name="OLE_LINK1"/>
      <w:r>
        <w:rPr>
          <w:rFonts w:hint="eastAsia" w:ascii="宋体" w:hAnsi="宋体"/>
          <w:b/>
          <w:sz w:val="32"/>
          <w:szCs w:val="32"/>
        </w:rPr>
        <w:t>书</w:t>
      </w:r>
      <w:bookmarkEnd w:id="0"/>
    </w:p>
    <w:p>
      <w:pPr>
        <w:spacing w:line="360" w:lineRule="exact"/>
        <w:jc w:val="center"/>
        <w:rPr>
          <w:rFonts w:ascii="仿宋" w:hAnsi="仿宋" w:eastAsia="仿宋"/>
          <w:b/>
          <w:sz w:val="28"/>
          <w:szCs w:val="28"/>
        </w:rPr>
      </w:pPr>
      <w:r>
        <w:rPr>
          <w:rFonts w:hint="eastAsia" w:ascii="仿宋" w:hAnsi="仿宋" w:eastAsia="仿宋"/>
          <w:b/>
          <w:sz w:val="28"/>
          <w:szCs w:val="28"/>
        </w:rPr>
        <w:t>理财非存款、产品有风险、投资须谨慎</w:t>
      </w:r>
    </w:p>
    <w:p>
      <w:pPr>
        <w:spacing w:line="360" w:lineRule="exact"/>
        <w:ind w:right="-382" w:rightChars="-182"/>
        <w:jc w:val="center"/>
        <w:rPr>
          <w:rFonts w:ascii="楷体_GB2312" w:eastAsia="楷体_GB2312"/>
          <w:sz w:val="28"/>
          <w:szCs w:val="28"/>
        </w:rPr>
      </w:pPr>
    </w:p>
    <w:p>
      <w:pPr>
        <w:ind w:left="-176" w:leftChars="-84" w:firstLine="462" w:firstLineChars="220"/>
        <w:rPr>
          <w:rFonts w:ascii="宋体" w:hAnsi="宋体"/>
          <w:szCs w:val="21"/>
        </w:rPr>
      </w:pPr>
      <w:r>
        <w:rPr>
          <w:rFonts w:hint="eastAsia" w:ascii="宋体" w:hAnsi="宋体" w:cs="宋体"/>
          <w:bCs/>
          <w:szCs w:val="21"/>
        </w:rPr>
        <w:t>协议编号</w:t>
      </w:r>
      <w:r>
        <w:rPr>
          <w:rFonts w:ascii="宋体" w:hAnsi="宋体" w:cs="宋体"/>
          <w:bCs/>
          <w:szCs w:val="21"/>
        </w:rPr>
        <w:t>:</w:t>
      </w:r>
    </w:p>
    <w:tbl>
      <w:tblPr>
        <w:tblStyle w:val="8"/>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05"/>
        <w:gridCol w:w="1138"/>
        <w:gridCol w:w="2366"/>
        <w:gridCol w:w="1180"/>
        <w:gridCol w:w="599"/>
        <w:gridCol w:w="1243"/>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81" w:type="dxa"/>
            <w:gridSpan w:val="8"/>
          </w:tcPr>
          <w:p>
            <w:pPr>
              <w:jc w:val="center"/>
              <w:rPr>
                <w:rFonts w:ascii="宋体" w:hAnsi="宋体"/>
                <w:b/>
                <w:bCs/>
                <w:sz w:val="24"/>
                <w:szCs w:val="24"/>
              </w:rPr>
            </w:pPr>
            <w:r>
              <w:rPr>
                <w:rFonts w:hint="eastAsia" w:ascii="宋体" w:hAnsi="宋体"/>
                <w:b/>
                <w:bCs/>
                <w:color w:val="000000"/>
                <w:sz w:val="24"/>
                <w:szCs w:val="24"/>
              </w:rPr>
              <w:t>客户信息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gridSpan w:val="2"/>
            <w:vAlign w:val="center"/>
          </w:tcPr>
          <w:p>
            <w:pPr>
              <w:jc w:val="center"/>
              <w:rPr>
                <w:rFonts w:ascii="宋体" w:hAnsi="宋体"/>
                <w:bCs/>
                <w:sz w:val="24"/>
                <w:szCs w:val="24"/>
              </w:rPr>
            </w:pPr>
            <w:r>
              <w:rPr>
                <w:rFonts w:hint="eastAsia" w:ascii="宋体" w:hAnsi="宋体"/>
                <w:bCs/>
                <w:color w:val="000000"/>
                <w:sz w:val="24"/>
                <w:szCs w:val="24"/>
              </w:rPr>
              <w:t>甲方（客户）</w:t>
            </w:r>
            <w:r>
              <w:rPr>
                <w:rFonts w:ascii="宋体" w:hAnsi="宋体"/>
                <w:bCs/>
                <w:color w:val="000000"/>
                <w:sz w:val="24"/>
                <w:szCs w:val="24"/>
              </w:rPr>
              <w:t>名称</w:t>
            </w:r>
          </w:p>
        </w:tc>
        <w:tc>
          <w:tcPr>
            <w:tcW w:w="3504" w:type="dxa"/>
            <w:gridSpan w:val="2"/>
            <w:vAlign w:val="center"/>
          </w:tcPr>
          <w:p>
            <w:pPr>
              <w:jc w:val="center"/>
              <w:rPr>
                <w:rFonts w:ascii="宋体" w:hAnsi="宋体"/>
                <w:bCs/>
                <w:sz w:val="24"/>
                <w:szCs w:val="24"/>
              </w:rPr>
            </w:pPr>
          </w:p>
        </w:tc>
        <w:tc>
          <w:tcPr>
            <w:tcW w:w="1180" w:type="dxa"/>
            <w:vAlign w:val="center"/>
          </w:tcPr>
          <w:p>
            <w:pPr>
              <w:jc w:val="center"/>
              <w:rPr>
                <w:rFonts w:ascii="宋体" w:hAnsi="宋体"/>
                <w:bCs/>
                <w:sz w:val="24"/>
                <w:szCs w:val="24"/>
              </w:rPr>
            </w:pPr>
            <w:r>
              <w:rPr>
                <w:rFonts w:hint="eastAsia" w:ascii="宋体" w:hAnsi="宋体"/>
                <w:bCs/>
                <w:color w:val="000000"/>
                <w:sz w:val="24"/>
                <w:szCs w:val="24"/>
              </w:rPr>
              <w:t>法定代表人姓名</w:t>
            </w:r>
          </w:p>
        </w:tc>
        <w:tc>
          <w:tcPr>
            <w:tcW w:w="3680" w:type="dxa"/>
            <w:gridSpan w:val="3"/>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gridSpan w:val="2"/>
            <w:vAlign w:val="center"/>
          </w:tcPr>
          <w:p>
            <w:pPr>
              <w:jc w:val="center"/>
              <w:rPr>
                <w:rFonts w:ascii="宋体" w:hAnsi="宋体"/>
                <w:bCs/>
                <w:sz w:val="24"/>
                <w:szCs w:val="24"/>
              </w:rPr>
            </w:pPr>
            <w:r>
              <w:rPr>
                <w:rFonts w:hint="eastAsia" w:ascii="宋体" w:hAnsi="宋体"/>
                <w:bCs/>
                <w:color w:val="000000"/>
                <w:sz w:val="24"/>
                <w:szCs w:val="24"/>
              </w:rPr>
              <w:t>经办人姓名</w:t>
            </w:r>
          </w:p>
        </w:tc>
        <w:tc>
          <w:tcPr>
            <w:tcW w:w="3504" w:type="dxa"/>
            <w:gridSpan w:val="2"/>
            <w:vAlign w:val="center"/>
          </w:tcPr>
          <w:p>
            <w:pPr>
              <w:jc w:val="center"/>
              <w:rPr>
                <w:rFonts w:ascii="宋体" w:hAnsi="宋体"/>
                <w:bCs/>
                <w:sz w:val="24"/>
                <w:szCs w:val="24"/>
              </w:rPr>
            </w:pPr>
          </w:p>
        </w:tc>
        <w:tc>
          <w:tcPr>
            <w:tcW w:w="1180" w:type="dxa"/>
            <w:vAlign w:val="center"/>
          </w:tcPr>
          <w:p>
            <w:pPr>
              <w:jc w:val="center"/>
              <w:rPr>
                <w:rFonts w:ascii="宋体" w:hAnsi="宋体"/>
                <w:bCs/>
                <w:sz w:val="24"/>
                <w:szCs w:val="24"/>
              </w:rPr>
            </w:pPr>
            <w:r>
              <w:rPr>
                <w:rFonts w:hint="eastAsia" w:ascii="宋体" w:hAnsi="宋体"/>
                <w:bCs/>
                <w:color w:val="000000"/>
                <w:sz w:val="24"/>
                <w:szCs w:val="24"/>
              </w:rPr>
              <w:t>联系电话</w:t>
            </w:r>
          </w:p>
        </w:tc>
        <w:tc>
          <w:tcPr>
            <w:tcW w:w="3680" w:type="dxa"/>
            <w:gridSpan w:val="3"/>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gridSpan w:val="2"/>
            <w:vAlign w:val="center"/>
          </w:tcPr>
          <w:p>
            <w:pPr>
              <w:jc w:val="center"/>
              <w:rPr>
                <w:rFonts w:ascii="宋体" w:hAnsi="宋体"/>
                <w:bCs/>
                <w:color w:val="000000"/>
                <w:sz w:val="24"/>
                <w:szCs w:val="24"/>
              </w:rPr>
            </w:pPr>
            <w:r>
              <w:rPr>
                <w:rFonts w:hint="eastAsia" w:ascii="宋体" w:hAnsi="宋体"/>
                <w:bCs/>
                <w:color w:val="000000"/>
                <w:sz w:val="24"/>
                <w:szCs w:val="24"/>
              </w:rPr>
              <w:t>通讯地址</w:t>
            </w:r>
          </w:p>
        </w:tc>
        <w:tc>
          <w:tcPr>
            <w:tcW w:w="3504" w:type="dxa"/>
            <w:gridSpan w:val="2"/>
            <w:vAlign w:val="center"/>
          </w:tcPr>
          <w:p>
            <w:pPr>
              <w:jc w:val="center"/>
              <w:rPr>
                <w:rFonts w:ascii="宋体" w:hAnsi="宋体"/>
                <w:bCs/>
                <w:sz w:val="24"/>
                <w:szCs w:val="24"/>
              </w:rPr>
            </w:pPr>
          </w:p>
        </w:tc>
        <w:tc>
          <w:tcPr>
            <w:tcW w:w="1180" w:type="dxa"/>
            <w:vAlign w:val="center"/>
          </w:tcPr>
          <w:p>
            <w:pPr>
              <w:jc w:val="center"/>
              <w:rPr>
                <w:rFonts w:ascii="宋体" w:hAnsi="宋体"/>
                <w:bCs/>
                <w:color w:val="000000"/>
                <w:sz w:val="24"/>
                <w:szCs w:val="24"/>
              </w:rPr>
            </w:pPr>
            <w:r>
              <w:rPr>
                <w:rFonts w:hint="eastAsia" w:ascii="宋体" w:hAnsi="宋体"/>
                <w:bCs/>
                <w:color w:val="000000"/>
                <w:sz w:val="24"/>
                <w:szCs w:val="24"/>
              </w:rPr>
              <w:t>邮政编码</w:t>
            </w:r>
          </w:p>
        </w:tc>
        <w:tc>
          <w:tcPr>
            <w:tcW w:w="3680" w:type="dxa"/>
            <w:gridSpan w:val="3"/>
            <w:vAlign w:val="center"/>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81" w:type="dxa"/>
            <w:gridSpan w:val="8"/>
          </w:tcPr>
          <w:p>
            <w:pPr>
              <w:jc w:val="center"/>
              <w:rPr>
                <w:rFonts w:ascii="宋体" w:hAnsi="宋体"/>
                <w:b/>
                <w:bCs/>
                <w:sz w:val="24"/>
                <w:szCs w:val="24"/>
              </w:rPr>
            </w:pPr>
            <w:r>
              <w:rPr>
                <w:rFonts w:hint="eastAsia" w:ascii="宋体" w:hAnsi="宋体"/>
                <w:b/>
                <w:bCs/>
                <w:sz w:val="24"/>
                <w:szCs w:val="24"/>
              </w:rPr>
              <w:t>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gridSpan w:val="3"/>
          </w:tcPr>
          <w:p>
            <w:pPr>
              <w:jc w:val="center"/>
              <w:rPr>
                <w:rFonts w:ascii="宋体" w:hAnsi="宋体"/>
                <w:bCs/>
                <w:sz w:val="24"/>
                <w:szCs w:val="24"/>
              </w:rPr>
            </w:pPr>
            <w:r>
              <w:rPr>
                <w:rFonts w:hint="eastAsia" w:ascii="宋体" w:hAnsi="宋体"/>
                <w:bCs/>
                <w:sz w:val="24"/>
                <w:szCs w:val="24"/>
              </w:rPr>
              <w:t>乙方（经办行）名称</w:t>
            </w:r>
          </w:p>
        </w:tc>
        <w:tc>
          <w:tcPr>
            <w:tcW w:w="7226" w:type="dxa"/>
            <w:gridSpan w:val="5"/>
          </w:tcPr>
          <w:p>
            <w:pPr>
              <w:ind w:firstLine="480" w:firstLineChars="200"/>
              <w:rPr>
                <w:rFonts w:ascii="宋体" w:hAnsi="宋体"/>
                <w:bCs/>
                <w:sz w:val="24"/>
                <w:szCs w:val="24"/>
                <w:u w:val="single"/>
              </w:rPr>
            </w:pPr>
            <w:r>
              <w:rPr>
                <w:rFonts w:hint="eastAsia" w:ascii="宋体" w:hAnsi="宋体"/>
                <w:bCs/>
                <w:sz w:val="24"/>
                <w:szCs w:val="24"/>
              </w:rPr>
              <w:t>湖南银行股份有限公司</w:t>
            </w:r>
            <w:r>
              <w:rPr>
                <w:rFonts w:hint="eastAsia" w:ascii="宋体" w:hAnsi="宋体"/>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 w:type="dxa"/>
            <w:gridSpan w:val="2"/>
          </w:tcPr>
          <w:p>
            <w:pPr>
              <w:jc w:val="center"/>
              <w:rPr>
                <w:rFonts w:ascii="宋体" w:hAnsi="宋体"/>
                <w:bCs/>
                <w:sz w:val="24"/>
                <w:szCs w:val="24"/>
              </w:rPr>
            </w:pPr>
            <w:r>
              <w:rPr>
                <w:rFonts w:hint="eastAsia" w:ascii="宋体" w:hAnsi="宋体"/>
                <w:bCs/>
                <w:sz w:val="24"/>
                <w:szCs w:val="24"/>
              </w:rPr>
              <w:t>通讯地址</w:t>
            </w:r>
          </w:p>
        </w:tc>
        <w:tc>
          <w:tcPr>
            <w:tcW w:w="5283" w:type="dxa"/>
            <w:gridSpan w:val="4"/>
          </w:tcPr>
          <w:p>
            <w:pPr>
              <w:jc w:val="center"/>
              <w:rPr>
                <w:rFonts w:ascii="宋体" w:hAnsi="宋体"/>
                <w:bCs/>
                <w:sz w:val="24"/>
                <w:szCs w:val="24"/>
              </w:rPr>
            </w:pPr>
          </w:p>
        </w:tc>
        <w:tc>
          <w:tcPr>
            <w:tcW w:w="1243" w:type="dxa"/>
          </w:tcPr>
          <w:p>
            <w:pPr>
              <w:jc w:val="center"/>
              <w:rPr>
                <w:rFonts w:ascii="宋体" w:hAnsi="宋体"/>
                <w:bCs/>
                <w:sz w:val="24"/>
                <w:szCs w:val="24"/>
              </w:rPr>
            </w:pPr>
            <w:r>
              <w:rPr>
                <w:rFonts w:hint="eastAsia" w:ascii="宋体" w:hAnsi="宋体"/>
                <w:bCs/>
                <w:sz w:val="24"/>
                <w:szCs w:val="24"/>
              </w:rPr>
              <w:t>邮编</w:t>
            </w:r>
          </w:p>
        </w:tc>
        <w:tc>
          <w:tcPr>
            <w:tcW w:w="1838" w:type="dxa"/>
          </w:tcPr>
          <w:p>
            <w:pPr>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81" w:type="dxa"/>
            <w:gridSpan w:val="8"/>
          </w:tcPr>
          <w:p>
            <w:pPr>
              <w:jc w:val="center"/>
              <w:rPr>
                <w:rFonts w:ascii="宋体" w:hAnsi="宋体"/>
                <w:b/>
                <w:bCs/>
                <w:sz w:val="24"/>
                <w:szCs w:val="24"/>
              </w:rPr>
            </w:pPr>
            <w:r>
              <w:rPr>
                <w:rFonts w:hint="eastAsia" w:ascii="宋体" w:hAnsi="宋体"/>
                <w:b/>
                <w:bCs/>
                <w:sz w:val="24"/>
                <w:szCs w:val="24"/>
              </w:rPr>
              <w:t>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2" w:type="dxa"/>
          </w:tcPr>
          <w:p>
            <w:pPr>
              <w:rPr>
                <w:rFonts w:ascii="宋体" w:hAnsi="宋体"/>
                <w:bCs/>
                <w:sz w:val="24"/>
                <w:szCs w:val="24"/>
              </w:rPr>
            </w:pPr>
            <w:r>
              <w:rPr>
                <w:rFonts w:hint="eastAsia" w:ascii="宋体" w:hAnsi="宋体"/>
                <w:bCs/>
                <w:sz w:val="24"/>
                <w:szCs w:val="24"/>
              </w:rPr>
              <w:t>产品名称</w:t>
            </w:r>
          </w:p>
        </w:tc>
        <w:tc>
          <w:tcPr>
            <w:tcW w:w="3709" w:type="dxa"/>
            <w:gridSpan w:val="3"/>
          </w:tcPr>
          <w:p>
            <w:pPr>
              <w:rPr>
                <w:rFonts w:ascii="宋体" w:hAnsi="宋体"/>
                <w:bCs/>
                <w:sz w:val="24"/>
                <w:szCs w:val="24"/>
              </w:rPr>
            </w:pPr>
          </w:p>
        </w:tc>
        <w:tc>
          <w:tcPr>
            <w:tcW w:w="1779" w:type="dxa"/>
            <w:gridSpan w:val="2"/>
          </w:tcPr>
          <w:p>
            <w:pPr>
              <w:rPr>
                <w:rFonts w:ascii="宋体" w:hAnsi="宋体"/>
                <w:bCs/>
                <w:sz w:val="24"/>
                <w:szCs w:val="24"/>
              </w:rPr>
            </w:pPr>
            <w:r>
              <w:rPr>
                <w:rFonts w:ascii="宋体" w:hAnsi="宋体"/>
                <w:bCs/>
                <w:sz w:val="24"/>
                <w:szCs w:val="24"/>
              </w:rPr>
              <w:t>登记编码</w:t>
            </w:r>
          </w:p>
        </w:tc>
        <w:tc>
          <w:tcPr>
            <w:tcW w:w="3081" w:type="dxa"/>
            <w:gridSpan w:val="2"/>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2" w:type="dxa"/>
          </w:tcPr>
          <w:p>
            <w:pPr>
              <w:rPr>
                <w:rFonts w:ascii="宋体" w:hAnsi="宋体"/>
                <w:bCs/>
                <w:sz w:val="24"/>
                <w:szCs w:val="24"/>
              </w:rPr>
            </w:pPr>
            <w:r>
              <w:rPr>
                <w:rFonts w:hint="eastAsia" w:ascii="宋体" w:hAnsi="宋体"/>
                <w:bCs/>
                <w:sz w:val="24"/>
                <w:szCs w:val="24"/>
              </w:rPr>
              <w:t>销售编号</w:t>
            </w:r>
          </w:p>
        </w:tc>
        <w:tc>
          <w:tcPr>
            <w:tcW w:w="3709" w:type="dxa"/>
            <w:gridSpan w:val="3"/>
          </w:tcPr>
          <w:p>
            <w:pPr>
              <w:rPr>
                <w:rFonts w:ascii="宋体" w:hAnsi="宋体"/>
                <w:bCs/>
                <w:sz w:val="24"/>
                <w:szCs w:val="24"/>
              </w:rPr>
            </w:pPr>
          </w:p>
        </w:tc>
        <w:tc>
          <w:tcPr>
            <w:tcW w:w="1779" w:type="dxa"/>
            <w:gridSpan w:val="2"/>
          </w:tcPr>
          <w:p>
            <w:pPr>
              <w:rPr>
                <w:rFonts w:ascii="宋体" w:hAnsi="宋体"/>
                <w:bCs/>
                <w:sz w:val="24"/>
                <w:szCs w:val="24"/>
              </w:rPr>
            </w:pPr>
            <w:r>
              <w:rPr>
                <w:rFonts w:hint="eastAsia" w:ascii="宋体" w:hAnsi="宋体"/>
                <w:bCs/>
                <w:sz w:val="24"/>
                <w:szCs w:val="24"/>
              </w:rPr>
              <w:t>投资币种</w:t>
            </w:r>
          </w:p>
        </w:tc>
        <w:tc>
          <w:tcPr>
            <w:tcW w:w="3081" w:type="dxa"/>
            <w:gridSpan w:val="2"/>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81" w:type="dxa"/>
            <w:gridSpan w:val="8"/>
          </w:tcPr>
          <w:p>
            <w:pPr>
              <w:rPr>
                <w:rFonts w:ascii="宋体" w:hAnsi="宋体"/>
                <w:bCs/>
                <w:sz w:val="24"/>
                <w:szCs w:val="24"/>
                <w:u w:val="single"/>
              </w:rPr>
            </w:pPr>
            <w:r>
              <w:rPr>
                <w:rFonts w:hint="eastAsia" w:ascii="宋体" w:hAnsi="宋体"/>
                <w:bCs/>
                <w:sz w:val="24"/>
                <w:szCs w:val="24"/>
              </w:rPr>
              <w:t>甲方购买金额为（小写）：         元；大写：       元整。</w:t>
            </w:r>
          </w:p>
        </w:tc>
      </w:tr>
    </w:tbl>
    <w:p>
      <w:pPr>
        <w:ind w:left="-176" w:leftChars="-84" w:firstLine="464" w:firstLineChars="220"/>
        <w:rPr>
          <w:rFonts w:ascii="宋体" w:hAnsi="宋体"/>
          <w:b/>
          <w:bCs/>
          <w:szCs w:val="21"/>
        </w:rPr>
      </w:pPr>
    </w:p>
    <w:p>
      <w:pPr>
        <w:ind w:left="-176" w:leftChars="-84" w:firstLine="422" w:firstLineChars="200"/>
        <w:rPr>
          <w:rFonts w:ascii="宋体" w:hAnsi="宋体"/>
          <w:szCs w:val="21"/>
        </w:rPr>
      </w:pPr>
      <w:r>
        <w:rPr>
          <w:rFonts w:hint="eastAsia" w:ascii="宋体" w:hAnsi="宋体"/>
          <w:b/>
          <w:bCs/>
          <w:szCs w:val="21"/>
        </w:rPr>
        <w:t>特别提示</w:t>
      </w:r>
      <w:r>
        <w:rPr>
          <w:rFonts w:hint="eastAsia" w:ascii="宋体" w:hAnsi="宋体"/>
          <w:szCs w:val="21"/>
        </w:rPr>
        <w:t>：</w:t>
      </w:r>
    </w:p>
    <w:p>
      <w:pPr>
        <w:ind w:left="-176" w:leftChars="-84" w:firstLine="420" w:firstLineChars="200"/>
        <w:rPr>
          <w:rFonts w:ascii="宋体" w:hAnsi="宋体"/>
          <w:szCs w:val="21"/>
        </w:rPr>
      </w:pPr>
      <w:r>
        <w:rPr>
          <w:rFonts w:hint="eastAsia" w:ascii="宋体" w:hAnsi="宋体"/>
          <w:szCs w:val="21"/>
        </w:rPr>
        <w:t>尊敬的客户：为了维护您的权益，请在签署本协议前，仔细阅读本协议各条款（</w:t>
      </w:r>
      <w:r>
        <w:rPr>
          <w:rFonts w:hint="eastAsia" w:ascii="宋体" w:hAnsi="宋体"/>
          <w:b/>
          <w:bCs/>
          <w:szCs w:val="21"/>
        </w:rPr>
        <w:t>特别是黑体字条款</w:t>
      </w:r>
      <w:r>
        <w:rPr>
          <w:rFonts w:hint="eastAsia" w:ascii="宋体" w:hAnsi="宋体"/>
          <w:szCs w:val="21"/>
        </w:rPr>
        <w:t>），充分了解银行理财业务的运作规则、协议双方的权利、义务和责任。如有疑问，可向银行理财产品发售机构咨询。</w:t>
      </w:r>
    </w:p>
    <w:p>
      <w:pPr>
        <w:ind w:left="-176" w:leftChars="-84" w:firstLine="422" w:firstLineChars="200"/>
        <w:rPr>
          <w:rFonts w:ascii="宋体"/>
          <w:b/>
          <w:szCs w:val="21"/>
        </w:rPr>
      </w:pPr>
      <w:r>
        <w:rPr>
          <w:rFonts w:hint="eastAsia" w:ascii="宋体" w:hAnsi="宋体"/>
          <w:b/>
          <w:szCs w:val="21"/>
        </w:rPr>
        <w:t>释义</w:t>
      </w:r>
    </w:p>
    <w:p>
      <w:pPr>
        <w:ind w:left="-176" w:leftChars="-84" w:firstLine="420" w:firstLineChars="200"/>
        <w:rPr>
          <w:rFonts w:ascii="宋体"/>
          <w:szCs w:val="21"/>
        </w:rPr>
      </w:pPr>
      <w:r>
        <w:rPr>
          <w:rFonts w:hint="eastAsia" w:ascii="宋体" w:hAnsi="宋体"/>
          <w:szCs w:val="21"/>
        </w:rPr>
        <w:t>1、本协议中的“湖南银行理财产品”是指乙方针对甲方的理财需求，发起设立理财产品</w:t>
      </w:r>
      <w:r>
        <w:rPr>
          <w:rFonts w:ascii="Arial" w:hAnsi="Arial" w:cs="Arial"/>
          <w:szCs w:val="21"/>
          <w:shd w:val="clear" w:color="auto" w:fill="FFFFFF"/>
        </w:rPr>
        <w:t>，将认购到的资金根据产品合同约定</w:t>
      </w:r>
      <w:r>
        <w:rPr>
          <w:rFonts w:hint="eastAsia" w:ascii="Arial" w:hAnsi="Arial" w:cs="Arial"/>
          <w:szCs w:val="21"/>
          <w:shd w:val="clear" w:color="auto" w:fill="FFFFFF"/>
        </w:rPr>
        <w:t>（具体详见《理财产品说明书》）</w:t>
      </w:r>
      <w:r>
        <w:rPr>
          <w:rFonts w:ascii="Arial" w:hAnsi="Arial" w:cs="Arial"/>
          <w:szCs w:val="21"/>
          <w:shd w:val="clear" w:color="auto" w:fill="FFFFFF"/>
        </w:rPr>
        <w:t>投入</w:t>
      </w:r>
      <w:r>
        <w:rPr>
          <w:rFonts w:hint="eastAsia" w:ascii="Arial" w:hAnsi="Arial" w:cs="Arial"/>
          <w:szCs w:val="21"/>
          <w:shd w:val="clear" w:color="auto" w:fill="FFFFFF"/>
        </w:rPr>
        <w:t>相关金融市场</w:t>
      </w:r>
      <w:r>
        <w:rPr>
          <w:rFonts w:ascii="Arial" w:hAnsi="Arial" w:cs="Arial"/>
          <w:szCs w:val="21"/>
          <w:shd w:val="clear" w:color="auto" w:fill="FFFFFF"/>
        </w:rPr>
        <w:t>及购买相关金融产品，</w:t>
      </w:r>
      <w:r>
        <w:rPr>
          <w:rFonts w:hint="eastAsia" w:ascii="Arial" w:hAnsi="Arial" w:cs="Arial"/>
          <w:szCs w:val="21"/>
          <w:shd w:val="clear" w:color="auto" w:fill="FFFFFF"/>
        </w:rPr>
        <w:t>以</w:t>
      </w:r>
      <w:r>
        <w:rPr>
          <w:rFonts w:ascii="Arial" w:hAnsi="Arial" w:cs="Arial"/>
          <w:szCs w:val="21"/>
          <w:shd w:val="clear" w:color="auto" w:fill="FFFFFF"/>
        </w:rPr>
        <w:t>获取投资收益</w:t>
      </w:r>
      <w:r>
        <w:rPr>
          <w:rFonts w:hint="eastAsia" w:ascii="宋体" w:hAnsi="宋体"/>
          <w:b/>
          <w:szCs w:val="21"/>
        </w:rPr>
        <w:t>。</w:t>
      </w:r>
    </w:p>
    <w:p>
      <w:pPr>
        <w:ind w:left="-176" w:leftChars="-84" w:firstLine="420" w:firstLineChars="200"/>
        <w:rPr>
          <w:rFonts w:ascii="宋体"/>
          <w:szCs w:val="21"/>
        </w:rPr>
      </w:pPr>
      <w:r>
        <w:rPr>
          <w:rFonts w:hint="eastAsia" w:ascii="宋体" w:hAnsi="宋体"/>
          <w:szCs w:val="21"/>
        </w:rPr>
        <w:t>2、理财产品认购期：指乙方认购理财产品资金的期限。</w:t>
      </w:r>
    </w:p>
    <w:p>
      <w:pPr>
        <w:ind w:left="-176" w:leftChars="-84" w:firstLine="420" w:firstLineChars="200"/>
        <w:rPr>
          <w:rFonts w:ascii="宋体" w:hAnsi="宋体"/>
          <w:szCs w:val="21"/>
        </w:rPr>
      </w:pPr>
      <w:r>
        <w:rPr>
          <w:rFonts w:hint="eastAsia" w:ascii="宋体" w:hAnsi="宋体"/>
          <w:szCs w:val="21"/>
        </w:rPr>
        <w:t>3、理财产品购买日：指甲方和乙方签署本协议且甲方将认购资金存入在乙方开立的账户的日期</w:t>
      </w:r>
      <w:r>
        <w:rPr>
          <w:rFonts w:hint="eastAsia" w:ascii="宋体" w:hAnsi="宋体"/>
          <w:color w:val="000000"/>
          <w:szCs w:val="21"/>
        </w:rPr>
        <w:t>或甲方将认购资金存入乙方指定收款账户的日期</w:t>
      </w:r>
      <w:r>
        <w:rPr>
          <w:rFonts w:hint="eastAsia" w:ascii="宋体" w:hAnsi="宋体"/>
          <w:szCs w:val="21"/>
        </w:rPr>
        <w:t>。</w:t>
      </w:r>
    </w:p>
    <w:p>
      <w:pPr>
        <w:ind w:left="-176" w:leftChars="-84" w:firstLine="420" w:firstLineChars="200"/>
        <w:rPr>
          <w:rFonts w:ascii="宋体" w:hAnsi="宋体"/>
          <w:szCs w:val="21"/>
        </w:rPr>
      </w:pPr>
      <w:r>
        <w:rPr>
          <w:rFonts w:hint="eastAsia" w:ascii="宋体" w:hAnsi="宋体"/>
          <w:szCs w:val="21"/>
        </w:rPr>
        <w:t>4、理财产品认购/申购/赎回登记日：指管理人对投资者提交的认购/申购/赎回申请进行理财产品份额登记的日期。</w:t>
      </w:r>
    </w:p>
    <w:p>
      <w:pPr>
        <w:ind w:left="-176" w:leftChars="-84" w:firstLine="420" w:firstLineChars="200"/>
        <w:rPr>
          <w:rFonts w:ascii="宋体" w:hAnsi="宋体"/>
          <w:szCs w:val="21"/>
        </w:rPr>
      </w:pPr>
      <w:r>
        <w:rPr>
          <w:rFonts w:hint="eastAsia" w:ascii="宋体" w:hAnsi="宋体"/>
          <w:szCs w:val="21"/>
        </w:rPr>
        <w:t>5、理财产品成立日：指理财收益计算的起始日，即本协议项下理财产品约定的起息日。</w:t>
      </w:r>
    </w:p>
    <w:p>
      <w:pPr>
        <w:ind w:left="-176" w:leftChars="-84" w:firstLine="420" w:firstLineChars="200"/>
        <w:rPr>
          <w:rFonts w:ascii="宋体" w:hAnsi="宋体"/>
          <w:szCs w:val="21"/>
        </w:rPr>
      </w:pPr>
      <w:r>
        <w:rPr>
          <w:rFonts w:hint="eastAsia" w:ascii="宋体" w:hAnsi="宋体"/>
          <w:szCs w:val="21"/>
        </w:rPr>
        <w:t>6、理财产品交易日：指上海证券交易所和深圳证券交易所的正常开盘交易日（非节假日和周末）。</w:t>
      </w:r>
    </w:p>
    <w:p>
      <w:pPr>
        <w:ind w:left="-176" w:leftChars="-84" w:firstLine="420" w:firstLineChars="200"/>
        <w:rPr>
          <w:rFonts w:ascii="宋体" w:hAnsi="宋体"/>
          <w:szCs w:val="21"/>
        </w:rPr>
      </w:pPr>
      <w:r>
        <w:rPr>
          <w:rFonts w:hint="eastAsia" w:ascii="宋体" w:hAnsi="宋体"/>
          <w:szCs w:val="21"/>
        </w:rPr>
        <w:t>7、理财产品开放日：指接受投资者申购、赎回等业务申请的交易日。</w:t>
      </w:r>
    </w:p>
    <w:p>
      <w:pPr>
        <w:ind w:left="-176" w:leftChars="-84" w:firstLine="420" w:firstLineChars="200"/>
        <w:rPr>
          <w:rFonts w:ascii="宋体"/>
          <w:szCs w:val="21"/>
        </w:rPr>
      </w:pPr>
      <w:r>
        <w:rPr>
          <w:rFonts w:hint="eastAsia" w:ascii="宋体" w:hAnsi="宋体"/>
          <w:szCs w:val="21"/>
        </w:rPr>
        <w:t>8、理财产品预约期：指允许投资者在每个开放日之前预约在产品开放日申购/赎回产品份额的一段时间。</w:t>
      </w:r>
    </w:p>
    <w:p>
      <w:pPr>
        <w:ind w:left="-176" w:leftChars="-84" w:firstLine="420" w:firstLineChars="200"/>
        <w:rPr>
          <w:rFonts w:ascii="宋体"/>
          <w:szCs w:val="21"/>
        </w:rPr>
      </w:pPr>
      <w:r>
        <w:rPr>
          <w:rFonts w:hint="eastAsia" w:ascii="宋体" w:hAnsi="宋体"/>
          <w:szCs w:val="21"/>
        </w:rPr>
        <w:t>9、理财产品到期日：指计算本协议项下理财产品约定收益的截止日期。</w:t>
      </w:r>
    </w:p>
    <w:p>
      <w:pPr>
        <w:ind w:left="-176" w:leftChars="-84" w:firstLine="420" w:firstLineChars="200"/>
        <w:rPr>
          <w:rFonts w:ascii="宋体" w:hAnsi="宋体"/>
          <w:szCs w:val="21"/>
        </w:rPr>
      </w:pPr>
      <w:r>
        <w:rPr>
          <w:rFonts w:hint="eastAsia" w:ascii="宋体" w:hAnsi="宋体"/>
          <w:szCs w:val="21"/>
        </w:rPr>
        <w:t>10</w:t>
      </w:r>
      <w:r>
        <w:rPr>
          <w:rFonts w:ascii="宋体" w:hAnsi="宋体"/>
          <w:szCs w:val="21"/>
        </w:rPr>
        <w:t>、理财产品到账日：指支付本协议项下理财产品本金和收益</w:t>
      </w:r>
      <w:r>
        <w:rPr>
          <w:rFonts w:hint="eastAsia" w:ascii="宋体" w:hAnsi="宋体"/>
          <w:szCs w:val="21"/>
        </w:rPr>
        <w:t>到达客户委托理财账户的日期。</w:t>
      </w:r>
    </w:p>
    <w:p>
      <w:pPr>
        <w:ind w:left="-176" w:leftChars="-84" w:firstLine="420" w:firstLineChars="200"/>
        <w:rPr>
          <w:rFonts w:ascii="宋体" w:hAnsi="宋体"/>
          <w:szCs w:val="21"/>
        </w:rPr>
      </w:pPr>
      <w:r>
        <w:rPr>
          <w:rFonts w:hint="eastAsia" w:ascii="宋体" w:hAnsi="宋体"/>
          <w:szCs w:val="21"/>
        </w:rPr>
        <w:t>11</w:t>
      </w:r>
      <w:r>
        <w:rPr>
          <w:rFonts w:ascii="宋体" w:hAnsi="宋体"/>
          <w:szCs w:val="21"/>
        </w:rPr>
        <w:t>、理财产品本金及收益返还日：指支付本协议项下理财产品本金和收益的日期，即本协议项下理财产品本金和收益的到账日。</w:t>
      </w:r>
    </w:p>
    <w:p>
      <w:pPr>
        <w:ind w:left="-176" w:leftChars="-84" w:firstLine="420" w:firstLineChars="200"/>
        <w:rPr>
          <w:rFonts w:ascii="宋体" w:hAnsi="宋体"/>
          <w:szCs w:val="21"/>
        </w:rPr>
      </w:pPr>
      <w:r>
        <w:rPr>
          <w:rFonts w:ascii="宋体" w:hAnsi="宋体"/>
          <w:szCs w:val="21"/>
        </w:rPr>
        <w:t>12、登记编码：理财产品在中国银行保险监督管理委员会要求的</w:t>
      </w:r>
      <w:r>
        <w:rPr>
          <w:rFonts w:hint="eastAsia" w:ascii="宋体" w:hAnsi="宋体"/>
          <w:szCs w:val="21"/>
        </w:rPr>
        <w:t>全国银行业理财信息登记系统进行登记并获得</w:t>
      </w:r>
      <w:r>
        <w:rPr>
          <w:rFonts w:ascii="宋体" w:hAnsi="宋体"/>
          <w:szCs w:val="21"/>
        </w:rPr>
        <w:t>的</w:t>
      </w:r>
      <w:r>
        <w:rPr>
          <w:rFonts w:hint="eastAsia" w:ascii="宋体" w:hAnsi="宋体"/>
          <w:szCs w:val="21"/>
        </w:rPr>
        <w:t>登记编码</w:t>
      </w:r>
      <w:r>
        <w:rPr>
          <w:rFonts w:ascii="宋体" w:hAnsi="宋体"/>
          <w:szCs w:val="21"/>
        </w:rPr>
        <w:t>，甲方可以依据登记编码在中国银行保险监督管理委员会指定的中国理财网（https://www.chinawealth.com.cn/）查询理财产品信息。</w:t>
      </w:r>
    </w:p>
    <w:p>
      <w:pPr>
        <w:ind w:left="-176" w:leftChars="-84" w:firstLine="420" w:firstLineChars="200"/>
        <w:rPr>
          <w:rFonts w:ascii="宋体" w:hAnsi="宋体"/>
          <w:szCs w:val="21"/>
        </w:rPr>
      </w:pPr>
      <w:r>
        <w:rPr>
          <w:rFonts w:hint="eastAsia" w:ascii="宋体" w:hAnsi="宋体"/>
          <w:szCs w:val="21"/>
        </w:rPr>
        <w:t>甲方所选择具体理财产品的详细描述如风险揭示、预计理财产品成立日、理财产品到期日、理财产品到账日等详见本协议后附的《理财产品说明书》及《风险揭示书》，并以《理财产品说明书》及《风险揭示书》为准。</w:t>
      </w:r>
    </w:p>
    <w:p>
      <w:pPr>
        <w:ind w:left="-84" w:firstLine="420" w:firstLineChars="200"/>
        <w:rPr>
          <w:rFonts w:ascii="宋体" w:hAnsi="宋体"/>
          <w:szCs w:val="21"/>
        </w:rPr>
      </w:pPr>
    </w:p>
    <w:p>
      <w:pPr>
        <w:ind w:left="-178" w:leftChars="-85" w:firstLine="420" w:firstLineChars="200"/>
        <w:rPr>
          <w:rFonts w:ascii="楷体_GB2312" w:hAnsi="宋体" w:eastAsia="楷体_GB2312"/>
        </w:rPr>
      </w:pPr>
      <w:r>
        <w:rPr>
          <w:rFonts w:hint="eastAsia" w:ascii="宋体" w:hAnsi="宋体"/>
          <w:szCs w:val="21"/>
        </w:rPr>
        <w:t>甲乙双方经友好协商，本着平等自愿、诚实信用的原则，就甲方向乙方购买本期人民币理财产品（以下简称“本理财产品”），达成协议如下：</w:t>
      </w:r>
    </w:p>
    <w:p>
      <w:pPr>
        <w:ind w:left="-176" w:leftChars="-84" w:firstLine="422" w:firstLineChars="200"/>
        <w:rPr>
          <w:rFonts w:ascii="宋体" w:hAnsi="宋体"/>
          <w:b/>
          <w:szCs w:val="21"/>
        </w:rPr>
      </w:pPr>
      <w:r>
        <w:rPr>
          <w:rFonts w:hint="eastAsia" w:ascii="宋体" w:hAnsi="宋体"/>
          <w:b/>
          <w:szCs w:val="21"/>
        </w:rPr>
        <w:t>第一条  双方权利义务</w:t>
      </w:r>
    </w:p>
    <w:p>
      <w:pPr>
        <w:ind w:left="-176" w:leftChars="-84" w:firstLine="420" w:firstLineChars="200"/>
        <w:rPr>
          <w:rFonts w:ascii="宋体"/>
          <w:szCs w:val="21"/>
        </w:rPr>
      </w:pPr>
      <w:r>
        <w:rPr>
          <w:rFonts w:hint="eastAsia" w:ascii="宋体"/>
          <w:szCs w:val="21"/>
        </w:rPr>
        <w:t>1、甲方自愿向乙方购买本理财产品，接受乙方提供的投资理财服务。甲方承诺由此产生的风险由甲方承担。</w:t>
      </w:r>
    </w:p>
    <w:p>
      <w:pPr>
        <w:ind w:left="-176" w:leftChars="-84" w:firstLine="420" w:firstLineChars="200"/>
        <w:rPr>
          <w:rFonts w:ascii="宋体"/>
          <w:szCs w:val="21"/>
        </w:rPr>
      </w:pPr>
      <w:r>
        <w:rPr>
          <w:rFonts w:hint="eastAsia" w:ascii="宋体"/>
          <w:szCs w:val="21"/>
        </w:rPr>
        <w:t>2、乙方在受托运用理财资金进行投资时，应履行诚实信用，谨慎勤勉的义务，管理理财产品资金，依法保护甲方的理财产品权益。</w:t>
      </w:r>
    </w:p>
    <w:p>
      <w:pPr>
        <w:ind w:left="-176" w:leftChars="-84" w:firstLine="420" w:firstLineChars="200"/>
        <w:rPr>
          <w:rFonts w:ascii="宋体"/>
          <w:szCs w:val="21"/>
        </w:rPr>
      </w:pPr>
      <w:r>
        <w:rPr>
          <w:rFonts w:hint="eastAsia" w:ascii="宋体"/>
          <w:szCs w:val="21"/>
        </w:rPr>
        <w:t>3、在甲方持有本理财产品份额期间，乙方有权收取理财产品相关费用。</w:t>
      </w:r>
    </w:p>
    <w:p>
      <w:pPr>
        <w:ind w:left="-176" w:leftChars="-84" w:firstLine="420" w:firstLineChars="200"/>
        <w:rPr>
          <w:rFonts w:ascii="宋体" w:hAnsi="宋体" w:cs="宋体"/>
          <w:spacing w:val="10"/>
          <w:szCs w:val="21"/>
        </w:rPr>
      </w:pPr>
      <w:r>
        <w:rPr>
          <w:rFonts w:hint="eastAsia" w:ascii="宋体"/>
          <w:szCs w:val="21"/>
        </w:rPr>
        <w:t>4、</w:t>
      </w:r>
      <w:r>
        <w:rPr>
          <w:rFonts w:hint="eastAsia"/>
        </w:rPr>
        <w:t>对于</w:t>
      </w:r>
      <w:r>
        <w:rPr>
          <w:rFonts w:hint="eastAsia"/>
          <w:b/>
        </w:rPr>
        <w:t>风险等级为中等风险（含）以下</w:t>
      </w:r>
      <w:r>
        <w:rPr>
          <w:rFonts w:hint="eastAsia"/>
        </w:rPr>
        <w:t>的理财产品，在乙方对该理财产品以电子银行（包括但不限于网上银行、电话银行、手机银行等）渠道销售的情况下，甲方可以通过乙方的电子银行购买该理财产品。甲方接受并认可前述渠道购买该理财产品的法律效力。</w:t>
      </w:r>
    </w:p>
    <w:p>
      <w:pPr>
        <w:ind w:left="-176" w:leftChars="-84" w:firstLine="420" w:firstLineChars="200"/>
        <w:rPr>
          <w:rFonts w:ascii="宋体"/>
          <w:szCs w:val="21"/>
        </w:rPr>
      </w:pPr>
      <w:r>
        <w:rPr>
          <w:rFonts w:hint="eastAsia" w:ascii="宋体"/>
          <w:szCs w:val="21"/>
        </w:rPr>
        <w:t>5、甲方声明，理财资金是甲方有权处分的合法资金，</w:t>
      </w:r>
      <w:r>
        <w:rPr>
          <w:rFonts w:hint="eastAsia" w:ascii="宋体" w:hAnsi="宋体"/>
          <w:szCs w:val="21"/>
        </w:rPr>
        <w:t>保证在理财产品扣款时在乙方开立的委托理财账户存入足够的资金，</w:t>
      </w:r>
      <w:r>
        <w:rPr>
          <w:rFonts w:hint="eastAsia" w:ascii="宋体"/>
          <w:szCs w:val="21"/>
        </w:rPr>
        <w:t>甲方签署本协议符合对甲方具有约束力的法律法规等相关规定，甲方已经获得充分必要的授权，并具有完全适当的资格与能力订立、接受及履行本协议其中一方任何有关文件，否则由此产生的后果由甲方自行承担，并赔偿因此给乙方带来的损失。</w:t>
      </w:r>
    </w:p>
    <w:p>
      <w:pPr>
        <w:ind w:left="-176" w:leftChars="-84" w:firstLine="420" w:firstLineChars="200"/>
        <w:rPr>
          <w:rFonts w:ascii="宋体" w:hAnsi="宋体"/>
          <w:szCs w:val="21"/>
        </w:rPr>
      </w:pPr>
      <w:r>
        <w:rPr>
          <w:rFonts w:hint="eastAsia" w:ascii="宋体" w:hAnsi="宋体"/>
          <w:szCs w:val="21"/>
        </w:rPr>
        <w:t>6、甲方确认获知乙方对甲方财务状况、投资经验、投资目的以及对风险认知和承受能力进行调查、评估的意见。</w:t>
      </w:r>
    </w:p>
    <w:p>
      <w:pPr>
        <w:ind w:left="-176" w:leftChars="-84" w:firstLine="422" w:firstLineChars="200"/>
        <w:rPr>
          <w:rFonts w:ascii="宋体" w:hAnsi="宋体"/>
          <w:b/>
          <w:szCs w:val="21"/>
        </w:rPr>
      </w:pPr>
      <w:r>
        <w:rPr>
          <w:rFonts w:hint="eastAsia" w:ascii="宋体" w:hAnsi="宋体"/>
          <w:b/>
          <w:szCs w:val="21"/>
        </w:rPr>
        <w:t>7、甲方完全理解并接受本协议的约定</w:t>
      </w:r>
      <w:r>
        <w:rPr>
          <w:rFonts w:ascii="宋体"/>
          <w:b/>
          <w:szCs w:val="21"/>
        </w:rPr>
        <w:t>,</w:t>
      </w:r>
      <w:r>
        <w:rPr>
          <w:rFonts w:hint="eastAsia" w:ascii="宋体" w:hAnsi="宋体"/>
          <w:b/>
          <w:szCs w:val="21"/>
        </w:rPr>
        <w:t>乙方已就协议内容向甲方做了充分的说明与提示</w:t>
      </w:r>
      <w:r>
        <w:rPr>
          <w:rFonts w:ascii="宋体"/>
          <w:b/>
          <w:szCs w:val="21"/>
        </w:rPr>
        <w:t>,</w:t>
      </w:r>
      <w:r>
        <w:rPr>
          <w:rFonts w:hint="eastAsia" w:ascii="宋体" w:hAnsi="宋体"/>
          <w:b/>
          <w:szCs w:val="21"/>
        </w:rPr>
        <w:t>甲方在现在和将来均不会对协议条款提出任何异议。</w:t>
      </w:r>
    </w:p>
    <w:p>
      <w:pPr>
        <w:ind w:left="-176" w:leftChars="-84" w:firstLine="422" w:firstLineChars="200"/>
        <w:rPr>
          <w:rFonts w:ascii="宋体" w:hAnsi="宋体"/>
          <w:b/>
          <w:szCs w:val="21"/>
        </w:rPr>
      </w:pPr>
      <w:r>
        <w:rPr>
          <w:rFonts w:hint="eastAsia" w:ascii="宋体" w:hAnsi="宋体"/>
          <w:b/>
          <w:szCs w:val="21"/>
        </w:rPr>
        <w:t>第二条  协议的构成和效力</w:t>
      </w:r>
    </w:p>
    <w:p>
      <w:pPr>
        <w:ind w:left="-176" w:leftChars="-84" w:firstLine="420" w:firstLineChars="200"/>
      </w:pPr>
      <w:r>
        <w:rPr>
          <w:rFonts w:hint="eastAsia"/>
        </w:rPr>
        <w:t>1、本协议与甲方所购买理财产品的《理财产品说明书》、《风险揭示书》、《客户权益须知》、《风险承受能力评估问卷》（如有）、申请书（如有）、业务回单、交易凭证等有关法律文件共同构成一份完整且不可分割的理财合同。本协议是规定相关当事人之间权利义务的基础法律文件，除《理财产品说明书》另行约定的情形外，其他与理财产品相关的涉及相关当事人之间权利义务关系的任何文件或表述与本协议不一致的，均以本协议为准。</w:t>
      </w:r>
    </w:p>
    <w:p>
      <w:pPr>
        <w:ind w:left="-176" w:leftChars="-84" w:firstLine="420" w:firstLineChars="200"/>
      </w:pPr>
      <w:r>
        <w:rPr>
          <w:rFonts w:hint="eastAsia"/>
        </w:rPr>
        <w:t>2、本协议适用于甲方在乙方（包括乙方各分支机构）和双方同意开通的各渠道所购买理财产品项下各类交易。甲方在乙方（包括乙方各分支机构）或湖南银行其他发售理财产品的渠道签署理财合同的行为即表明甲方对理财合同全部内容的承认和接受。</w:t>
      </w:r>
    </w:p>
    <w:p>
      <w:pPr>
        <w:ind w:left="-176" w:leftChars="-84" w:firstLine="420" w:firstLineChars="200"/>
      </w:pPr>
      <w:r>
        <w:rPr>
          <w:rFonts w:hint="eastAsia"/>
        </w:rPr>
        <w:t>3、本协议的签署和生效不构成乙方及其分支机构（包括但不限于乙方及其分支机构）无条件接受甲方任何认购/撤销等各类交易委托或请求的承诺或保证。乙方可以根据法律法规、市场状况、自身经营管理需要和产品特点设置和调整特定理财产品的发售规模、发售渠道、发售机构、发售对象、渠道或机构的销售额度、交易时间、交易场所、交易限额和其他交易条件，乙方及其分支机构（包括但不限于乙方及其分支机构）有权拒绝甲方不符合条件的交易委托或要求。</w:t>
      </w:r>
    </w:p>
    <w:p>
      <w:pPr>
        <w:ind w:left="-176" w:leftChars="-84" w:firstLine="420" w:firstLineChars="200"/>
        <w:rPr>
          <w:rFonts w:ascii="宋体" w:hAnsi="宋体"/>
          <w:b/>
          <w:szCs w:val="21"/>
        </w:rPr>
      </w:pPr>
      <w:r>
        <w:rPr>
          <w:rFonts w:hint="eastAsia"/>
        </w:rPr>
        <w:t>4、甲方选择网上银行等电子交易渠道进行理财交易的，网上银行等电子渠道中形成的交易记录、电子数据等与本协议第二条第1款所述法律文件具有同等法律和证据效力。</w:t>
      </w:r>
    </w:p>
    <w:p>
      <w:pPr>
        <w:ind w:left="-176" w:leftChars="-84" w:firstLine="422" w:firstLineChars="200"/>
        <w:rPr>
          <w:rFonts w:ascii="宋体" w:hAnsi="宋体"/>
          <w:b/>
          <w:szCs w:val="21"/>
        </w:rPr>
      </w:pPr>
      <w:r>
        <w:rPr>
          <w:rFonts w:hint="eastAsia" w:ascii="宋体" w:hAnsi="宋体"/>
          <w:b/>
          <w:szCs w:val="21"/>
        </w:rPr>
        <w:t>第三条   理财产品的认购</w:t>
      </w:r>
    </w:p>
    <w:p>
      <w:pPr>
        <w:ind w:left="-176" w:leftChars="-84" w:firstLine="420" w:firstLineChars="200"/>
        <w:rPr>
          <w:rFonts w:ascii="宋体"/>
          <w:szCs w:val="21"/>
        </w:rPr>
      </w:pPr>
      <w:r>
        <w:rPr>
          <w:rFonts w:hint="eastAsia" w:ascii="宋体"/>
          <w:szCs w:val="21"/>
        </w:rPr>
        <w:t>1、本理财产品将按照《理财产品说明书》所列明的认购开始日起至认购结束日止受理甲方以乙方认可的方式进行的认购，乙方有权根据法律法规变化、市场状况、资金认购情况或在出现其他可能影响理财产品正常运用或投资目标实现的情形时，做出暂停/恢复认购、延长认购期限、提前结束认购宣布产品成立或者终止认购宣布认购失败的决定，并通过约定信息披露途径予以通知。</w:t>
      </w:r>
    </w:p>
    <w:p>
      <w:pPr>
        <w:ind w:left="-176" w:leftChars="-84" w:firstLine="420" w:firstLineChars="200"/>
        <w:rPr>
          <w:rFonts w:ascii="宋体"/>
          <w:color w:val="000000"/>
          <w:szCs w:val="21"/>
        </w:rPr>
      </w:pPr>
      <w:r>
        <w:rPr>
          <w:rFonts w:hint="eastAsia" w:ascii="宋体"/>
          <w:color w:val="000000"/>
          <w:szCs w:val="21"/>
        </w:rPr>
        <w:t>2、甲方认购本理财产品的金额为￥</w:t>
      </w:r>
      <w:r>
        <w:rPr>
          <w:rFonts w:hint="eastAsia" w:ascii="宋体"/>
          <w:color w:val="000000"/>
          <w:szCs w:val="21"/>
          <w:u w:val="single"/>
        </w:rPr>
        <w:t xml:space="preserve">                </w:t>
      </w:r>
      <w:r>
        <w:rPr>
          <w:rFonts w:hint="eastAsia" w:ascii="宋体"/>
          <w:color w:val="000000"/>
          <w:szCs w:val="21"/>
        </w:rPr>
        <w:t>（大写:人民币</w:t>
      </w:r>
      <w:r>
        <w:rPr>
          <w:rFonts w:hint="eastAsia" w:ascii="宋体"/>
          <w:color w:val="000000"/>
          <w:szCs w:val="21"/>
          <w:u w:val="single"/>
        </w:rPr>
        <w:t xml:space="preserve">         元整</w:t>
      </w:r>
      <w:r>
        <w:rPr>
          <w:rFonts w:hint="eastAsia" w:ascii="宋体"/>
          <w:color w:val="000000"/>
          <w:szCs w:val="21"/>
        </w:rPr>
        <w:t>）。甲方应在认购期内将足额认购资金划入甲方指定委托理财账户或乙方指定收款账户。</w:t>
      </w:r>
    </w:p>
    <w:p>
      <w:pPr>
        <w:ind w:left="-176" w:leftChars="-84" w:firstLine="420" w:firstLineChars="200"/>
        <w:rPr>
          <w:rFonts w:ascii="宋体"/>
          <w:szCs w:val="21"/>
        </w:rPr>
      </w:pPr>
      <w:r>
        <w:rPr>
          <w:rFonts w:hint="eastAsia" w:ascii="宋体"/>
          <w:szCs w:val="21"/>
        </w:rPr>
        <w:t>3、</w:t>
      </w:r>
      <w:r>
        <w:rPr>
          <w:rFonts w:hint="eastAsia"/>
        </w:rPr>
        <w:t>甲方认购本理财产品的划款方式采取下列第</w:t>
      </w:r>
      <w:r>
        <w:rPr>
          <w:u w:val="single"/>
        </w:rPr>
        <w:t xml:space="preserve"> </w:t>
      </w:r>
      <w:r>
        <w:rPr>
          <w:rFonts w:hint="eastAsia"/>
          <w:u w:val="single"/>
        </w:rPr>
        <w:t xml:space="preserve">   </w:t>
      </w:r>
      <w:r>
        <w:rPr>
          <w:rFonts w:hint="eastAsia"/>
        </w:rPr>
        <w:t>种：</w:t>
      </w:r>
    </w:p>
    <w:p>
      <w:pPr>
        <w:ind w:left="-176" w:leftChars="-84" w:firstLine="420" w:firstLineChars="200"/>
        <w:rPr>
          <w:rFonts w:ascii="宋体"/>
          <w:szCs w:val="21"/>
        </w:rPr>
      </w:pPr>
      <w:r>
        <w:rPr>
          <w:rFonts w:hint="eastAsia" w:ascii="宋体"/>
          <w:szCs w:val="21"/>
        </w:rPr>
        <w:t>（1）甲方指定委托理财账户开户行在乙方，甲方在认购期内向该指定委托理财账户存入足额资金并授权乙方于起息日当日将甲方指定委托理财账户内相应的理财资金划转至乙方指定收款账户。由于甲方指定委托理财账户资金不足导致交易失败的，乙方不承担责任；甲方指定</w:t>
      </w:r>
      <w:r>
        <w:rPr>
          <w:rFonts w:hint="eastAsia"/>
        </w:rPr>
        <w:t>委托理财账户</w:t>
      </w:r>
      <w:r>
        <w:rPr>
          <w:rFonts w:hint="eastAsia" w:ascii="宋体"/>
          <w:szCs w:val="21"/>
        </w:rPr>
        <w:t>，用于本理财产品的资金划转及其产品兑付，甲方承诺理财期间该账户不被销户。甲方指定委托理财账户信息如下：</w:t>
      </w:r>
    </w:p>
    <w:p>
      <w:pPr>
        <w:ind w:left="-176" w:leftChars="-84" w:firstLine="420" w:firstLineChars="200"/>
        <w:rPr>
          <w:rFonts w:ascii="宋体"/>
          <w:szCs w:val="21"/>
          <w:u w:val="single"/>
        </w:rPr>
      </w:pPr>
      <w:r>
        <w:rPr>
          <w:rFonts w:hint="eastAsia" w:ascii="宋体"/>
          <w:szCs w:val="21"/>
        </w:rPr>
        <w:t>户名：</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账号：</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开户行：</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大额支付号：</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（2）甲方指定委托理财账户开户行不在乙方或甲方在乙方有账户但不授权乙方进行相应理财资金划转的，则甲方应于起息日当日上午10:00点前向乙方指定收款账户划入足额资金。乙方指定收款账户信息如下：</w:t>
      </w:r>
    </w:p>
    <w:p>
      <w:pPr>
        <w:ind w:left="-176" w:leftChars="-84" w:firstLine="420" w:firstLineChars="200"/>
        <w:rPr>
          <w:rFonts w:ascii="宋体"/>
          <w:szCs w:val="21"/>
        </w:rPr>
      </w:pPr>
      <w:r>
        <w:rPr>
          <w:rFonts w:hint="eastAsia" w:ascii="宋体"/>
          <w:szCs w:val="21"/>
        </w:rPr>
        <w:t>账户名：</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开户行：</w:t>
      </w:r>
      <w:r>
        <w:rPr>
          <w:rFonts w:ascii="宋体"/>
          <w:szCs w:val="21"/>
          <w:u w:val="single"/>
        </w:rPr>
        <w:t xml:space="preserve">                           </w:t>
      </w:r>
    </w:p>
    <w:p>
      <w:pPr>
        <w:ind w:left="-176" w:leftChars="-84" w:firstLine="420" w:firstLineChars="200"/>
        <w:rPr>
          <w:rFonts w:ascii="宋体"/>
          <w:szCs w:val="21"/>
        </w:rPr>
      </w:pPr>
      <w:r>
        <w:rPr>
          <w:rFonts w:hint="eastAsia" w:ascii="宋体"/>
          <w:szCs w:val="21"/>
        </w:rPr>
        <w:t>账号：</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大额支付号：</w:t>
      </w:r>
      <w:r>
        <w:rPr>
          <w:rFonts w:ascii="宋体"/>
          <w:szCs w:val="21"/>
          <w:u w:val="single"/>
        </w:rPr>
        <w:t xml:space="preserve">                           </w:t>
      </w:r>
    </w:p>
    <w:p>
      <w:pPr>
        <w:ind w:left="-176" w:leftChars="-84" w:firstLine="422" w:firstLineChars="200"/>
        <w:rPr>
          <w:rFonts w:ascii="宋体" w:hAnsi="宋体"/>
          <w:b/>
          <w:szCs w:val="21"/>
        </w:rPr>
      </w:pPr>
      <w:r>
        <w:rPr>
          <w:rFonts w:hint="eastAsia" w:ascii="宋体" w:hAnsi="宋体"/>
          <w:b/>
          <w:szCs w:val="21"/>
        </w:rPr>
        <w:t>第四条</w:t>
      </w:r>
      <w:r>
        <w:rPr>
          <w:rFonts w:ascii="宋体" w:hAnsi="宋体"/>
          <w:b/>
          <w:szCs w:val="21"/>
        </w:rPr>
        <w:t xml:space="preserve">   </w:t>
      </w:r>
      <w:r>
        <w:rPr>
          <w:rFonts w:hint="eastAsia" w:ascii="宋体" w:hAnsi="宋体"/>
          <w:b/>
          <w:szCs w:val="21"/>
        </w:rPr>
        <w:t>理财产品的投资管理</w:t>
      </w:r>
    </w:p>
    <w:p>
      <w:pPr>
        <w:pStyle w:val="2"/>
        <w:ind w:left="-84" w:firstLine="315" w:firstLineChars="150"/>
      </w:pPr>
      <w:r>
        <w:rPr>
          <w:rFonts w:hint="eastAsia"/>
        </w:rPr>
        <w:t>1、</w:t>
      </w:r>
      <w:r>
        <w:rPr>
          <w:rFonts w:hint="eastAsia"/>
          <w:b/>
        </w:rPr>
        <w:t>乙方不对任何理财产品的收益情况做出承诺或保证，亦不会承诺或保证最低收益或本金安全</w:t>
      </w:r>
      <w:r>
        <w:rPr>
          <w:rFonts w:hint="eastAsia"/>
        </w:rPr>
        <w:t>。</w:t>
      </w:r>
    </w:p>
    <w:p>
      <w:pPr>
        <w:pStyle w:val="2"/>
        <w:ind w:left="-84" w:firstLine="315" w:firstLineChars="150"/>
      </w:pPr>
      <w:r>
        <w:rPr>
          <w:rFonts w:hint="eastAsia"/>
        </w:rPr>
        <w:t>2、甲方同意，依据相关法律法规规定、《理财产品说明书》约定或产品投资管理的需要，乙方可以选任或委托投资管理机构及托管机构；同意乙方以自身名义签署协议等相关法律文件；承诺承担乙方履行协议等相关法律文件产生的法律后果。</w:t>
      </w:r>
    </w:p>
    <w:p>
      <w:pPr>
        <w:pStyle w:val="2"/>
        <w:ind w:left="-84" w:firstLine="315" w:firstLineChars="150"/>
      </w:pPr>
      <w:r>
        <w:rPr>
          <w:rFonts w:hint="eastAsia"/>
        </w:rPr>
        <w:t>3、甲方同意乙方在《理财产品说明书》约定的投资计划内，依据自身的投资决策流程和风险管理机制做出和实施相关投资管理决定。</w:t>
      </w:r>
    </w:p>
    <w:p>
      <w:pPr>
        <w:pStyle w:val="2"/>
        <w:ind w:left="-84" w:firstLine="315" w:firstLineChars="150"/>
      </w:pPr>
      <w:r>
        <w:rPr>
          <w:rFonts w:hint="eastAsia"/>
        </w:rPr>
        <w:t>4、如出现法律法规变化、金融政策调整、紧急措施出台、重大市场波动、异常风险事件、</w:t>
      </w:r>
      <w:r>
        <w:rPr>
          <w:rFonts w:hint="eastAsia" w:ascii="宋体"/>
          <w:szCs w:val="21"/>
        </w:rPr>
        <w:t>不可抗力、市场停市或管制等异常事件、交易对手违约或其他非由湖南银行主导、仅能被动接受的外部事件或客观情形</w:t>
      </w:r>
      <w:r>
        <w:rPr>
          <w:rFonts w:hint="eastAsia"/>
        </w:rPr>
        <w:t>之一时，乙方可根据需要做出调整《理财产品说明书》约定投资计划（包括但不限于投资方向、投资范围、投资品种、投资比例、投资方式等内容）的决定，并通过约定信息披露途径提前通知，甲方不接受的，甲方可按照理财产品销售文件的约定提前赎回理财产品；《理财产品说明书》对通知途径和方式另有约定的，按其约定执行。甲方应注意自行就所购买产品的信息进行查询。乙方将本着维护全体投资者利益的原则依据相关法律法规进行投资计划调整。</w:t>
      </w:r>
    </w:p>
    <w:p>
      <w:pPr>
        <w:pStyle w:val="2"/>
        <w:ind w:left="-84" w:firstLine="315" w:firstLineChars="150"/>
      </w:pPr>
      <w:r>
        <w:rPr>
          <w:rFonts w:hint="eastAsia"/>
        </w:rPr>
        <w:t>5、为实现理财产品的投资目标和维护理财产品投资者的利益，乙方有权行使与投资相关的权利。当理财产品的投资安全受到侵害或有被侵害之时，乙方有权以自身名义代表理财产品全体投资者采取诉讼或其他权利救济措施。乙方采取上述行动所产生的费用和法律后果由理财产品全体投资者承担。</w:t>
      </w:r>
    </w:p>
    <w:p>
      <w:pPr>
        <w:pStyle w:val="2"/>
        <w:ind w:left="-84" w:firstLine="315" w:firstLineChars="150"/>
      </w:pPr>
      <w:r>
        <w:rPr>
          <w:rFonts w:hint="eastAsia"/>
        </w:rPr>
        <w:t>6、乙方根据相关法律和国家政策规定，需要对已约定的收费项目、收费条件、收费标准和收费方式进行调整时，应当按照有关规定进行信息披露后方可调整；甲方不接受的，甲方按照可理财产品销售文件的约定提前赎回理财产品。</w:t>
      </w:r>
    </w:p>
    <w:p>
      <w:pPr>
        <w:ind w:left="-176" w:leftChars="-84" w:firstLine="422" w:firstLineChars="200"/>
        <w:rPr>
          <w:rFonts w:ascii="宋体" w:hAnsi="宋体"/>
          <w:b/>
          <w:szCs w:val="21"/>
        </w:rPr>
      </w:pPr>
      <w:r>
        <w:rPr>
          <w:rFonts w:hint="eastAsia" w:ascii="宋体" w:hAnsi="宋体"/>
          <w:b/>
          <w:szCs w:val="21"/>
        </w:rPr>
        <w:t>第五条</w:t>
      </w:r>
      <w:r>
        <w:rPr>
          <w:rFonts w:ascii="宋体" w:hAnsi="宋体"/>
          <w:b/>
          <w:szCs w:val="21"/>
        </w:rPr>
        <w:t xml:space="preserve">  </w:t>
      </w:r>
      <w:r>
        <w:rPr>
          <w:rFonts w:hint="eastAsia" w:ascii="宋体" w:hAnsi="宋体"/>
          <w:b/>
          <w:szCs w:val="21"/>
        </w:rPr>
        <w:t>理财产品的提前终止</w:t>
      </w:r>
    </w:p>
    <w:p>
      <w:pPr>
        <w:ind w:left="-176" w:leftChars="-84" w:firstLine="420" w:firstLineChars="200"/>
        <w:rPr>
          <w:rFonts w:ascii="宋体"/>
          <w:szCs w:val="21"/>
        </w:rPr>
      </w:pPr>
      <w:r>
        <w:rPr>
          <w:rFonts w:hint="eastAsia" w:ascii="宋体"/>
          <w:szCs w:val="21"/>
        </w:rPr>
        <w:t>甲方同意在出现下列情形之一时，乙方有权单方面提前终止理财产品。乙方决定提前终止理财产品的，应提前通过约定的信息披露途径予以通知：</w:t>
      </w:r>
    </w:p>
    <w:p>
      <w:pPr>
        <w:ind w:left="-176" w:leftChars="-84" w:firstLine="420" w:firstLineChars="200"/>
        <w:rPr>
          <w:rFonts w:ascii="宋体"/>
          <w:szCs w:val="21"/>
        </w:rPr>
      </w:pPr>
      <w:r>
        <w:rPr>
          <w:rFonts w:hint="eastAsia" w:ascii="宋体"/>
          <w:szCs w:val="21"/>
        </w:rPr>
        <w:t>1、《理财产品说明书》列明的提前终止情形出现或提前终止条件成立；</w:t>
      </w:r>
    </w:p>
    <w:p>
      <w:pPr>
        <w:ind w:left="-176" w:leftChars="-84" w:firstLine="420" w:firstLineChars="200"/>
        <w:rPr>
          <w:rFonts w:ascii="宋体"/>
          <w:szCs w:val="21"/>
        </w:rPr>
      </w:pPr>
      <w:r>
        <w:rPr>
          <w:rFonts w:hint="eastAsia" w:ascii="宋体"/>
          <w:szCs w:val="21"/>
        </w:rPr>
        <w:t>2、因不可抗力原因导致理财产品无法继续运作；</w:t>
      </w:r>
    </w:p>
    <w:p>
      <w:pPr>
        <w:ind w:left="-176" w:leftChars="-84" w:firstLine="420" w:firstLineChars="200"/>
        <w:rPr>
          <w:rFonts w:ascii="宋体"/>
          <w:szCs w:val="21"/>
        </w:rPr>
      </w:pPr>
      <w:r>
        <w:rPr>
          <w:rFonts w:hint="eastAsia" w:ascii="宋体"/>
          <w:szCs w:val="21"/>
        </w:rPr>
        <w:t>3、遇有市场剧烈波动、异常风险事件等情形导致理财产品净值出现大幅波动或严重影响理财产品的资金安全；</w:t>
      </w:r>
    </w:p>
    <w:p>
      <w:pPr>
        <w:ind w:left="-176" w:leftChars="-84" w:firstLine="420" w:firstLineChars="200"/>
        <w:rPr>
          <w:rFonts w:ascii="宋体"/>
          <w:szCs w:val="21"/>
        </w:rPr>
      </w:pPr>
      <w:r>
        <w:rPr>
          <w:rFonts w:hint="eastAsia" w:ascii="宋体"/>
          <w:szCs w:val="21"/>
        </w:rPr>
        <w:t>4、因投资者赎回导致理财产品剩余资产无法满足相关法律法规规定、所投资市场要求或协议等相关法律文件约定，或者继续存续无法实现投资目标；</w:t>
      </w:r>
    </w:p>
    <w:p>
      <w:pPr>
        <w:ind w:left="-176" w:leftChars="-84" w:firstLine="420" w:firstLineChars="200"/>
        <w:rPr>
          <w:rFonts w:ascii="宋体"/>
          <w:szCs w:val="21"/>
        </w:rPr>
      </w:pPr>
      <w:r>
        <w:rPr>
          <w:rFonts w:hint="eastAsia" w:ascii="宋体"/>
          <w:szCs w:val="21"/>
        </w:rPr>
        <w:t>5、因相关投资管理机构解散、破产、撤销、被取消业务资格等原因无法继续履行相应职责导致产品无法继续运作；</w:t>
      </w:r>
    </w:p>
    <w:p>
      <w:pPr>
        <w:ind w:left="-176" w:leftChars="-84" w:firstLine="420" w:firstLineChars="200"/>
        <w:rPr>
          <w:rFonts w:ascii="宋体"/>
          <w:szCs w:val="21"/>
        </w:rPr>
      </w:pPr>
      <w:r>
        <w:rPr>
          <w:rFonts w:hint="eastAsia" w:ascii="宋体"/>
          <w:szCs w:val="21"/>
        </w:rPr>
        <w:t>6、相关投资管理机构或运用理财资金的第三方主体实施符合法律法规规定或协议等相关法律文件约定的行为导致理财产品被动提前终止；</w:t>
      </w:r>
    </w:p>
    <w:p>
      <w:pPr>
        <w:ind w:left="-176" w:leftChars="-84" w:firstLine="420" w:firstLineChars="200"/>
        <w:rPr>
          <w:rFonts w:ascii="宋体"/>
          <w:szCs w:val="21"/>
        </w:rPr>
      </w:pPr>
      <w:r>
        <w:rPr>
          <w:rFonts w:hint="eastAsia" w:ascii="宋体"/>
          <w:szCs w:val="21"/>
        </w:rPr>
        <w:t>7、因法律法规变化或国家金融政策调整、紧急措施出台影响产品继续政策运作；</w:t>
      </w:r>
    </w:p>
    <w:p>
      <w:pPr>
        <w:ind w:left="-176" w:leftChars="-84" w:firstLine="420" w:firstLineChars="200"/>
        <w:rPr>
          <w:rFonts w:ascii="宋体"/>
          <w:szCs w:val="21"/>
        </w:rPr>
      </w:pPr>
      <w:r>
        <w:rPr>
          <w:rFonts w:hint="eastAsia" w:ascii="宋体"/>
          <w:szCs w:val="21"/>
        </w:rPr>
        <w:t>8、法律法规规定或监管部门认定的其他情形。</w:t>
      </w:r>
    </w:p>
    <w:p>
      <w:pPr>
        <w:ind w:left="-176" w:leftChars="-84" w:firstLine="422" w:firstLineChars="200"/>
        <w:rPr>
          <w:rFonts w:ascii="宋体"/>
          <w:b/>
          <w:szCs w:val="21"/>
        </w:rPr>
      </w:pPr>
      <w:r>
        <w:rPr>
          <w:rFonts w:hint="eastAsia" w:ascii="宋体"/>
          <w:b/>
          <w:szCs w:val="21"/>
        </w:rPr>
        <w:t>第六条  理财产品的延期</w:t>
      </w:r>
    </w:p>
    <w:p>
      <w:pPr>
        <w:ind w:left="-176" w:leftChars="-84" w:firstLine="420" w:firstLineChars="200"/>
        <w:rPr>
          <w:rFonts w:ascii="宋体"/>
          <w:szCs w:val="21"/>
        </w:rPr>
      </w:pPr>
      <w:r>
        <w:rPr>
          <w:rFonts w:hint="eastAsia" w:ascii="宋体"/>
          <w:szCs w:val="21"/>
        </w:rPr>
        <w:t>出现不可抗力、市场停市或管制等异常事件、交易对手违约或其他非由湖南银行主导、仅能被动接受的外部事件或客观情形，导致理财产品无法按约定到期日清算时，或根据《理财产品说明书》约定银行需要对理财产品进行延期时，乙方将于理财产品原定到期日前通过约定信息披露途径及时通知，并</w:t>
      </w:r>
      <w:r>
        <w:rPr>
          <w:rFonts w:hint="eastAsia"/>
        </w:rPr>
        <w:t>将本着维护全体投资者利益的原则依据相关法律法规</w:t>
      </w:r>
      <w:r>
        <w:rPr>
          <w:rFonts w:hint="eastAsia" w:ascii="宋体"/>
          <w:szCs w:val="21"/>
        </w:rPr>
        <w:t>根据该产品的实际情况进行后续处理。</w:t>
      </w:r>
    </w:p>
    <w:p>
      <w:pPr>
        <w:ind w:left="-176" w:leftChars="-84" w:firstLine="422" w:firstLineChars="200"/>
        <w:rPr>
          <w:rFonts w:ascii="宋体"/>
          <w:b/>
          <w:szCs w:val="21"/>
        </w:rPr>
      </w:pPr>
      <w:r>
        <w:rPr>
          <w:rFonts w:hint="eastAsia" w:ascii="宋体"/>
          <w:b/>
          <w:szCs w:val="21"/>
        </w:rPr>
        <w:t>第七条  税务事项</w:t>
      </w:r>
    </w:p>
    <w:p>
      <w:pPr>
        <w:ind w:left="-176" w:leftChars="-84" w:firstLine="420" w:firstLineChars="200"/>
        <w:rPr>
          <w:rFonts w:ascii="宋体"/>
          <w:szCs w:val="21"/>
        </w:rPr>
      </w:pPr>
      <w:r>
        <w:rPr>
          <w:rFonts w:hint="eastAsia" w:ascii="宋体" w:hAnsi="宋体" w:cs="宋体"/>
          <w:kern w:val="0"/>
          <w:szCs w:val="21"/>
        </w:rPr>
        <w:t>甲方投资本产品所应交纳的税款及缴纳方式按照国家相关税收规定执行</w:t>
      </w:r>
      <w:r>
        <w:rPr>
          <w:rFonts w:hint="eastAsia" w:ascii="宋体"/>
          <w:szCs w:val="21"/>
        </w:rPr>
        <w:t>。</w:t>
      </w:r>
    </w:p>
    <w:p>
      <w:pPr>
        <w:ind w:left="-176" w:leftChars="-84" w:firstLine="422" w:firstLineChars="200"/>
        <w:rPr>
          <w:rFonts w:ascii="宋体"/>
          <w:b/>
          <w:szCs w:val="21"/>
        </w:rPr>
      </w:pPr>
      <w:r>
        <w:rPr>
          <w:rFonts w:hint="eastAsia" w:ascii="宋体"/>
          <w:b/>
          <w:szCs w:val="21"/>
        </w:rPr>
        <w:t>第八条  信息披露</w:t>
      </w:r>
    </w:p>
    <w:p>
      <w:pPr>
        <w:ind w:left="-176" w:leftChars="-84" w:firstLine="420" w:firstLineChars="200"/>
        <w:rPr>
          <w:rFonts w:ascii="宋体"/>
          <w:szCs w:val="21"/>
        </w:rPr>
      </w:pPr>
      <w:r>
        <w:rPr>
          <w:rFonts w:hint="eastAsia" w:ascii="宋体"/>
          <w:szCs w:val="21"/>
        </w:rPr>
        <w:t>1、本理财产品存续期间，乙方通过湖南银行官方网站（</w:t>
      </w:r>
      <w:r>
        <w:rPr>
          <w:rStyle w:val="10"/>
          <w:rFonts w:hint="eastAsia"/>
          <w:color w:val="auto"/>
        </w:rPr>
        <w:t>www.hunan-bank.com</w:t>
      </w:r>
      <w:r>
        <w:rPr>
          <w:rFonts w:hint="eastAsia" w:ascii="宋体"/>
          <w:szCs w:val="21"/>
        </w:rPr>
        <w:t>）、营业网点发布有关本理财产品的相关信息，包括产品成立、终止等理财产品相关信息，具体信息披露情况详见《理财产品说明书》。</w:t>
      </w:r>
    </w:p>
    <w:p>
      <w:pPr>
        <w:ind w:left="-176" w:leftChars="-84" w:firstLine="420" w:firstLineChars="200"/>
        <w:rPr>
          <w:rFonts w:ascii="宋体"/>
          <w:szCs w:val="21"/>
        </w:rPr>
      </w:pPr>
      <w:r>
        <w:rPr>
          <w:rFonts w:hint="eastAsia" w:ascii="宋体"/>
          <w:szCs w:val="21"/>
        </w:rPr>
        <w:t>2、</w:t>
      </w:r>
      <w:r>
        <w:rPr>
          <w:rFonts w:hint="eastAsia" w:ascii="宋体"/>
          <w:b/>
          <w:szCs w:val="21"/>
        </w:rPr>
        <w:t>乙方通过湖南银行官方网站（</w:t>
      </w:r>
      <w:r>
        <w:rPr>
          <w:rStyle w:val="10"/>
          <w:rFonts w:hint="eastAsia"/>
          <w:color w:val="auto"/>
        </w:rPr>
        <w:t>www.hunan-bank.com</w:t>
      </w:r>
      <w:r>
        <w:rPr>
          <w:rFonts w:hint="eastAsia" w:ascii="宋体"/>
          <w:b/>
          <w:szCs w:val="21"/>
        </w:rPr>
        <w:t>）、营业网点发布上述信息，即视为已适当履行其在本协议书项下的信息披露义务。</w:t>
      </w:r>
      <w:r>
        <w:rPr>
          <w:rFonts w:hint="eastAsia" w:ascii="宋体"/>
          <w:szCs w:val="21"/>
        </w:rPr>
        <w:t>如乙方认为需要直接联系甲方的，乙方将依据协议书客户信息中甲方预留的地址或电话进行通知。因甲方原因而导致通知失败的，乙方不承担任何责任。</w:t>
      </w:r>
    </w:p>
    <w:p>
      <w:pPr>
        <w:ind w:left="-176" w:leftChars="-84" w:firstLine="420" w:firstLineChars="200"/>
        <w:rPr>
          <w:rFonts w:ascii="宋体"/>
          <w:szCs w:val="21"/>
        </w:rPr>
      </w:pPr>
      <w:r>
        <w:rPr>
          <w:rFonts w:hint="eastAsia" w:ascii="宋体"/>
          <w:szCs w:val="21"/>
        </w:rPr>
        <w:t>3、乙方增加其他信息披露途径的，亦将通过上述途径通知甲方。</w:t>
      </w:r>
    </w:p>
    <w:p>
      <w:pPr>
        <w:ind w:left="-176" w:leftChars="-84" w:firstLine="422" w:firstLineChars="200"/>
        <w:rPr>
          <w:rFonts w:ascii="宋体" w:hAns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资金清算和费用支付</w:t>
      </w:r>
    </w:p>
    <w:p>
      <w:pPr>
        <w:ind w:left="-176" w:leftChars="-84" w:firstLine="420" w:firstLineChars="200"/>
      </w:pPr>
      <w:r>
        <w:rPr>
          <w:rFonts w:hint="eastAsia" w:ascii="宋体"/>
          <w:szCs w:val="21"/>
        </w:rPr>
        <w:t>1、</w:t>
      </w:r>
      <w:r>
        <w:rPr>
          <w:rFonts w:hint="eastAsia"/>
        </w:rPr>
        <w:t>乙方按照《理财产品说明书》的约定计算和支付收益（如有）。收益一般以原购买的币种支付，但《理财产品说明书》另有约定的除外。</w:t>
      </w:r>
      <w:r>
        <w:rPr>
          <w:rFonts w:hint="eastAsia" w:ascii="宋体"/>
          <w:b/>
          <w:szCs w:val="21"/>
        </w:rPr>
        <w:t>理财产品到期日或提前终止日至理财资金返还到账日为理财产品清算期，清算期内理财资金不计付存款利息。</w:t>
      </w:r>
    </w:p>
    <w:p>
      <w:pPr>
        <w:ind w:left="-176" w:leftChars="-84" w:firstLine="420" w:firstLineChars="200"/>
        <w:rPr>
          <w:rFonts w:ascii="宋体"/>
          <w:szCs w:val="21"/>
        </w:rPr>
      </w:pPr>
      <w:r>
        <w:rPr>
          <w:rFonts w:hint="eastAsia" w:ascii="宋体"/>
          <w:szCs w:val="21"/>
        </w:rPr>
        <w:t>2、理财产品到期或提前终止时，资金清算和费用支付按照以下第</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rPr>
        <w:t>种方式办理：</w:t>
      </w:r>
    </w:p>
    <w:p>
      <w:pPr>
        <w:ind w:left="-176" w:leftChars="-84" w:firstLine="420" w:firstLineChars="200"/>
      </w:pPr>
      <w:r>
        <w:rPr>
          <w:rFonts w:hint="eastAsia" w:ascii="宋体"/>
          <w:szCs w:val="21"/>
        </w:rPr>
        <w:t>（1）甲方指定委托理财账户开户行在乙方，</w:t>
      </w:r>
      <w:r>
        <w:rPr>
          <w:rFonts w:hint="eastAsia"/>
        </w:rPr>
        <w:t>乙方按照《理财产品说明书》的约定和</w:t>
      </w:r>
      <w:r>
        <w:t>/</w:t>
      </w:r>
      <w:r>
        <w:rPr>
          <w:rFonts w:hint="eastAsia"/>
        </w:rPr>
        <w:t>或实际投资情况将甲方的全部投资本金和收益划入甲方指定委托理财账户。</w:t>
      </w:r>
    </w:p>
    <w:p>
      <w:pPr>
        <w:ind w:left="-176" w:leftChars="-84" w:firstLine="420" w:firstLineChars="200"/>
      </w:pPr>
      <w:r>
        <w:rPr>
          <w:rFonts w:hint="eastAsia"/>
        </w:rPr>
        <w:t>（</w:t>
      </w:r>
      <w:r>
        <w:t>2</w:t>
      </w:r>
      <w:r>
        <w:rPr>
          <w:rFonts w:hint="eastAsia"/>
        </w:rPr>
        <w:t>）</w:t>
      </w:r>
      <w:r>
        <w:rPr>
          <w:rFonts w:hint="eastAsia" w:ascii="宋体"/>
          <w:szCs w:val="21"/>
        </w:rPr>
        <w:t>甲方指定委托理财账户开户行不在乙方，</w:t>
      </w:r>
      <w:r>
        <w:rPr>
          <w:rFonts w:hint="eastAsia"/>
        </w:rPr>
        <w:t>乙方按照《理财产品说明书》的约定和</w:t>
      </w:r>
      <w:r>
        <w:t>/</w:t>
      </w:r>
      <w:r>
        <w:rPr>
          <w:rFonts w:hint="eastAsia"/>
        </w:rPr>
        <w:t>或实际投资情况将甲方的全部投资本金和收益划入甲方指定的收款账户，信息如下：</w:t>
      </w:r>
    </w:p>
    <w:p>
      <w:pPr>
        <w:ind w:left="-176" w:leftChars="-84" w:firstLine="420" w:firstLineChars="200"/>
        <w:rPr>
          <w:rFonts w:ascii="宋体"/>
          <w:szCs w:val="21"/>
          <w:u w:val="single"/>
        </w:rPr>
      </w:pPr>
      <w:r>
        <w:rPr>
          <w:rFonts w:hint="eastAsia" w:ascii="宋体"/>
          <w:szCs w:val="21"/>
        </w:rPr>
        <w:t>户名：</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账号：</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开户行：</w:t>
      </w:r>
      <w:r>
        <w:rPr>
          <w:rFonts w:ascii="宋体"/>
          <w:szCs w:val="21"/>
          <w:u w:val="single"/>
        </w:rPr>
        <w:t xml:space="preserve">                 </w:t>
      </w:r>
      <w:r>
        <w:rPr>
          <w:rFonts w:hint="eastAsia" w:ascii="宋体"/>
          <w:szCs w:val="21"/>
          <w:u w:val="single"/>
        </w:rPr>
        <w:t xml:space="preserve"> </w:t>
      </w:r>
      <w:r>
        <w:rPr>
          <w:rFonts w:ascii="宋体"/>
          <w:szCs w:val="21"/>
          <w:u w:val="single"/>
        </w:rPr>
        <w:t xml:space="preserve">             </w:t>
      </w:r>
    </w:p>
    <w:p>
      <w:pPr>
        <w:ind w:left="-176" w:leftChars="-84" w:firstLine="420" w:firstLineChars="200"/>
        <w:rPr>
          <w:rFonts w:ascii="宋体"/>
          <w:szCs w:val="21"/>
          <w:u w:val="single"/>
        </w:rPr>
      </w:pPr>
      <w:r>
        <w:rPr>
          <w:rFonts w:hint="eastAsia" w:ascii="宋体"/>
          <w:szCs w:val="21"/>
        </w:rPr>
        <w:t>大额支付号：</w:t>
      </w:r>
      <w:r>
        <w:rPr>
          <w:rFonts w:ascii="宋体"/>
          <w:szCs w:val="21"/>
          <w:u w:val="single"/>
        </w:rPr>
        <w:t xml:space="preserve">                           </w:t>
      </w:r>
    </w:p>
    <w:p>
      <w:pPr>
        <w:ind w:left="-176" w:leftChars="-84" w:firstLine="420" w:firstLineChars="200"/>
      </w:pPr>
      <w:r>
        <w:rPr>
          <w:rFonts w:hint="eastAsia" w:ascii="宋体"/>
          <w:szCs w:val="21"/>
        </w:rPr>
        <w:t>3、</w:t>
      </w:r>
      <w:r>
        <w:rPr>
          <w:rFonts w:hint="eastAsia"/>
        </w:rPr>
        <w:t>乙方依据《理财产品说明书》约定的费用项目、收费条件、收费方式、费率标准等要素收取相关费用，依据《理财产品说明书》的约定提取投资管理费。</w:t>
      </w:r>
      <w:r>
        <w:rPr>
          <w:rFonts w:hint="eastAsia"/>
          <w:b/>
        </w:rPr>
        <w:t>费用和投资管理费可由乙方从甲方理财资金或应分配款项中直接扣除。</w:t>
      </w:r>
    </w:p>
    <w:p>
      <w:pPr>
        <w:ind w:left="-176" w:leftChars="-84" w:firstLine="420" w:firstLineChars="200"/>
      </w:pPr>
      <w:r>
        <w:rPr>
          <w:rFonts w:hint="eastAsia" w:ascii="宋体"/>
          <w:szCs w:val="21"/>
        </w:rPr>
        <w:t>4、</w:t>
      </w:r>
      <w:r>
        <w:rPr>
          <w:rFonts w:hint="eastAsia"/>
          <w:b/>
        </w:rPr>
        <w:t>乙方与投资管理机构及托管机构签署的协议等相关法律文件项下的债务或费用以及产品投资管理运作中形成的各项债务和费用由理财产品资产承担</w:t>
      </w:r>
      <w:r>
        <w:rPr>
          <w:rFonts w:hint="eastAsia"/>
        </w:rPr>
        <w:t>，甲方按照本方购买金额占产品所有投资者投资总额的份额比例分担，但法律法规另有规定或《理财产品说明书》另有约定的除外。</w:t>
      </w:r>
    </w:p>
    <w:p>
      <w:pPr>
        <w:ind w:left="-176" w:leftChars="-84" w:firstLine="422" w:firstLineChars="200"/>
        <w:rPr>
          <w:rFonts w:ascii="宋体"/>
          <w:b/>
          <w:szCs w:val="21"/>
        </w:rPr>
      </w:pPr>
      <w:r>
        <w:rPr>
          <w:rFonts w:hint="eastAsia" w:ascii="宋体" w:hAnsi="宋体"/>
          <w:b/>
          <w:szCs w:val="21"/>
        </w:rPr>
        <w:t>第十条   风险提示</w:t>
      </w:r>
    </w:p>
    <w:p>
      <w:pPr>
        <w:ind w:left="-176" w:leftChars="-84" w:firstLine="422" w:firstLineChars="200"/>
        <w:rPr>
          <w:rFonts w:ascii="宋体" w:hAnsi="宋体"/>
          <w:b/>
          <w:szCs w:val="21"/>
        </w:rPr>
      </w:pPr>
      <w:r>
        <w:rPr>
          <w:rFonts w:hint="eastAsia" w:ascii="宋体" w:hAnsi="宋体"/>
          <w:b/>
          <w:szCs w:val="21"/>
        </w:rPr>
        <w:t>由于市场的波动性，乙方向甲方揭示，乙方及甲方指定的其他金融机构（如有）在接受甲方指定及授权管理、运作、处分、管理理财产品认购资金的过程中，可能会遇到包括但不限于信用风险、市场风险、流动性风险、利率风险、本金及收益风险等，甲方所预期的风险防范、获利等交易目标不一定能够实现，而上述后果由甲方自行承担，乙方对此不提供担保也不承担任何责任。具体风险详见《风险揭示书》及《理财产品说明书》。</w:t>
      </w:r>
    </w:p>
    <w:p>
      <w:pPr>
        <w:ind w:left="-176" w:leftChars="-84" w:firstLine="422" w:firstLineChars="200"/>
        <w:rPr>
          <w:rFonts w:ascii="宋体"/>
          <w:b/>
          <w:szCs w:val="21"/>
        </w:rPr>
      </w:pPr>
      <w:r>
        <w:rPr>
          <w:rFonts w:hint="eastAsia" w:ascii="宋体"/>
          <w:b/>
          <w:szCs w:val="21"/>
        </w:rPr>
        <w:t>第十一条  违约责任与争议处理</w:t>
      </w:r>
    </w:p>
    <w:p>
      <w:pPr>
        <w:ind w:left="-176" w:leftChars="-84" w:firstLine="420" w:firstLineChars="200"/>
      </w:pPr>
      <w:r>
        <w:rPr>
          <w:rFonts w:hint="eastAsia"/>
        </w:rPr>
        <w:t>1、甲方更换委托理财账户或与账户对应的存折、银行卡时，应及时到原办理网点办理变更手续。甲方购买理财产品时所登记的通讯方式及其他基本信息发生变更时，应及时通知原办理网点。因甲方未及时变更、通知或因其他甲方原因造成产品起息时无法扣款、产品到期时资金无法及时入账或湖南银行无法及时联系甲方等不利后果的，由此所形成的一切风险和损失由甲方自行承担。</w:t>
      </w:r>
    </w:p>
    <w:p>
      <w:pPr>
        <w:ind w:left="-176" w:leftChars="-84" w:firstLine="420" w:firstLineChars="200"/>
      </w:pPr>
      <w:r>
        <w:rPr>
          <w:rFonts w:hint="eastAsia"/>
        </w:rPr>
        <w:t>2、甲方违反本协议和/或《理财产品说明书》的约定、声明和保证，应承担相应的违约和赔偿责任。乙方对由此导致的理财业务交易延误、中断、终止及甲方损失不承担任何责任，并有权单方终止双方的理财业务关系。</w:t>
      </w:r>
    </w:p>
    <w:p>
      <w:pPr>
        <w:ind w:left="-176" w:leftChars="-84" w:firstLine="420" w:firstLineChars="200"/>
      </w:pPr>
      <w:r>
        <w:rPr>
          <w:rFonts w:hint="eastAsia"/>
        </w:rPr>
        <w:t>3、因乙方违反本协议和/或《理财产品说明书》的约定，给甲方和/或其他理财产品投资者造成损失的，乙方应承担相应赔偿责任。</w:t>
      </w:r>
    </w:p>
    <w:p>
      <w:pPr>
        <w:ind w:left="-176" w:leftChars="-84" w:firstLine="420" w:firstLineChars="200"/>
      </w:pPr>
      <w:r>
        <w:rPr>
          <w:rFonts w:hint="eastAsia"/>
        </w:rPr>
        <w:t>4、甲乙双方在本协议项下发生任何争议时，应本着诚实信用的原则通过协商解决。如通过协商仍不能解决争议时，任何一方可向</w:t>
      </w:r>
      <w:r>
        <w:rPr>
          <w:rFonts w:hint="eastAsia"/>
          <w:b/>
        </w:rPr>
        <w:t>乙方住所地有管辖权的人民法院</w:t>
      </w:r>
      <w:r>
        <w:rPr>
          <w:rFonts w:hint="eastAsia"/>
        </w:rPr>
        <w:t>提起诉讼。诉讼期间，未涉及争议的条款仍需继续履行。</w:t>
      </w:r>
    </w:p>
    <w:p>
      <w:pPr>
        <w:ind w:left="-176" w:leftChars="-84" w:firstLine="422" w:firstLineChars="200"/>
        <w:rPr>
          <w:rFonts w:ascii="宋体"/>
          <w:b/>
          <w:szCs w:val="21"/>
        </w:rPr>
      </w:pPr>
      <w:r>
        <w:rPr>
          <w:rFonts w:hint="eastAsia" w:ascii="宋体"/>
          <w:b/>
          <w:szCs w:val="21"/>
        </w:rPr>
        <w:t xml:space="preserve">第十二条  </w:t>
      </w:r>
      <w:r>
        <w:rPr>
          <w:rFonts w:hint="eastAsia" w:ascii="宋体" w:hAnsi="宋体"/>
          <w:b/>
          <w:szCs w:val="21"/>
        </w:rPr>
        <w:t>免责内容</w:t>
      </w:r>
    </w:p>
    <w:p>
      <w:pPr>
        <w:ind w:left="-176" w:leftChars="-84" w:firstLine="420" w:firstLineChars="200"/>
        <w:rPr>
          <w:rFonts w:ascii="宋体"/>
          <w:szCs w:val="21"/>
        </w:rPr>
      </w:pPr>
      <w:r>
        <w:rPr>
          <w:rFonts w:hint="eastAsia" w:ascii="宋体" w:hAnsi="宋体"/>
          <w:szCs w:val="21"/>
        </w:rPr>
        <w:t>1、由于地震、火灾、战争等不可抗力导致的交易中断、延误等风险及损失，乙方不承担责任，但应在条件允许的情况下按照本协议或《理财产品说明书》中约定的信息披露方式通知甲方，并采取一切必要的补救措施以减小不可抗力造成的损失。</w:t>
      </w:r>
    </w:p>
    <w:p>
      <w:pPr>
        <w:ind w:left="-176" w:leftChars="-84" w:firstLine="420" w:firstLineChars="200"/>
        <w:rPr>
          <w:rFonts w:ascii="宋体"/>
          <w:szCs w:val="21"/>
        </w:rPr>
      </w:pPr>
      <w:r>
        <w:rPr>
          <w:rFonts w:hint="eastAsia" w:ascii="宋体" w:hAnsi="宋体"/>
          <w:szCs w:val="21"/>
        </w:rPr>
        <w:t>2、由于国家有关法律、法规、政策的改变、紧急措施的出台而导致甲方承担的风险，乙方不承担责任。</w:t>
      </w:r>
    </w:p>
    <w:p>
      <w:pPr>
        <w:ind w:left="-176" w:leftChars="-84" w:firstLine="420" w:firstLineChars="200"/>
        <w:rPr>
          <w:rFonts w:ascii="宋体"/>
          <w:szCs w:val="21"/>
        </w:rPr>
      </w:pPr>
      <w:r>
        <w:rPr>
          <w:rFonts w:hint="eastAsia" w:ascii="宋体" w:hAnsi="宋体"/>
          <w:szCs w:val="21"/>
        </w:rPr>
        <w:t>3、</w:t>
      </w:r>
      <w:r>
        <w:rPr>
          <w:rFonts w:hint="eastAsia"/>
        </w:rPr>
        <w:t>理财产品存续期间内，中国和理财产品涉及的外币发行国（地区）、投资市场所在国（地区）的法定节假日、理财产品规定的节假日及周六和周日为非工作日，如本协议项下相关日期为非工作日，则应顺延至下一工作日</w:t>
      </w:r>
      <w:r>
        <w:rPr>
          <w:rFonts w:hint="eastAsia" w:ascii="宋体" w:hAnsi="宋体"/>
          <w:szCs w:val="21"/>
        </w:rPr>
        <w:t>，由此导致的风险，乙方不承担责任（具体详见《理财产品说明书》，按产品说明进行调整）。</w:t>
      </w:r>
    </w:p>
    <w:p>
      <w:pPr>
        <w:ind w:left="-176" w:leftChars="-84" w:firstLine="420" w:firstLineChars="200"/>
        <w:rPr>
          <w:rFonts w:ascii="宋体"/>
          <w:szCs w:val="21"/>
        </w:rPr>
      </w:pPr>
      <w:r>
        <w:rPr>
          <w:rFonts w:hint="eastAsia" w:ascii="宋体" w:hAnsi="宋体"/>
          <w:szCs w:val="21"/>
        </w:rPr>
        <w:t>4、本协议指定的银行账户被司法机关或政府部门冻结、扣划，乙方不承担任何责任。</w:t>
      </w:r>
    </w:p>
    <w:p>
      <w:pPr>
        <w:tabs>
          <w:tab w:val="left" w:pos="2988"/>
        </w:tabs>
        <w:ind w:left="-176" w:leftChars="-84" w:firstLine="422" w:firstLineChars="200"/>
        <w:rPr>
          <w:rFonts w:ascii="宋体"/>
          <w:b/>
          <w:szCs w:val="21"/>
        </w:rPr>
      </w:pPr>
      <w:r>
        <w:rPr>
          <w:rFonts w:hint="eastAsia" w:ascii="宋体" w:hAnsi="宋体"/>
          <w:b/>
          <w:szCs w:val="21"/>
        </w:rPr>
        <w:t>第十三条   保密条款</w:t>
      </w:r>
    </w:p>
    <w:p>
      <w:pPr>
        <w:tabs>
          <w:tab w:val="left" w:pos="2988"/>
        </w:tabs>
        <w:ind w:left="-176" w:leftChars="-84" w:firstLine="420" w:firstLineChars="200"/>
        <w:rPr>
          <w:rFonts w:ascii="宋体"/>
          <w:b/>
          <w:szCs w:val="21"/>
        </w:rPr>
      </w:pPr>
      <w:r>
        <w:rPr>
          <w:rFonts w:hint="eastAsia" w:ascii="宋体" w:hAnsi="宋体"/>
        </w:rPr>
        <w:t>双方应对其在订立及执行本协议的过程中知悉的对方商业秘密依照法律法规保守秘密，未经对方同意不得泄露。但是任一方依照法律、法规的规定、监管机构要求或者司法机关和行政机关要求披露的，不视为对保密义务的违反。</w:t>
      </w:r>
    </w:p>
    <w:p>
      <w:pPr>
        <w:ind w:left="-176" w:leftChars="-84" w:firstLine="422" w:firstLineChars="200"/>
        <w:rPr>
          <w:rFonts w:ascii="宋体"/>
          <w:b/>
          <w:szCs w:val="21"/>
        </w:rPr>
      </w:pPr>
      <w:r>
        <w:rPr>
          <w:rFonts w:hint="eastAsia" w:ascii="宋体" w:hAnsi="宋体"/>
          <w:b/>
          <w:szCs w:val="21"/>
        </w:rPr>
        <w:t xml:space="preserve">第十四条  </w:t>
      </w:r>
      <w:r>
        <w:rPr>
          <w:rFonts w:hint="eastAsia" w:ascii="宋体"/>
          <w:b/>
          <w:szCs w:val="21"/>
        </w:rPr>
        <w:t>其他约定</w:t>
      </w:r>
    </w:p>
    <w:p>
      <w:pPr>
        <w:ind w:left="-176" w:leftChars="-84" w:firstLine="420" w:firstLineChars="200"/>
        <w:rPr>
          <w:rFonts w:ascii="宋体"/>
          <w:szCs w:val="21"/>
        </w:rPr>
      </w:pPr>
      <w:r>
        <w:rPr>
          <w:rFonts w:hint="eastAsia" w:ascii="宋体"/>
          <w:szCs w:val="21"/>
        </w:rPr>
        <w:t>1、</w:t>
      </w:r>
      <w:r>
        <w:rPr>
          <w:rFonts w:hint="eastAsia"/>
        </w:rPr>
        <w:t>理财产品可否设定担保依据《民法典》等相关法律法规执行。法律法规规定可以担保的，甲方以所持有理财产品设定担保时，须经乙方事先书面同意，</w:t>
      </w:r>
      <w:r>
        <w:rPr>
          <w:rFonts w:hint="eastAsia" w:ascii="宋体"/>
          <w:szCs w:val="21"/>
        </w:rPr>
        <w:t>双方约定《理财产品协议书》（客户留存联）、加盖本行业务公章的理财产品购买凭证为权利质押凭证，双方按照有关法律法规和湖南银行的有关规定办理。</w:t>
      </w:r>
    </w:p>
    <w:p>
      <w:pPr>
        <w:ind w:left="-176" w:leftChars="-84" w:firstLine="420" w:firstLineChars="200"/>
        <w:rPr>
          <w:rFonts w:ascii="宋体"/>
          <w:szCs w:val="21"/>
        </w:rPr>
      </w:pPr>
      <w:r>
        <w:rPr>
          <w:rFonts w:hint="eastAsia" w:ascii="宋体"/>
          <w:szCs w:val="21"/>
        </w:rPr>
        <w:t>2、未经乙方事先书面同意，甲方不得转让认购/申购成功的理财产品份额。</w:t>
      </w:r>
    </w:p>
    <w:p>
      <w:pPr>
        <w:ind w:left="-176" w:leftChars="-84" w:firstLine="420" w:firstLineChars="200"/>
        <w:rPr>
          <w:rFonts w:ascii="宋体"/>
          <w:szCs w:val="21"/>
        </w:rPr>
      </w:pPr>
      <w:r>
        <w:rPr>
          <w:rFonts w:hint="eastAsia" w:ascii="宋体"/>
          <w:szCs w:val="21"/>
        </w:rPr>
        <w:t>3、本协议项下的理财资金涉及司法部门等有权机关查询、冻结、扣划的，由银行按照相关规定和有权机关要求执行。</w:t>
      </w:r>
    </w:p>
    <w:p>
      <w:pPr>
        <w:ind w:left="-176" w:leftChars="-84" w:firstLine="422" w:firstLineChars="200"/>
        <w:rPr>
          <w:rFonts w:ascii="宋体"/>
          <w:b/>
          <w:szCs w:val="21"/>
        </w:rPr>
      </w:pPr>
      <w:r>
        <w:rPr>
          <w:rFonts w:hint="eastAsia" w:ascii="宋体" w:hAnsi="宋体"/>
          <w:b/>
          <w:szCs w:val="21"/>
        </w:rPr>
        <w:t>第十五条   协议的签署和生效</w:t>
      </w:r>
    </w:p>
    <w:p>
      <w:pPr>
        <w:ind w:left="-176" w:leftChars="-84" w:firstLine="420" w:firstLineChars="200"/>
        <w:rPr>
          <w:rFonts w:ascii="Times New Roman" w:hAnsi="Times New Roman"/>
          <w:szCs w:val="20"/>
        </w:rPr>
      </w:pPr>
      <w:r>
        <w:rPr>
          <w:rFonts w:ascii="Times New Roman" w:hAnsi="Times New Roman"/>
          <w:szCs w:val="20"/>
        </w:rPr>
        <w:t>1</w:t>
      </w:r>
      <w:r>
        <w:rPr>
          <w:rFonts w:hint="eastAsia" w:ascii="Times New Roman" w:hAnsi="Times New Roman"/>
          <w:szCs w:val="20"/>
        </w:rPr>
        <w:t>、《理财产品</w:t>
      </w:r>
      <w:r>
        <w:rPr>
          <w:rFonts w:ascii="Times New Roman" w:hAnsi="Times New Roman"/>
          <w:szCs w:val="20"/>
        </w:rPr>
        <w:t>说明书》</w:t>
      </w:r>
      <w:r>
        <w:rPr>
          <w:rFonts w:hint="eastAsia" w:ascii="Times New Roman" w:hAnsi="Times New Roman"/>
          <w:szCs w:val="20"/>
        </w:rPr>
        <w:t>《风险揭示书</w:t>
      </w:r>
      <w:r>
        <w:rPr>
          <w:rFonts w:ascii="Times New Roman" w:hAnsi="Times New Roman"/>
          <w:szCs w:val="20"/>
        </w:rPr>
        <w:t>》</w:t>
      </w:r>
      <w:r>
        <w:rPr>
          <w:rFonts w:hint="eastAsia" w:ascii="Times New Roman" w:hAnsi="Times New Roman"/>
          <w:szCs w:val="20"/>
        </w:rPr>
        <w:t>《客户权益须知》构成本协议不可分割的组成部分，与本协议具有同等效力。</w:t>
      </w:r>
    </w:p>
    <w:p>
      <w:pPr>
        <w:ind w:left="-176" w:leftChars="-84" w:firstLine="420" w:firstLineChars="200"/>
        <w:rPr>
          <w:rFonts w:ascii="Times New Roman" w:hAnsi="Times New Roman"/>
          <w:szCs w:val="20"/>
        </w:rPr>
      </w:pPr>
      <w:r>
        <w:rPr>
          <w:rFonts w:ascii="Times New Roman" w:hAnsi="Times New Roman"/>
          <w:szCs w:val="20"/>
        </w:rPr>
        <w:t>2</w:t>
      </w:r>
      <w:r>
        <w:rPr>
          <w:rFonts w:hint="eastAsia" w:ascii="Times New Roman" w:hAnsi="Times New Roman"/>
          <w:szCs w:val="20"/>
        </w:rPr>
        <w:t>、甲方签署本协议即视为已经阅读并认可本协议和《理财产品</w:t>
      </w:r>
      <w:r>
        <w:rPr>
          <w:rFonts w:ascii="Times New Roman" w:hAnsi="Times New Roman"/>
          <w:szCs w:val="20"/>
        </w:rPr>
        <w:t>说明书》</w:t>
      </w:r>
      <w:r>
        <w:rPr>
          <w:rFonts w:hint="eastAsia" w:ascii="Times New Roman" w:hAnsi="Times New Roman"/>
          <w:szCs w:val="20"/>
        </w:rPr>
        <w:t>《风险揭示书</w:t>
      </w:r>
      <w:r>
        <w:rPr>
          <w:rFonts w:ascii="Times New Roman" w:hAnsi="Times New Roman"/>
          <w:szCs w:val="20"/>
        </w:rPr>
        <w:t>》</w:t>
      </w:r>
      <w:r>
        <w:rPr>
          <w:rFonts w:hint="eastAsia" w:ascii="Times New Roman" w:hAnsi="Times New Roman"/>
          <w:szCs w:val="20"/>
        </w:rPr>
        <w:t>《客户权益须知》的全部内容，并已就投资于本理财产品做出独立的判断。</w:t>
      </w:r>
    </w:p>
    <w:p>
      <w:pPr>
        <w:ind w:left="-176" w:leftChars="-84" w:firstLine="420" w:firstLineChars="200"/>
        <w:rPr>
          <w:rFonts w:ascii="Times New Roman" w:hAnsi="Times New Roman"/>
          <w:szCs w:val="20"/>
        </w:rPr>
      </w:pPr>
      <w:r>
        <w:rPr>
          <w:rFonts w:ascii="Times New Roman" w:hAnsi="Times New Roman"/>
          <w:szCs w:val="20"/>
        </w:rPr>
        <w:t>3</w:t>
      </w:r>
      <w:r>
        <w:rPr>
          <w:rFonts w:hint="eastAsia" w:ascii="Times New Roman" w:hAnsi="Times New Roman"/>
          <w:szCs w:val="20"/>
        </w:rPr>
        <w:t>、本协议于甲乙双方签字或盖章之日起生效。若乙方通过电子银行渠道销售本产品，且甲方通过电子银行渠道购买，则本协议经因甲方点击确认或以其他方式选择接受并经乙方电子银行销售系统确认成交之日起生效。</w:t>
      </w:r>
    </w:p>
    <w:p>
      <w:pPr>
        <w:ind w:left="-176" w:leftChars="-84" w:firstLine="420" w:firstLineChars="200"/>
        <w:rPr>
          <w:rFonts w:ascii="Times New Roman" w:hAnsi="Times New Roman"/>
          <w:szCs w:val="20"/>
        </w:rPr>
      </w:pPr>
      <w:r>
        <w:rPr>
          <w:rFonts w:ascii="Times New Roman" w:hAnsi="Times New Roman"/>
          <w:szCs w:val="20"/>
        </w:rPr>
        <w:t>4</w:t>
      </w:r>
      <w:r>
        <w:rPr>
          <w:rFonts w:hint="eastAsia" w:ascii="Times New Roman" w:hAnsi="Times New Roman"/>
          <w:szCs w:val="20"/>
        </w:rPr>
        <w:t>、本协议具备独立性。如甲方与乙方之间存在多份协议书，则协议书之间相互独立，每一份协议的效力及履行情况均独立于其他协议书。如果由于任何原因，使得本协议项下的任何条款或内容成为无效或依法撤销，本协议其他条款或内容的合法性、有效性和可执行性不受影响。</w:t>
      </w:r>
    </w:p>
    <w:p>
      <w:pPr>
        <w:ind w:left="-176" w:leftChars="-84" w:firstLine="420" w:firstLineChars="200"/>
        <w:rPr>
          <w:rFonts w:ascii="Times New Roman" w:hAnsi="Times New Roman"/>
          <w:szCs w:val="20"/>
        </w:rPr>
      </w:pPr>
      <w:r>
        <w:rPr>
          <w:rFonts w:ascii="Times New Roman" w:hAnsi="Times New Roman"/>
          <w:szCs w:val="20"/>
        </w:rPr>
        <w:t>5</w:t>
      </w:r>
      <w:r>
        <w:rPr>
          <w:rFonts w:hint="eastAsia" w:ascii="Times New Roman" w:hAnsi="Times New Roman"/>
          <w:szCs w:val="20"/>
        </w:rPr>
        <w:t>、本协议书一式两份，甲方乙双方各执一份，具有同等的法律效力。</w:t>
      </w:r>
    </w:p>
    <w:p>
      <w:pPr>
        <w:rPr>
          <w:rFonts w:ascii="宋体"/>
          <w:szCs w:val="21"/>
        </w:rPr>
      </w:pPr>
      <w:r>
        <mc:AlternateContent>
          <mc:Choice Requires="wps">
            <w:drawing>
              <wp:anchor distT="0" distB="0" distL="114300" distR="114300" simplePos="0" relativeHeight="251658240" behindDoc="0" locked="0" layoutInCell="0" allowOverlap="1">
                <wp:simplePos x="0" y="0"/>
                <wp:positionH relativeFrom="column">
                  <wp:posOffset>-200025</wp:posOffset>
                </wp:positionH>
                <wp:positionV relativeFrom="paragraph">
                  <wp:posOffset>40005</wp:posOffset>
                </wp:positionV>
                <wp:extent cx="6487160" cy="5715"/>
                <wp:effectExtent l="0" t="0" r="0" b="0"/>
                <wp:wrapNone/>
                <wp:docPr id="1" name="直接连接符 2"/>
                <wp:cNvGraphicFramePr/>
                <a:graphic xmlns:a="http://schemas.openxmlformats.org/drawingml/2006/main">
                  <a:graphicData uri="http://schemas.microsoft.com/office/word/2010/wordprocessingShape">
                    <wps:wsp>
                      <wps:cNvCnPr/>
                      <wps:spPr>
                        <a:xfrm>
                          <a:off x="0" y="0"/>
                          <a:ext cx="6487160" cy="5715"/>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直接连接符 2" o:spid="_x0000_s1026" o:spt="20" style="position:absolute;left:0pt;margin-left:-15.75pt;margin-top:3.15pt;height:0.45pt;width:510.8pt;z-index:251658240;mso-width-relative:page;mso-height-relative:page;" filled="f" stroked="t" coordsize="21600,21600" o:allowincell="f" o:gfxdata="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6uB3PXAAAABwEA&#10;AA8AAAAAAAAAAQAgAAAAIgAAAGRycy9kb3ducmV2LnhtbFBLAQIUABQAAAAIAIdO4kCkXvKm4gEA&#10;AKADAAAOAAAAAAAAAAEAIAAAACYBAABkcnMvZTJvRG9jLnhtbFBLBQYAAAAABgAGAFkBAAB6BQAA&#10;AAA=&#10;">
                <v:fill on="f" focussize="0,0"/>
                <v:stroke color="#000000" joinstyle="round" dashstyle="longDashDotDot"/>
                <v:imagedata o:title=""/>
                <o:lock v:ext="edit" aspectratio="f"/>
              </v:line>
            </w:pict>
          </mc:Fallback>
        </mc:AlternateContent>
      </w:r>
    </w:p>
    <w:p>
      <w:pPr>
        <w:ind w:left="-176" w:leftChars="-84" w:firstLine="422" w:firstLineChars="200"/>
        <w:rPr>
          <w:rFonts w:ascii="宋体"/>
          <w:b/>
          <w:szCs w:val="21"/>
        </w:rPr>
      </w:pPr>
      <w:r>
        <w:rPr>
          <w:rFonts w:hint="eastAsia" w:ascii="宋体" w:hAnsi="宋体"/>
          <w:b/>
          <w:szCs w:val="21"/>
        </w:rPr>
        <w:t>甲乙双方已就“湖南银行理财产品”达成一致，甲方已认真阅读《客户权益须知》，并领取</w:t>
      </w:r>
      <w:r>
        <w:rPr>
          <w:rFonts w:hint="eastAsia" w:ascii="宋体" w:hAnsi="宋体" w:cs="宋体"/>
          <w:b/>
          <w:spacing w:val="10"/>
          <w:szCs w:val="21"/>
        </w:rPr>
        <w:t>《理财产品</w:t>
      </w:r>
      <w:r>
        <w:rPr>
          <w:rFonts w:ascii="宋体" w:hAnsi="宋体" w:cs="宋体"/>
          <w:b/>
          <w:spacing w:val="10"/>
          <w:szCs w:val="21"/>
        </w:rPr>
        <w:t>说明书》</w:t>
      </w:r>
      <w:r>
        <w:rPr>
          <w:rFonts w:hint="eastAsia" w:ascii="宋体" w:hAnsi="宋体" w:cs="宋体"/>
          <w:b/>
          <w:spacing w:val="10"/>
          <w:szCs w:val="21"/>
        </w:rPr>
        <w:t>《风险揭示书</w:t>
      </w:r>
      <w:r>
        <w:rPr>
          <w:rFonts w:ascii="宋体" w:hAnsi="宋体" w:cs="宋体"/>
          <w:b/>
          <w:spacing w:val="10"/>
          <w:szCs w:val="21"/>
        </w:rPr>
        <w:t>》</w:t>
      </w:r>
      <w:r>
        <w:rPr>
          <w:rFonts w:hint="eastAsia" w:ascii="宋体" w:hAnsi="宋体"/>
          <w:b/>
          <w:szCs w:val="21"/>
        </w:rPr>
        <w:t>及本协议，理解并接受</w:t>
      </w:r>
      <w:r>
        <w:rPr>
          <w:rFonts w:hint="eastAsia" w:ascii="宋体" w:hAnsi="宋体" w:cs="宋体"/>
          <w:b/>
          <w:spacing w:val="10"/>
          <w:szCs w:val="21"/>
        </w:rPr>
        <w:t>《理财产品</w:t>
      </w:r>
      <w:r>
        <w:rPr>
          <w:rFonts w:ascii="宋体" w:hAnsi="宋体" w:cs="宋体"/>
          <w:b/>
          <w:spacing w:val="10"/>
          <w:szCs w:val="21"/>
        </w:rPr>
        <w:t>说明书》</w:t>
      </w:r>
      <w:r>
        <w:rPr>
          <w:rFonts w:hint="eastAsia" w:ascii="宋体" w:hAnsi="宋体" w:cs="宋体"/>
          <w:b/>
          <w:spacing w:val="10"/>
          <w:szCs w:val="21"/>
        </w:rPr>
        <w:t>《风险揭示书</w:t>
      </w:r>
      <w:r>
        <w:rPr>
          <w:rFonts w:ascii="宋体" w:hAnsi="宋体" w:cs="宋体"/>
          <w:b/>
          <w:spacing w:val="10"/>
          <w:szCs w:val="21"/>
        </w:rPr>
        <w:t>》</w:t>
      </w:r>
      <w:r>
        <w:rPr>
          <w:rFonts w:hint="eastAsia" w:ascii="宋体" w:hAnsi="宋体" w:cs="宋体"/>
          <w:b/>
          <w:spacing w:val="10"/>
          <w:szCs w:val="21"/>
        </w:rPr>
        <w:t>《客户权益须知》</w:t>
      </w:r>
      <w:r>
        <w:rPr>
          <w:rFonts w:hint="eastAsia" w:ascii="宋体" w:hAnsi="宋体"/>
          <w:b/>
          <w:szCs w:val="21"/>
        </w:rPr>
        <w:t>及本协议条款内容，同意受其约束，清楚知晓产品类型、风险提示、投资范围、费用等内容，自愿购买。甲方确认乙方已采取合理方式提请投资者注意本协议、《风险揭示书》《理财产品说明书》《客户权益须知》所有免除或限制其责任的条款，并对投资风险予以充分说明，确认理解本产品将涉及的所有风险，并将承担且有能力承担本产品全部风险。</w:t>
      </w:r>
    </w:p>
    <w:p>
      <w:pPr>
        <w:ind w:left="-176" w:leftChars="-84" w:firstLine="422" w:firstLineChars="200"/>
        <w:rPr>
          <w:rFonts w:ascii="宋体" w:hAnsi="宋体"/>
          <w:b/>
          <w:szCs w:val="21"/>
        </w:rPr>
      </w:pPr>
      <w:r>
        <w:rPr>
          <w:rFonts w:hint="eastAsia" w:ascii="宋体" w:hAnsi="宋体"/>
          <w:b/>
          <w:szCs w:val="21"/>
        </w:rPr>
        <w:t>甲方同意对乙方（通过官方网站</w:t>
      </w:r>
      <w:r>
        <w:rPr>
          <w:rFonts w:ascii="宋体" w:hAnsi="宋体"/>
          <w:b/>
          <w:szCs w:val="21"/>
        </w:rPr>
        <w:t>(</w:t>
      </w:r>
      <w:r>
        <w:rPr>
          <w:rStyle w:val="10"/>
          <w:rFonts w:hint="eastAsia"/>
          <w:color w:val="auto"/>
        </w:rPr>
        <w:t>www.hunan-bank.com</w:t>
      </w:r>
      <w:r>
        <w:rPr>
          <w:rFonts w:ascii="宋体" w:hAnsi="宋体"/>
          <w:b/>
          <w:szCs w:val="21"/>
        </w:rPr>
        <w:t>)、营业网点等渠道发布信息公告将及时阅读，并视为甲方已获取该信息。本协议中约定的甲方联系电话若变更，甲方应及时前往银行营业网点通过书面形式进行变更。乙方或将通过本协议中约定的甲方联系电话或通讯地址告知甲方有关理财产品的重要事项，如甲方未及时在乙方办理联系方式变更，则乙方将不承担由此产生的后果。</w:t>
      </w:r>
    </w:p>
    <w:p>
      <w:pPr>
        <w:ind w:left="-176" w:leftChars="-84" w:firstLine="420" w:firstLineChars="200"/>
        <w:rPr>
          <w:rFonts w:ascii="宋体" w:hAnsi="宋体"/>
          <w:szCs w:val="21"/>
        </w:rPr>
      </w:pPr>
    </w:p>
    <w:p>
      <w:pPr>
        <w:ind w:left="-176" w:leftChars="-84" w:firstLine="422" w:firstLineChars="200"/>
        <w:rPr>
          <w:rFonts w:ascii="宋体" w:hAnsi="宋体"/>
          <w:b/>
          <w:szCs w:val="21"/>
        </w:rPr>
      </w:pPr>
      <w:r>
        <w:rPr>
          <w:rFonts w:hint="eastAsia" w:ascii="宋体" w:hAnsi="宋体"/>
          <w:b/>
          <w:szCs w:val="21"/>
        </w:rPr>
        <w:t>甲方声明</w:t>
      </w:r>
    </w:p>
    <w:p>
      <w:pPr>
        <w:ind w:left="-176" w:leftChars="-84" w:firstLine="422" w:firstLineChars="200"/>
        <w:rPr>
          <w:rFonts w:ascii="宋体" w:hAnsi="宋体"/>
          <w:b/>
          <w:szCs w:val="21"/>
        </w:rPr>
      </w:pPr>
      <w:r>
        <w:rPr>
          <w:rFonts w:ascii="宋体" w:hAnsi="宋体"/>
          <w:b/>
          <w:szCs w:val="21"/>
        </w:rPr>
        <w:t>1、我方已详细阅读本协议相关条款，充分了解并清楚知晓购买理财产品的风险，愿意承担相关风险。</w:t>
      </w:r>
    </w:p>
    <w:p>
      <w:pPr>
        <w:ind w:left="-176" w:leftChars="-84" w:firstLine="422" w:firstLineChars="200"/>
        <w:rPr>
          <w:rFonts w:ascii="宋体" w:hAnsi="宋体"/>
          <w:b/>
          <w:szCs w:val="21"/>
        </w:rPr>
      </w:pPr>
      <w:r>
        <w:rPr>
          <w:rFonts w:ascii="宋体" w:hAnsi="宋体"/>
          <w:b/>
          <w:szCs w:val="21"/>
        </w:rPr>
        <w:t>2、乙方已提请我方注意对本协议各条款，特别是黑体字条款作全面、准确的理解，并应我方要求作了相应条款的说明。签约各方对本协议的含义认识一致，认同并接受本协议全部条款。</w:t>
      </w:r>
    </w:p>
    <w:p>
      <w:pPr>
        <w:ind w:left="-176" w:leftChars="-84" w:firstLine="422" w:firstLineChars="200"/>
        <w:rPr>
          <w:rFonts w:ascii="宋体" w:hAnsi="宋体"/>
          <w:b/>
          <w:szCs w:val="21"/>
        </w:rPr>
      </w:pPr>
      <w:r>
        <w:rPr>
          <w:rFonts w:ascii="宋体" w:hAnsi="宋体"/>
          <w:b/>
          <w:szCs w:val="21"/>
        </w:rPr>
        <w:t>3、我方认可本协议约定的信息披露途径，已清楚知悉本方应注意查询的事项和信息披露方面的法律责任，同意按照本协议约定进行相关通知和披露。</w:t>
      </w:r>
    </w:p>
    <w:p>
      <w:pPr>
        <w:ind w:left="-176" w:leftChars="-84" w:firstLine="422" w:firstLineChars="200"/>
        <w:rPr>
          <w:rFonts w:ascii="宋体" w:hAnsi="宋体"/>
          <w:b/>
          <w:szCs w:val="21"/>
        </w:rPr>
      </w:pPr>
      <w:r>
        <w:rPr>
          <w:rFonts w:hint="eastAsia" w:ascii="宋体" w:hAnsi="宋体"/>
          <w:b/>
          <w:szCs w:val="21"/>
        </w:rPr>
        <w:t>4、</w:t>
      </w:r>
      <w:r>
        <w:rPr>
          <w:rFonts w:ascii="宋体" w:hAnsi="宋体"/>
          <w:b/>
          <w:szCs w:val="21"/>
        </w:rPr>
        <w:t>我方保证填写的信息资料的正确性，并确认银行打印记录正确无误。</w:t>
      </w:r>
    </w:p>
    <w:p>
      <w:pPr>
        <w:ind w:left="-176" w:leftChars="-84" w:firstLine="422" w:firstLineChars="200"/>
        <w:rPr>
          <w:rFonts w:ascii="宋体" w:hAnsi="宋体"/>
          <w:b/>
          <w:szCs w:val="21"/>
        </w:rPr>
      </w:pPr>
      <w:r>
        <w:rPr>
          <w:rFonts w:hint="eastAsia" w:ascii="宋体" w:hAnsi="宋体"/>
          <w:b/>
          <w:szCs w:val="21"/>
        </w:rPr>
        <w:t>（如以上声明与事实或甲方真实意愿不符，甲方请勿签字</w:t>
      </w:r>
      <w:r>
        <w:rPr>
          <w:rFonts w:ascii="宋体" w:hAnsi="宋体"/>
          <w:b/>
          <w:szCs w:val="21"/>
        </w:rPr>
        <w:t>/盖章；如相符，请在对应位置签字/盖章。）</w:t>
      </w:r>
    </w:p>
    <w:tbl>
      <w:tblPr>
        <w:tblStyle w:val="7"/>
        <w:tblpPr w:leftFromText="180" w:rightFromText="180" w:vertAnchor="text" w:horzAnchor="margin" w:tblpXSpec="center" w:tblpY="1361"/>
        <w:tblW w:w="9322" w:type="dxa"/>
        <w:tblInd w:w="0" w:type="dxa"/>
        <w:tblLayout w:type="fixed"/>
        <w:tblCellMar>
          <w:top w:w="0" w:type="dxa"/>
          <w:left w:w="108" w:type="dxa"/>
          <w:bottom w:w="0" w:type="dxa"/>
          <w:right w:w="108" w:type="dxa"/>
        </w:tblCellMar>
      </w:tblPr>
      <w:tblGrid>
        <w:gridCol w:w="4219"/>
        <w:gridCol w:w="5103"/>
      </w:tblGrid>
      <w:tr>
        <w:tblPrEx>
          <w:tblLayout w:type="fixed"/>
          <w:tblCellMar>
            <w:top w:w="0" w:type="dxa"/>
            <w:left w:w="108" w:type="dxa"/>
            <w:bottom w:w="0" w:type="dxa"/>
            <w:right w:w="108" w:type="dxa"/>
          </w:tblCellMar>
        </w:tblPrEx>
        <w:trPr>
          <w:trHeight w:val="362" w:hRule="atLeast"/>
        </w:trPr>
        <w:tc>
          <w:tcPr>
            <w:tcW w:w="9322" w:type="dxa"/>
            <w:gridSpan w:val="2"/>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sz w:val="24"/>
              </w:rPr>
            </w:pPr>
            <w:r>
              <w:rPr>
                <w:rFonts w:hint="eastAsia" w:ascii="宋体" w:hAnsi="宋体"/>
                <w:sz w:val="24"/>
              </w:rPr>
              <w:t>双方签署如下：</w:t>
            </w:r>
          </w:p>
        </w:tc>
      </w:tr>
      <w:tr>
        <w:tblPrEx>
          <w:tblLayout w:type="fixed"/>
          <w:tblCellMar>
            <w:top w:w="0" w:type="dxa"/>
            <w:left w:w="108" w:type="dxa"/>
            <w:bottom w:w="0" w:type="dxa"/>
            <w:right w:w="108" w:type="dxa"/>
          </w:tblCellMar>
        </w:tblPrEx>
        <w:trPr>
          <w:trHeight w:val="1881" w:hRule="atLeast"/>
        </w:trPr>
        <w:tc>
          <w:tcPr>
            <w:tcW w:w="4219"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sz w:val="24"/>
              </w:rPr>
            </w:pPr>
            <w:r>
              <w:rPr>
                <w:rFonts w:hint="eastAsia" w:ascii="宋体" w:hAnsi="宋体"/>
                <w:b/>
                <w:sz w:val="24"/>
              </w:rPr>
              <w:t>甲方（投资者）公章</w:t>
            </w:r>
            <w:r>
              <w:rPr>
                <w:rFonts w:hint="eastAsia" w:ascii="宋体" w:hAnsi="宋体"/>
                <w:sz w:val="24"/>
              </w:rPr>
              <w:t>：</w:t>
            </w:r>
          </w:p>
        </w:tc>
        <w:tc>
          <w:tcPr>
            <w:tcW w:w="5103"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sz w:val="24"/>
              </w:rPr>
            </w:pPr>
            <w:r>
              <w:rPr>
                <w:rFonts w:hint="eastAsia" w:ascii="宋体" w:hAnsi="宋体"/>
                <w:b/>
                <w:sz w:val="24"/>
              </w:rPr>
              <w:t>乙方（湖南银行股份有限公司）签章</w:t>
            </w:r>
            <w:r>
              <w:rPr>
                <w:rFonts w:hint="eastAsia" w:ascii="宋体" w:hAnsi="宋体"/>
                <w:sz w:val="24"/>
              </w:rPr>
              <w:t>：</w:t>
            </w:r>
          </w:p>
        </w:tc>
      </w:tr>
      <w:tr>
        <w:tblPrEx>
          <w:tblLayout w:type="fixed"/>
          <w:tblCellMar>
            <w:top w:w="0" w:type="dxa"/>
            <w:left w:w="108" w:type="dxa"/>
            <w:bottom w:w="0" w:type="dxa"/>
            <w:right w:w="108" w:type="dxa"/>
          </w:tblCellMar>
        </w:tblPrEx>
        <w:trPr>
          <w:trHeight w:val="1400" w:hRule="atLeast"/>
        </w:trPr>
        <w:tc>
          <w:tcPr>
            <w:tcW w:w="4219"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 w:val="24"/>
              </w:rPr>
            </w:pPr>
            <w:r>
              <w:rPr>
                <w:rFonts w:hint="eastAsia" w:ascii="宋体" w:hAnsi="宋体"/>
                <w:b/>
                <w:sz w:val="24"/>
                <w:szCs w:val="20"/>
              </w:rPr>
              <w:t>法定代表人或委托代理人签字：</w:t>
            </w:r>
          </w:p>
        </w:tc>
        <w:tc>
          <w:tcPr>
            <w:tcW w:w="5103"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b/>
                <w:sz w:val="24"/>
              </w:rPr>
            </w:pPr>
            <w:r>
              <w:rPr>
                <w:rFonts w:hint="eastAsia" w:ascii="宋体" w:hAnsi="宋体"/>
                <w:b/>
                <w:sz w:val="24"/>
                <w:szCs w:val="20"/>
              </w:rPr>
              <w:t>法定代表人或委托代理人签字：</w:t>
            </w:r>
          </w:p>
        </w:tc>
      </w:tr>
      <w:tr>
        <w:tblPrEx>
          <w:tblLayout w:type="fixed"/>
          <w:tblCellMar>
            <w:top w:w="0" w:type="dxa"/>
            <w:left w:w="108" w:type="dxa"/>
            <w:bottom w:w="0" w:type="dxa"/>
            <w:right w:w="108" w:type="dxa"/>
          </w:tblCellMar>
        </w:tblPrEx>
        <w:trPr>
          <w:trHeight w:val="362" w:hRule="atLeast"/>
        </w:trPr>
        <w:tc>
          <w:tcPr>
            <w:tcW w:w="9322" w:type="dxa"/>
            <w:gridSpan w:val="2"/>
            <w:tcBorders>
              <w:top w:val="single" w:color="auto" w:sz="6" w:space="0"/>
              <w:left w:val="single" w:color="auto" w:sz="6" w:space="0"/>
              <w:bottom w:val="single" w:color="auto" w:sz="6" w:space="0"/>
              <w:right w:val="single" w:color="auto" w:sz="6" w:space="0"/>
            </w:tcBorders>
          </w:tcPr>
          <w:p>
            <w:pPr>
              <w:autoSpaceDE w:val="0"/>
              <w:autoSpaceDN w:val="0"/>
              <w:jc w:val="center"/>
              <w:rPr>
                <w:rFonts w:ascii="宋体" w:hAnsi="宋体"/>
                <w:sz w:val="24"/>
              </w:rPr>
            </w:pPr>
            <w:r>
              <w:rPr>
                <w:rFonts w:hint="eastAsia" w:ascii="宋体" w:hAnsi="宋体"/>
                <w:sz w:val="24"/>
              </w:rPr>
              <w:t xml:space="preserve">                              签署日期：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CB70A40000FE91" w:val=" "/>
  </w:docVars>
  <w:rsids>
    <w:rsidRoot w:val="00360857"/>
    <w:rsid w:val="00012547"/>
    <w:rsid w:val="00012694"/>
    <w:rsid w:val="0001302E"/>
    <w:rsid w:val="0001333E"/>
    <w:rsid w:val="00015ECE"/>
    <w:rsid w:val="0002486B"/>
    <w:rsid w:val="00025D76"/>
    <w:rsid w:val="00037F52"/>
    <w:rsid w:val="0004264F"/>
    <w:rsid w:val="00044388"/>
    <w:rsid w:val="0004648C"/>
    <w:rsid w:val="00056EFD"/>
    <w:rsid w:val="00064D2C"/>
    <w:rsid w:val="00073827"/>
    <w:rsid w:val="00074EDC"/>
    <w:rsid w:val="000852CD"/>
    <w:rsid w:val="00086011"/>
    <w:rsid w:val="00087229"/>
    <w:rsid w:val="000A44CB"/>
    <w:rsid w:val="000A6D01"/>
    <w:rsid w:val="000C09EF"/>
    <w:rsid w:val="000C2428"/>
    <w:rsid w:val="000C5FD5"/>
    <w:rsid w:val="000D4684"/>
    <w:rsid w:val="000D4ED0"/>
    <w:rsid w:val="000E6A6D"/>
    <w:rsid w:val="000E715D"/>
    <w:rsid w:val="000E790C"/>
    <w:rsid w:val="000F3355"/>
    <w:rsid w:val="001068D4"/>
    <w:rsid w:val="001141F5"/>
    <w:rsid w:val="00120793"/>
    <w:rsid w:val="001336DA"/>
    <w:rsid w:val="00146427"/>
    <w:rsid w:val="00150E7A"/>
    <w:rsid w:val="00151438"/>
    <w:rsid w:val="0015395E"/>
    <w:rsid w:val="0016026F"/>
    <w:rsid w:val="00161164"/>
    <w:rsid w:val="001620B1"/>
    <w:rsid w:val="001740CF"/>
    <w:rsid w:val="0018108B"/>
    <w:rsid w:val="00186B0B"/>
    <w:rsid w:val="00196442"/>
    <w:rsid w:val="00196BE4"/>
    <w:rsid w:val="00197F08"/>
    <w:rsid w:val="001A2088"/>
    <w:rsid w:val="001A2230"/>
    <w:rsid w:val="001A58C9"/>
    <w:rsid w:val="001A6C77"/>
    <w:rsid w:val="001B42D1"/>
    <w:rsid w:val="001B5B6A"/>
    <w:rsid w:val="001C5B1A"/>
    <w:rsid w:val="001D282A"/>
    <w:rsid w:val="001D413D"/>
    <w:rsid w:val="001D5DC1"/>
    <w:rsid w:val="001D7F35"/>
    <w:rsid w:val="001E6EDE"/>
    <w:rsid w:val="001E754C"/>
    <w:rsid w:val="0020259A"/>
    <w:rsid w:val="00210731"/>
    <w:rsid w:val="0022049D"/>
    <w:rsid w:val="00221C12"/>
    <w:rsid w:val="00223768"/>
    <w:rsid w:val="0022494A"/>
    <w:rsid w:val="00226D83"/>
    <w:rsid w:val="002347CB"/>
    <w:rsid w:val="00243ED0"/>
    <w:rsid w:val="002472CD"/>
    <w:rsid w:val="00252FAA"/>
    <w:rsid w:val="00257A6D"/>
    <w:rsid w:val="0026216C"/>
    <w:rsid w:val="0026753C"/>
    <w:rsid w:val="00271AA2"/>
    <w:rsid w:val="00273341"/>
    <w:rsid w:val="00274480"/>
    <w:rsid w:val="002843CB"/>
    <w:rsid w:val="00286380"/>
    <w:rsid w:val="00290647"/>
    <w:rsid w:val="00292209"/>
    <w:rsid w:val="00292563"/>
    <w:rsid w:val="0029317F"/>
    <w:rsid w:val="002A32D3"/>
    <w:rsid w:val="002A74C5"/>
    <w:rsid w:val="002A7840"/>
    <w:rsid w:val="002B1B96"/>
    <w:rsid w:val="002B66FF"/>
    <w:rsid w:val="002C1260"/>
    <w:rsid w:val="002C36CE"/>
    <w:rsid w:val="002C7C7F"/>
    <w:rsid w:val="002D2EDE"/>
    <w:rsid w:val="002D346E"/>
    <w:rsid w:val="002D3E19"/>
    <w:rsid w:val="002D4156"/>
    <w:rsid w:val="002D5B14"/>
    <w:rsid w:val="002E60C8"/>
    <w:rsid w:val="0031643F"/>
    <w:rsid w:val="00317056"/>
    <w:rsid w:val="003228E1"/>
    <w:rsid w:val="003248CB"/>
    <w:rsid w:val="00330C29"/>
    <w:rsid w:val="00331EE9"/>
    <w:rsid w:val="003335BC"/>
    <w:rsid w:val="00333F15"/>
    <w:rsid w:val="003357CA"/>
    <w:rsid w:val="003430F5"/>
    <w:rsid w:val="0035002E"/>
    <w:rsid w:val="00351D29"/>
    <w:rsid w:val="003572E0"/>
    <w:rsid w:val="00360857"/>
    <w:rsid w:val="00366DBB"/>
    <w:rsid w:val="003839DB"/>
    <w:rsid w:val="00384563"/>
    <w:rsid w:val="00384E8B"/>
    <w:rsid w:val="00385FB4"/>
    <w:rsid w:val="0038754F"/>
    <w:rsid w:val="00387FBB"/>
    <w:rsid w:val="003A0960"/>
    <w:rsid w:val="003A6245"/>
    <w:rsid w:val="003B35B7"/>
    <w:rsid w:val="003B6E33"/>
    <w:rsid w:val="003B750D"/>
    <w:rsid w:val="003C1CB6"/>
    <w:rsid w:val="003C273F"/>
    <w:rsid w:val="003D0D84"/>
    <w:rsid w:val="003D37CF"/>
    <w:rsid w:val="003D4B27"/>
    <w:rsid w:val="003E265F"/>
    <w:rsid w:val="003E60B1"/>
    <w:rsid w:val="003E73A2"/>
    <w:rsid w:val="003F2F45"/>
    <w:rsid w:val="003F3BFC"/>
    <w:rsid w:val="003F60FD"/>
    <w:rsid w:val="0040115F"/>
    <w:rsid w:val="00406339"/>
    <w:rsid w:val="00406A30"/>
    <w:rsid w:val="004113EA"/>
    <w:rsid w:val="004122C6"/>
    <w:rsid w:val="00423CDD"/>
    <w:rsid w:val="00425123"/>
    <w:rsid w:val="0042642D"/>
    <w:rsid w:val="00427731"/>
    <w:rsid w:val="00432E60"/>
    <w:rsid w:val="00434527"/>
    <w:rsid w:val="0044145F"/>
    <w:rsid w:val="00445849"/>
    <w:rsid w:val="00451831"/>
    <w:rsid w:val="00466675"/>
    <w:rsid w:val="00476CF6"/>
    <w:rsid w:val="0048202A"/>
    <w:rsid w:val="00487A5E"/>
    <w:rsid w:val="004B2A1D"/>
    <w:rsid w:val="004B33CF"/>
    <w:rsid w:val="004B42CC"/>
    <w:rsid w:val="004B7362"/>
    <w:rsid w:val="004C00F8"/>
    <w:rsid w:val="004C269B"/>
    <w:rsid w:val="004C5C3E"/>
    <w:rsid w:val="004D494A"/>
    <w:rsid w:val="004D7BAA"/>
    <w:rsid w:val="004E027E"/>
    <w:rsid w:val="004E61FE"/>
    <w:rsid w:val="004F35B0"/>
    <w:rsid w:val="00514A03"/>
    <w:rsid w:val="0051646C"/>
    <w:rsid w:val="00524652"/>
    <w:rsid w:val="005255B5"/>
    <w:rsid w:val="00530BB5"/>
    <w:rsid w:val="00535325"/>
    <w:rsid w:val="0054523D"/>
    <w:rsid w:val="00547AC9"/>
    <w:rsid w:val="00552322"/>
    <w:rsid w:val="0056239E"/>
    <w:rsid w:val="005624F0"/>
    <w:rsid w:val="005715AB"/>
    <w:rsid w:val="00571642"/>
    <w:rsid w:val="00572218"/>
    <w:rsid w:val="0057672B"/>
    <w:rsid w:val="005949DA"/>
    <w:rsid w:val="005A1181"/>
    <w:rsid w:val="005B5FB1"/>
    <w:rsid w:val="005C39A2"/>
    <w:rsid w:val="005C6552"/>
    <w:rsid w:val="005D2606"/>
    <w:rsid w:val="005D35F3"/>
    <w:rsid w:val="005F082E"/>
    <w:rsid w:val="005F6E3C"/>
    <w:rsid w:val="00615C65"/>
    <w:rsid w:val="00620B5C"/>
    <w:rsid w:val="006213A2"/>
    <w:rsid w:val="00623515"/>
    <w:rsid w:val="00650015"/>
    <w:rsid w:val="00650941"/>
    <w:rsid w:val="00654CCA"/>
    <w:rsid w:val="006606DF"/>
    <w:rsid w:val="0068273C"/>
    <w:rsid w:val="00682B98"/>
    <w:rsid w:val="00693591"/>
    <w:rsid w:val="0069563B"/>
    <w:rsid w:val="006A0F1C"/>
    <w:rsid w:val="006C6F20"/>
    <w:rsid w:val="006C7928"/>
    <w:rsid w:val="006D29B2"/>
    <w:rsid w:val="006D50E3"/>
    <w:rsid w:val="006D5DD4"/>
    <w:rsid w:val="006D63BD"/>
    <w:rsid w:val="006D79EB"/>
    <w:rsid w:val="006E2819"/>
    <w:rsid w:val="006E3C0B"/>
    <w:rsid w:val="006F760A"/>
    <w:rsid w:val="00713780"/>
    <w:rsid w:val="00713F95"/>
    <w:rsid w:val="007210E6"/>
    <w:rsid w:val="00721666"/>
    <w:rsid w:val="00724B55"/>
    <w:rsid w:val="0073042C"/>
    <w:rsid w:val="00731724"/>
    <w:rsid w:val="00736259"/>
    <w:rsid w:val="00740072"/>
    <w:rsid w:val="00740974"/>
    <w:rsid w:val="00742E4E"/>
    <w:rsid w:val="00747173"/>
    <w:rsid w:val="00747699"/>
    <w:rsid w:val="007648F5"/>
    <w:rsid w:val="00772DB3"/>
    <w:rsid w:val="00775273"/>
    <w:rsid w:val="007819F8"/>
    <w:rsid w:val="00784AB2"/>
    <w:rsid w:val="007A04AA"/>
    <w:rsid w:val="007A3279"/>
    <w:rsid w:val="007A3FA8"/>
    <w:rsid w:val="007A49C9"/>
    <w:rsid w:val="007A4D27"/>
    <w:rsid w:val="007B0B59"/>
    <w:rsid w:val="007B0FF5"/>
    <w:rsid w:val="007B1ED6"/>
    <w:rsid w:val="007B33D5"/>
    <w:rsid w:val="007D2056"/>
    <w:rsid w:val="007F4CD1"/>
    <w:rsid w:val="00800985"/>
    <w:rsid w:val="0080729B"/>
    <w:rsid w:val="00814499"/>
    <w:rsid w:val="008269EE"/>
    <w:rsid w:val="00832644"/>
    <w:rsid w:val="008345EB"/>
    <w:rsid w:val="00835A71"/>
    <w:rsid w:val="00836DBD"/>
    <w:rsid w:val="008418AF"/>
    <w:rsid w:val="00843E6A"/>
    <w:rsid w:val="00850FA2"/>
    <w:rsid w:val="0086797C"/>
    <w:rsid w:val="008701C9"/>
    <w:rsid w:val="00873AA6"/>
    <w:rsid w:val="00875044"/>
    <w:rsid w:val="00884E44"/>
    <w:rsid w:val="008A1CC0"/>
    <w:rsid w:val="008A26D9"/>
    <w:rsid w:val="008A53F3"/>
    <w:rsid w:val="008B2055"/>
    <w:rsid w:val="008B42B8"/>
    <w:rsid w:val="008C184E"/>
    <w:rsid w:val="008C2C43"/>
    <w:rsid w:val="008D0E2F"/>
    <w:rsid w:val="008D449D"/>
    <w:rsid w:val="008D50FD"/>
    <w:rsid w:val="008E24EE"/>
    <w:rsid w:val="008E7FF1"/>
    <w:rsid w:val="008F5E0F"/>
    <w:rsid w:val="009027E9"/>
    <w:rsid w:val="00902932"/>
    <w:rsid w:val="00904FFA"/>
    <w:rsid w:val="00907989"/>
    <w:rsid w:val="00910E60"/>
    <w:rsid w:val="00911F14"/>
    <w:rsid w:val="009129A0"/>
    <w:rsid w:val="009159A5"/>
    <w:rsid w:val="0091607A"/>
    <w:rsid w:val="009173DD"/>
    <w:rsid w:val="00925BA6"/>
    <w:rsid w:val="00926218"/>
    <w:rsid w:val="00926C8A"/>
    <w:rsid w:val="00927E6D"/>
    <w:rsid w:val="00931206"/>
    <w:rsid w:val="00950E04"/>
    <w:rsid w:val="00952DA6"/>
    <w:rsid w:val="00954083"/>
    <w:rsid w:val="00957F2F"/>
    <w:rsid w:val="0096437E"/>
    <w:rsid w:val="00967DCE"/>
    <w:rsid w:val="00971981"/>
    <w:rsid w:val="009735A6"/>
    <w:rsid w:val="00976F04"/>
    <w:rsid w:val="009802A9"/>
    <w:rsid w:val="00980A48"/>
    <w:rsid w:val="00980C8C"/>
    <w:rsid w:val="00990E0E"/>
    <w:rsid w:val="009962FC"/>
    <w:rsid w:val="00997A65"/>
    <w:rsid w:val="009C3C92"/>
    <w:rsid w:val="009D40C3"/>
    <w:rsid w:val="009E6A75"/>
    <w:rsid w:val="00A0240C"/>
    <w:rsid w:val="00A02A84"/>
    <w:rsid w:val="00A035CA"/>
    <w:rsid w:val="00A06676"/>
    <w:rsid w:val="00A07233"/>
    <w:rsid w:val="00A23FFA"/>
    <w:rsid w:val="00A26C62"/>
    <w:rsid w:val="00A315A3"/>
    <w:rsid w:val="00A505C4"/>
    <w:rsid w:val="00A53EA7"/>
    <w:rsid w:val="00A55B8E"/>
    <w:rsid w:val="00A568C2"/>
    <w:rsid w:val="00A56CAD"/>
    <w:rsid w:val="00A64DA0"/>
    <w:rsid w:val="00A66B67"/>
    <w:rsid w:val="00A76325"/>
    <w:rsid w:val="00AA440F"/>
    <w:rsid w:val="00AA4CA6"/>
    <w:rsid w:val="00AA6B43"/>
    <w:rsid w:val="00AB260A"/>
    <w:rsid w:val="00AB582D"/>
    <w:rsid w:val="00AB6E8B"/>
    <w:rsid w:val="00AC0ED3"/>
    <w:rsid w:val="00AC2146"/>
    <w:rsid w:val="00AC3B74"/>
    <w:rsid w:val="00AC5C3F"/>
    <w:rsid w:val="00AD0658"/>
    <w:rsid w:val="00AE217E"/>
    <w:rsid w:val="00AF0ABA"/>
    <w:rsid w:val="00AF12FD"/>
    <w:rsid w:val="00AF6BB1"/>
    <w:rsid w:val="00AF6F88"/>
    <w:rsid w:val="00B02C54"/>
    <w:rsid w:val="00B048C0"/>
    <w:rsid w:val="00B06F7F"/>
    <w:rsid w:val="00B079BB"/>
    <w:rsid w:val="00B174B4"/>
    <w:rsid w:val="00B30AFF"/>
    <w:rsid w:val="00B37814"/>
    <w:rsid w:val="00B37EBB"/>
    <w:rsid w:val="00B5526C"/>
    <w:rsid w:val="00B55E9C"/>
    <w:rsid w:val="00B56777"/>
    <w:rsid w:val="00B7235E"/>
    <w:rsid w:val="00B72784"/>
    <w:rsid w:val="00B72CD2"/>
    <w:rsid w:val="00B873C4"/>
    <w:rsid w:val="00B87B1C"/>
    <w:rsid w:val="00B90BB7"/>
    <w:rsid w:val="00B94F55"/>
    <w:rsid w:val="00BA6126"/>
    <w:rsid w:val="00BC2EF9"/>
    <w:rsid w:val="00BC445E"/>
    <w:rsid w:val="00BC65B8"/>
    <w:rsid w:val="00BC7358"/>
    <w:rsid w:val="00BD1CB2"/>
    <w:rsid w:val="00BD6BC1"/>
    <w:rsid w:val="00BE5EB0"/>
    <w:rsid w:val="00C02081"/>
    <w:rsid w:val="00C023D9"/>
    <w:rsid w:val="00C105A0"/>
    <w:rsid w:val="00C152E4"/>
    <w:rsid w:val="00C6146D"/>
    <w:rsid w:val="00C6155C"/>
    <w:rsid w:val="00C61890"/>
    <w:rsid w:val="00C64C1B"/>
    <w:rsid w:val="00C971A3"/>
    <w:rsid w:val="00CA4E5B"/>
    <w:rsid w:val="00CA5135"/>
    <w:rsid w:val="00CB3688"/>
    <w:rsid w:val="00CB55B4"/>
    <w:rsid w:val="00CD0CE6"/>
    <w:rsid w:val="00CE0B5D"/>
    <w:rsid w:val="00CF509C"/>
    <w:rsid w:val="00D057AB"/>
    <w:rsid w:val="00D16683"/>
    <w:rsid w:val="00D2602D"/>
    <w:rsid w:val="00D36F09"/>
    <w:rsid w:val="00D4093A"/>
    <w:rsid w:val="00D459AB"/>
    <w:rsid w:val="00D604B1"/>
    <w:rsid w:val="00D61E54"/>
    <w:rsid w:val="00D64494"/>
    <w:rsid w:val="00D6526C"/>
    <w:rsid w:val="00D74D46"/>
    <w:rsid w:val="00D7642C"/>
    <w:rsid w:val="00D87D45"/>
    <w:rsid w:val="00D924E8"/>
    <w:rsid w:val="00DA06F6"/>
    <w:rsid w:val="00DA0854"/>
    <w:rsid w:val="00DB4595"/>
    <w:rsid w:val="00DB4B24"/>
    <w:rsid w:val="00DB6A76"/>
    <w:rsid w:val="00DC4BEB"/>
    <w:rsid w:val="00DD30DD"/>
    <w:rsid w:val="00DE3D9F"/>
    <w:rsid w:val="00DF703A"/>
    <w:rsid w:val="00E05CF6"/>
    <w:rsid w:val="00E305A6"/>
    <w:rsid w:val="00E34D58"/>
    <w:rsid w:val="00E36F98"/>
    <w:rsid w:val="00E4551E"/>
    <w:rsid w:val="00E459BB"/>
    <w:rsid w:val="00E46B28"/>
    <w:rsid w:val="00E5381A"/>
    <w:rsid w:val="00E543B7"/>
    <w:rsid w:val="00E56BAB"/>
    <w:rsid w:val="00E6077F"/>
    <w:rsid w:val="00E639FA"/>
    <w:rsid w:val="00E81A8B"/>
    <w:rsid w:val="00E8637C"/>
    <w:rsid w:val="00E875F5"/>
    <w:rsid w:val="00E90745"/>
    <w:rsid w:val="00E96796"/>
    <w:rsid w:val="00EA02C3"/>
    <w:rsid w:val="00EA09AD"/>
    <w:rsid w:val="00EA5C90"/>
    <w:rsid w:val="00EC03A6"/>
    <w:rsid w:val="00EC6018"/>
    <w:rsid w:val="00ED05C9"/>
    <w:rsid w:val="00ED5217"/>
    <w:rsid w:val="00ED6038"/>
    <w:rsid w:val="00EF505C"/>
    <w:rsid w:val="00F05B60"/>
    <w:rsid w:val="00F11F46"/>
    <w:rsid w:val="00F14BFC"/>
    <w:rsid w:val="00F14FA6"/>
    <w:rsid w:val="00F153A2"/>
    <w:rsid w:val="00F261E5"/>
    <w:rsid w:val="00F26403"/>
    <w:rsid w:val="00F32562"/>
    <w:rsid w:val="00F3778C"/>
    <w:rsid w:val="00F503A2"/>
    <w:rsid w:val="00F50B7B"/>
    <w:rsid w:val="00F541D4"/>
    <w:rsid w:val="00F63C7C"/>
    <w:rsid w:val="00F65646"/>
    <w:rsid w:val="00F81C32"/>
    <w:rsid w:val="00F917DC"/>
    <w:rsid w:val="00F943E5"/>
    <w:rsid w:val="00F963F8"/>
    <w:rsid w:val="00F96AD2"/>
    <w:rsid w:val="00FA591F"/>
    <w:rsid w:val="00FC04AE"/>
    <w:rsid w:val="00FC08E0"/>
    <w:rsid w:val="00FC3921"/>
    <w:rsid w:val="00FD3CD8"/>
    <w:rsid w:val="00FE79CD"/>
    <w:rsid w:val="00FF3FA3"/>
    <w:rsid w:val="00FF4603"/>
    <w:rsid w:val="1AFB0E42"/>
    <w:rsid w:val="1E387AD8"/>
    <w:rsid w:val="29F67F7C"/>
    <w:rsid w:val="312A46C6"/>
    <w:rsid w:val="32347E05"/>
    <w:rsid w:val="33FC39EB"/>
    <w:rsid w:val="50542F20"/>
    <w:rsid w:val="5EFFA26F"/>
    <w:rsid w:val="7AAC6D72"/>
    <w:rsid w:val="7FE757FB"/>
    <w:rsid w:val="9FF20C26"/>
    <w:rsid w:val="BFEFFDB9"/>
    <w:rsid w:val="BFFF9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4"/>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6"/>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qFormat/>
    <w:uiPriority w:val="0"/>
    <w:rPr>
      <w:rFonts w:cs="Times New Roman"/>
      <w:color w:val="0000FF"/>
      <w:u w:val="single"/>
    </w:rPr>
  </w:style>
  <w:style w:type="character" w:styleId="11">
    <w:name w:val="annotation reference"/>
    <w:basedOn w:val="9"/>
    <w:unhideWhenUsed/>
    <w:qFormat/>
    <w:uiPriority w:val="99"/>
    <w:rPr>
      <w:sz w:val="21"/>
      <w:szCs w:val="21"/>
    </w:rPr>
  </w:style>
  <w:style w:type="paragraph" w:customStyle="1" w:styleId="12">
    <w:name w:val="正文文本缩进1"/>
    <w:basedOn w:val="1"/>
    <w:link w:val="25"/>
    <w:qFormat/>
    <w:uiPriority w:val="0"/>
    <w:pPr>
      <w:ind w:firstLine="560" w:firstLineChars="200"/>
    </w:pPr>
    <w:rPr>
      <w:sz w:val="24"/>
    </w:rPr>
  </w:style>
  <w:style w:type="paragraph" w:customStyle="1" w:styleId="13">
    <w:name w:val="列出段落1"/>
    <w:basedOn w:val="1"/>
    <w:qFormat/>
    <w:uiPriority w:val="0"/>
    <w:pPr>
      <w:ind w:firstLine="420" w:firstLineChars="200"/>
    </w:pPr>
    <w:rPr>
      <w:rFonts w:ascii="Times New Roman" w:hAnsi="Times New Roman"/>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列出段落2"/>
    <w:basedOn w:val="1"/>
    <w:qFormat/>
    <w:uiPriority w:val="34"/>
    <w:pPr>
      <w:ind w:firstLine="420" w:firstLineChars="200"/>
    </w:pPr>
  </w:style>
  <w:style w:type="paragraph" w:customStyle="1" w:styleId="1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7">
    <w:name w:val="YJH-nei"/>
    <w:basedOn w:val="1"/>
    <w:qFormat/>
    <w:uiPriority w:val="0"/>
    <w:pPr>
      <w:spacing w:line="600" w:lineRule="exact"/>
      <w:ind w:firstLine="200" w:firstLineChars="200"/>
    </w:pPr>
    <w:rPr>
      <w:rFonts w:hint="eastAsia" w:ascii="仿宋_GB2312" w:hAnsi="宋体" w:eastAsia="仿宋_GB2312" w:cs="宋体"/>
      <w:kern w:val="0"/>
      <w:sz w:val="30"/>
      <w:szCs w:val="30"/>
    </w:rPr>
  </w:style>
  <w:style w:type="paragraph" w:customStyle="1" w:styleId="18">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19">
    <w:name w:val="修订3"/>
    <w:hidden/>
    <w:semiHidden/>
    <w:uiPriority w:val="99"/>
    <w:rPr>
      <w:rFonts w:ascii="Calibri" w:hAnsi="Calibri" w:eastAsia="宋体" w:cs="Times New Roman"/>
      <w:kern w:val="2"/>
      <w:sz w:val="21"/>
      <w:szCs w:val="22"/>
      <w:lang w:val="en-US" w:eastAsia="zh-CN" w:bidi="ar-SA"/>
    </w:rPr>
  </w:style>
  <w:style w:type="paragraph" w:customStyle="1" w:styleId="20">
    <w:name w:val="修订4"/>
    <w:hidden/>
    <w:unhideWhenUsed/>
    <w:uiPriority w:val="99"/>
    <w:rPr>
      <w:rFonts w:ascii="Calibri" w:hAnsi="Calibri" w:eastAsia="宋体" w:cs="Times New Roman"/>
      <w:kern w:val="2"/>
      <w:sz w:val="21"/>
      <w:szCs w:val="22"/>
      <w:lang w:val="en-US" w:eastAsia="zh-CN" w:bidi="ar-SA"/>
    </w:rPr>
  </w:style>
  <w:style w:type="character" w:customStyle="1" w:styleId="21">
    <w:name w:val="页眉 Char"/>
    <w:basedOn w:val="9"/>
    <w:link w:val="5"/>
    <w:qFormat/>
    <w:uiPriority w:val="99"/>
    <w:rPr>
      <w:sz w:val="18"/>
      <w:szCs w:val="18"/>
    </w:rPr>
  </w:style>
  <w:style w:type="character" w:customStyle="1" w:styleId="22">
    <w:name w:val="页脚 Char"/>
    <w:basedOn w:val="9"/>
    <w:link w:val="4"/>
    <w:uiPriority w:val="99"/>
    <w:rPr>
      <w:sz w:val="18"/>
      <w:szCs w:val="18"/>
    </w:rPr>
  </w:style>
  <w:style w:type="character" w:customStyle="1" w:styleId="23">
    <w:name w:val="批注文字 Char"/>
    <w:basedOn w:val="9"/>
    <w:link w:val="2"/>
    <w:qFormat/>
    <w:uiPriority w:val="99"/>
  </w:style>
  <w:style w:type="character" w:customStyle="1" w:styleId="24">
    <w:name w:val="批注框文本 Char"/>
    <w:basedOn w:val="9"/>
    <w:link w:val="3"/>
    <w:semiHidden/>
    <w:qFormat/>
    <w:uiPriority w:val="99"/>
    <w:rPr>
      <w:sz w:val="18"/>
      <w:szCs w:val="18"/>
    </w:rPr>
  </w:style>
  <w:style w:type="character" w:customStyle="1" w:styleId="25">
    <w:name w:val="Body Text Indent Char1"/>
    <w:link w:val="12"/>
    <w:uiPriority w:val="0"/>
    <w:rPr>
      <w:sz w:val="24"/>
    </w:rPr>
  </w:style>
  <w:style w:type="character" w:customStyle="1" w:styleId="26">
    <w:name w:val="批注主题 Char"/>
    <w:basedOn w:val="23"/>
    <w:link w:val="6"/>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1215</Words>
  <Characters>6931</Characters>
  <Lines>57</Lines>
  <Paragraphs>16</Paragraphs>
  <TotalTime>5</TotalTime>
  <ScaleCrop>false</ScaleCrop>
  <LinksUpToDate>false</LinksUpToDate>
  <CharactersWithSpaces>8130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2020-05-25T15:16:00Z</dcterms:created>
  <dc:creator>曹红娣</dc:creator>
  <cp:lastModifiedBy>liuningyi</cp:lastModifiedBy>
  <dcterms:modified xsi:type="dcterms:W3CDTF">2023-11-20T01:07:34Z</dcterms:modified>
  <dc:title>华融湘江银行湖南银行机构理财产品协议书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