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color w:val="auto"/>
          <w:sz w:val="32"/>
          <w:szCs w:val="32"/>
          <w:highlight w:val="none"/>
          <w:lang w:val="en-US" w:eastAsia="zh-CN"/>
        </w:rPr>
      </w:pPr>
      <w:bookmarkStart w:id="3" w:name="_GoBack"/>
      <w:bookmarkEnd w:id="3"/>
      <w:r>
        <w:rPr>
          <w:rFonts w:hint="eastAsia" w:ascii="华文仿宋" w:hAnsi="华文仿宋" w:eastAsia="华文仿宋" w:cs="华文仿宋"/>
          <w:b/>
          <w:bCs/>
          <w:color w:val="auto"/>
          <w:sz w:val="32"/>
          <w:szCs w:val="32"/>
          <w:highlight w:val="none"/>
          <w:lang w:eastAsia="zh-CN"/>
        </w:rPr>
        <w:t>渤银理财财收有略系列固定收益类（创合款）二年封闭式理财产品2026年8号</w:t>
      </w:r>
      <w:r>
        <w:rPr>
          <w:rFonts w:hint="eastAsia" w:ascii="华文仿宋" w:hAnsi="华文仿宋" w:eastAsia="华文仿宋" w:cs="华文仿宋"/>
          <w:b/>
          <w:bCs/>
          <w:color w:val="auto"/>
          <w:sz w:val="32"/>
          <w:szCs w:val="32"/>
          <w:highlight w:val="none"/>
          <w:lang w:val="en-US" w:eastAsia="zh-CN"/>
        </w:rPr>
        <w:t>产品说明书</w:t>
      </w: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一、重要须知</w:t>
      </w:r>
    </w:p>
    <w:p>
      <w:pPr>
        <w:pStyle w:val="10"/>
        <w:numPr>
          <w:ilvl w:val="0"/>
          <w:numId w:val="1"/>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本</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产品说明书与《投资协议书》《风险揭示书》《理财产品（代理）销售协</w:t>
      </w:r>
      <w:r>
        <w:rPr>
          <w:rFonts w:hint="eastAsia" w:ascii="宋体" w:hAnsi="宋体" w:eastAsia="宋体"/>
          <w:color w:val="auto"/>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理财非存款，产品有风险，投资须谨慎。</w:t>
      </w:r>
      <w:r>
        <w:rPr>
          <w:rFonts w:ascii="宋体" w:hAnsi="宋体" w:eastAsia="宋体"/>
          <w:b/>
          <w:bCs/>
          <w:color w:val="auto"/>
          <w:sz w:val="24"/>
          <w:szCs w:val="24"/>
          <w:highlight w:val="none"/>
        </w:rPr>
        <w:t>本理财产品不等同于银行存款，管理人不保证本理财产品一定盈利，也不保</w:t>
      </w:r>
      <w:r>
        <w:rPr>
          <w:rFonts w:hint="eastAsia" w:ascii="宋体" w:hAnsi="宋体" w:eastAsia="宋体"/>
          <w:b/>
          <w:bCs/>
          <w:color w:val="auto"/>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本理财产品仅向依据中华人民共和国有关法律法规</w:t>
      </w:r>
      <w:r>
        <w:rPr>
          <w:rFonts w:hint="eastAsia" w:ascii="宋体" w:hAnsi="宋体" w:eastAsia="宋体"/>
          <w:color w:val="auto"/>
          <w:sz w:val="24"/>
          <w:szCs w:val="24"/>
          <w:highlight w:val="none"/>
        </w:rPr>
        <w:t>（仅为本理财</w:t>
      </w:r>
      <w:r>
        <w:rPr>
          <w:rFonts w:ascii="宋体" w:hAnsi="宋体" w:eastAsia="宋体"/>
          <w:color w:val="auto"/>
          <w:sz w:val="24"/>
          <w:szCs w:val="24"/>
          <w:highlight w:val="none"/>
        </w:rPr>
        <w:t>产品</w:t>
      </w:r>
      <w:r>
        <w:rPr>
          <w:rFonts w:hint="eastAsia" w:ascii="宋体" w:hAnsi="宋体" w:eastAsia="宋体"/>
          <w:color w:val="auto"/>
          <w:sz w:val="24"/>
          <w:szCs w:val="24"/>
          <w:highlight w:val="none"/>
        </w:rPr>
        <w:t>销售文件之目的，不包括香港特别行政区、澳门特别行政区及台湾地区法律法规）</w:t>
      </w:r>
      <w:r>
        <w:rPr>
          <w:rFonts w:ascii="宋体" w:hAnsi="宋体" w:eastAsia="宋体"/>
          <w:color w:val="auto"/>
          <w:sz w:val="24"/>
          <w:szCs w:val="24"/>
          <w:highlight w:val="none"/>
        </w:rPr>
        <w:t>及本产品说明书规定可</w:t>
      </w:r>
      <w:r>
        <w:rPr>
          <w:rFonts w:hint="eastAsia" w:ascii="宋体" w:hAnsi="宋体" w:eastAsia="宋体"/>
          <w:color w:val="auto"/>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投资者承诺其用于投资</w:t>
      </w:r>
      <w:r>
        <w:rPr>
          <w:rFonts w:hint="eastAsia" w:ascii="宋体" w:hAnsi="宋体" w:eastAsia="宋体"/>
          <w:color w:val="auto"/>
          <w:sz w:val="24"/>
          <w:szCs w:val="24"/>
          <w:highlight w:val="none"/>
        </w:rPr>
        <w:t>本</w:t>
      </w:r>
      <w:r>
        <w:rPr>
          <w:rFonts w:ascii="宋体" w:hAnsi="宋体" w:eastAsia="宋体"/>
          <w:color w:val="auto"/>
          <w:sz w:val="24"/>
          <w:szCs w:val="24"/>
          <w:highlight w:val="none"/>
        </w:rPr>
        <w:t>理财产品的资金来源合法合规，不存在使用贷款、发</w:t>
      </w:r>
      <w:r>
        <w:rPr>
          <w:rFonts w:hint="eastAsia" w:ascii="宋体" w:hAnsi="宋体" w:eastAsia="宋体"/>
          <w:color w:val="auto"/>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投资者承诺投资本理财产品使用的资金为投资者合法持有，不存在代他人持</w:t>
      </w:r>
      <w:r>
        <w:rPr>
          <w:rFonts w:hint="eastAsia" w:ascii="宋体" w:hAnsi="宋体" w:eastAsia="宋体"/>
          <w:color w:val="auto"/>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投资者</w:t>
      </w:r>
      <w:r>
        <w:rPr>
          <w:rFonts w:hint="eastAsia" w:ascii="宋体" w:hAnsi="宋体" w:eastAsia="宋体"/>
          <w:color w:val="auto"/>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color w:val="auto"/>
          <w:sz w:val="24"/>
          <w:szCs w:val="24"/>
          <w:highlight w:val="none"/>
        </w:rPr>
        <w:t>投资者</w:t>
      </w:r>
      <w:r>
        <w:rPr>
          <w:rFonts w:hint="eastAsia" w:ascii="宋体" w:hAnsi="宋体" w:eastAsia="宋体"/>
          <w:color w:val="auto"/>
          <w:sz w:val="24"/>
          <w:szCs w:val="24"/>
          <w:highlight w:val="none"/>
        </w:rPr>
        <w:t>将持续配合管理人或销售服务机构不时更新的措施和要求。</w:t>
      </w:r>
      <w:r>
        <w:rPr>
          <w:rFonts w:hint="eastAsia" w:ascii="宋体" w:hAnsi="宋体" w:eastAsia="宋体"/>
          <w:b/>
          <w:bCs/>
          <w:color w:val="auto"/>
          <w:sz w:val="24"/>
          <w:szCs w:val="24"/>
          <w:highlight w:val="none"/>
        </w:rPr>
        <w:t>若</w:t>
      </w:r>
      <w:r>
        <w:rPr>
          <w:rFonts w:ascii="宋体" w:hAnsi="宋体" w:eastAsia="宋体"/>
          <w:b/>
          <w:bCs/>
          <w:color w:val="auto"/>
          <w:sz w:val="24"/>
          <w:szCs w:val="24"/>
          <w:highlight w:val="none"/>
        </w:rPr>
        <w:t>投资者</w:t>
      </w:r>
      <w:r>
        <w:rPr>
          <w:rFonts w:hint="eastAsia" w:ascii="宋体" w:hAnsi="宋体" w:eastAsia="宋体"/>
          <w:b/>
          <w:bCs/>
          <w:color w:val="auto"/>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color w:val="auto"/>
          <w:sz w:val="24"/>
          <w:szCs w:val="24"/>
          <w:highlight w:val="none"/>
        </w:rPr>
        <w:t>投资者</w:t>
      </w:r>
      <w:r>
        <w:rPr>
          <w:rFonts w:hint="eastAsia" w:ascii="宋体" w:hAnsi="宋体" w:eastAsia="宋体"/>
          <w:b/>
          <w:bCs/>
          <w:color w:val="auto"/>
          <w:sz w:val="24"/>
          <w:szCs w:val="24"/>
          <w:highlight w:val="none"/>
        </w:rPr>
        <w:t>届时持有的理财产品而无需事先通知</w:t>
      </w:r>
      <w:r>
        <w:rPr>
          <w:rFonts w:ascii="宋体" w:hAnsi="宋体" w:eastAsia="宋体"/>
          <w:b/>
          <w:bCs/>
          <w:color w:val="auto"/>
          <w:sz w:val="24"/>
          <w:szCs w:val="24"/>
          <w:highlight w:val="none"/>
        </w:rPr>
        <w:t>投资者</w:t>
      </w:r>
      <w:r>
        <w:rPr>
          <w:rFonts w:hint="eastAsia" w:ascii="宋体" w:hAnsi="宋体" w:eastAsia="宋体"/>
          <w:b/>
          <w:bCs/>
          <w:color w:val="auto"/>
          <w:sz w:val="24"/>
          <w:szCs w:val="24"/>
          <w:highlight w:val="none"/>
        </w:rPr>
        <w:t>或征得</w:t>
      </w:r>
      <w:r>
        <w:rPr>
          <w:rFonts w:ascii="宋体" w:hAnsi="宋体" w:eastAsia="宋体"/>
          <w:b/>
          <w:bCs/>
          <w:color w:val="auto"/>
          <w:sz w:val="24"/>
          <w:szCs w:val="24"/>
          <w:highlight w:val="none"/>
        </w:rPr>
        <w:t>投资者</w:t>
      </w:r>
      <w:r>
        <w:rPr>
          <w:rFonts w:hint="eastAsia" w:ascii="宋体" w:hAnsi="宋体" w:eastAsia="宋体"/>
          <w:b/>
          <w:bCs/>
          <w:color w:val="auto"/>
          <w:sz w:val="24"/>
          <w:szCs w:val="24"/>
          <w:highlight w:val="none"/>
        </w:rPr>
        <w:t>的同意，</w:t>
      </w:r>
      <w:r>
        <w:rPr>
          <w:rFonts w:ascii="宋体" w:hAnsi="宋体" w:eastAsia="宋体"/>
          <w:b/>
          <w:bCs/>
          <w:color w:val="auto"/>
          <w:sz w:val="24"/>
          <w:szCs w:val="24"/>
          <w:highlight w:val="none"/>
        </w:rPr>
        <w:t>投资者</w:t>
      </w:r>
      <w:r>
        <w:rPr>
          <w:rFonts w:hint="eastAsia" w:ascii="宋体" w:hAnsi="宋体" w:eastAsia="宋体"/>
          <w:b/>
          <w:bCs/>
          <w:color w:val="auto"/>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在购买本理财产品前，请投资者仔细阅读本理财产品销售文件，确保自己详</w:t>
      </w:r>
      <w:r>
        <w:rPr>
          <w:rFonts w:hint="eastAsia" w:ascii="宋体" w:hAnsi="宋体" w:eastAsia="宋体"/>
          <w:color w:val="auto"/>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在购买本理财产品后，投资者应随时关注本理财产品的信息披露情况，及时</w:t>
      </w:r>
      <w:r>
        <w:rPr>
          <w:rFonts w:hint="eastAsia" w:ascii="宋体" w:hAnsi="宋体" w:eastAsia="宋体"/>
          <w:color w:val="auto"/>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除</w:t>
      </w:r>
      <w:r>
        <w:rPr>
          <w:rFonts w:hint="eastAsia" w:ascii="宋体" w:hAnsi="宋体" w:eastAsia="宋体"/>
          <w:b/>
          <w:bCs/>
          <w:color w:val="auto"/>
          <w:sz w:val="24"/>
          <w:szCs w:val="24"/>
          <w:highlight w:val="none"/>
        </w:rPr>
        <w:t>本</w:t>
      </w:r>
      <w:r>
        <w:rPr>
          <w:rFonts w:ascii="宋体" w:hAnsi="宋体" w:eastAsia="宋体"/>
          <w:b/>
          <w:bCs/>
          <w:color w:val="auto"/>
          <w:sz w:val="24"/>
          <w:szCs w:val="24"/>
          <w:highlight w:val="none"/>
        </w:rPr>
        <w:t>理财产品说明书中明确规定的收益及收益分配方式外，任何业绩比较</w:t>
      </w:r>
      <w:r>
        <w:rPr>
          <w:rFonts w:hint="eastAsia" w:ascii="宋体" w:hAnsi="宋体" w:eastAsia="宋体"/>
          <w:b/>
          <w:bCs/>
          <w:color w:val="auto"/>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管理人承诺以诚实信用、勤勉尽责的原则，并根据本理财产品说明书所</w:t>
      </w:r>
      <w:r>
        <w:rPr>
          <w:rFonts w:hint="eastAsia" w:ascii="宋体" w:hAnsi="宋体" w:eastAsia="宋体"/>
          <w:color w:val="auto"/>
          <w:sz w:val="24"/>
          <w:szCs w:val="24"/>
          <w:highlight w:val="none"/>
        </w:rPr>
        <w:t>载要求管理和运用理财产品资产。</w:t>
      </w:r>
      <w:r>
        <w:rPr>
          <w:rFonts w:hint="eastAsia" w:ascii="宋体" w:hAnsi="宋体" w:eastAsia="宋体"/>
          <w:b/>
          <w:bCs/>
          <w:color w:val="auto"/>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本理财产品属于</w:t>
      </w:r>
      <w:r>
        <w:rPr>
          <w:rFonts w:hint="eastAsia" w:ascii="宋体" w:hAnsi="宋体" w:eastAsia="宋体"/>
          <w:b/>
          <w:bCs/>
          <w:color w:val="auto"/>
          <w:sz w:val="24"/>
          <w:szCs w:val="24"/>
          <w:highlight w:val="none"/>
          <w:lang w:val="en-US" w:eastAsia="zh-CN"/>
        </w:rPr>
        <w:t>固定收益</w:t>
      </w:r>
      <w:r>
        <w:rPr>
          <w:rFonts w:hint="eastAsia" w:ascii="宋体" w:hAnsi="宋体" w:eastAsia="宋体"/>
          <w:b/>
          <w:bCs/>
          <w:color w:val="auto"/>
          <w:sz w:val="24"/>
          <w:szCs w:val="24"/>
          <w:highlight w:val="none"/>
        </w:rPr>
        <w:t>类</w:t>
      </w:r>
      <w:r>
        <w:rPr>
          <w:rFonts w:hint="eastAsia" w:ascii="宋体" w:hAnsi="宋体" w:eastAsia="宋体"/>
          <w:color w:val="auto"/>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color w:val="auto"/>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color w:val="auto"/>
          <w:sz w:val="24"/>
          <w:szCs w:val="24"/>
          <w:highlight w:val="none"/>
        </w:rPr>
        <w:t>，投资于存款、债券等债权类资产的比例不低于</w:t>
      </w:r>
      <w:r>
        <w:rPr>
          <w:rFonts w:ascii="宋体" w:hAnsi="宋体" w:eastAsia="宋体"/>
          <w:color w:val="auto"/>
          <w:sz w:val="24"/>
          <w:szCs w:val="24"/>
          <w:highlight w:val="none"/>
        </w:rPr>
        <w:t>80%。</w:t>
      </w:r>
    </w:p>
    <w:p>
      <w:pPr>
        <w:numPr>
          <w:ilvl w:val="0"/>
          <w:numId w:val="3"/>
        </w:num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管理人对本理财产品的风险评级为R</w:t>
      </w: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rPr>
        <w:t>（较低/中低风险）</w:t>
      </w:r>
      <w:r>
        <w:rPr>
          <w:rFonts w:ascii="宋体" w:hAnsi="宋体" w:eastAsia="宋体"/>
          <w:b/>
          <w:bCs/>
          <w:color w:val="auto"/>
          <w:sz w:val="24"/>
          <w:szCs w:val="24"/>
          <w:highlight w:val="none"/>
        </w:rPr>
        <w:t>，本理财产品通过</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销售的，</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应当根据</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的方式和方法，独立、审慎地对代理销售的本理财产品进行销售评级，销售评级与管理人评级结果不一致的，</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应当采用对应较高风险等级的评级结果并予以披露，本理财产品评级应当以</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最终披露的评级结果为准。本理财产品收益特征为非保本浮动收益，</w:t>
      </w:r>
      <w:r>
        <w:rPr>
          <w:rFonts w:hint="eastAsia" w:ascii="宋体" w:hAnsi="宋体" w:eastAsia="宋体"/>
          <w:b/>
          <w:bCs/>
          <w:color w:val="auto"/>
          <w:sz w:val="24"/>
          <w:szCs w:val="24"/>
          <w:highlight w:val="none"/>
        </w:rPr>
        <w:t>投资者</w:t>
      </w:r>
      <w:r>
        <w:rPr>
          <w:rFonts w:ascii="宋体" w:hAnsi="宋体" w:eastAsia="宋体"/>
          <w:b/>
          <w:bCs/>
          <w:color w:val="auto"/>
          <w:sz w:val="24"/>
          <w:szCs w:val="24"/>
          <w:highlight w:val="none"/>
        </w:rPr>
        <w:t>的本金有可能会因市场变动蒙受重大损失，</w:t>
      </w:r>
      <w:r>
        <w:rPr>
          <w:rFonts w:hint="eastAsia" w:ascii="宋体" w:hAnsi="宋体" w:eastAsia="宋体"/>
          <w:b/>
          <w:bCs/>
          <w:color w:val="auto"/>
          <w:sz w:val="24"/>
          <w:szCs w:val="24"/>
          <w:highlight w:val="none"/>
        </w:rPr>
        <w:t>投资者</w:t>
      </w:r>
      <w:r>
        <w:rPr>
          <w:rFonts w:ascii="宋体" w:hAnsi="宋体" w:eastAsia="宋体"/>
          <w:b/>
          <w:bCs/>
          <w:color w:val="auto"/>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在本理财产品存续期内，如出于维持本产品正常运营的需要且在不损害</w:t>
      </w:r>
      <w:r>
        <w:rPr>
          <w:rFonts w:hint="eastAsia" w:ascii="宋体" w:hAnsi="宋体" w:eastAsia="宋体"/>
          <w:b/>
          <w:bCs/>
          <w:color w:val="auto"/>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为贯彻落实银行业理财登记托管中心发布的《</w:t>
      </w:r>
      <w:r>
        <w:rPr>
          <w:rFonts w:hint="eastAsia" w:ascii="仿宋" w:hAnsi="仿宋" w:eastAsia="仿宋" w:cs="仿宋"/>
          <w:color w:val="auto"/>
          <w:kern w:val="0"/>
          <w:sz w:val="24"/>
          <w:szCs w:val="24"/>
          <w:highlight w:val="none"/>
          <w:lang w:bidi="ar"/>
        </w:rPr>
        <w:t>〈</w:t>
      </w:r>
      <w:r>
        <w:rPr>
          <w:rFonts w:ascii="宋体" w:hAnsi="宋体" w:eastAsia="宋体"/>
          <w:color w:val="auto"/>
          <w:sz w:val="24"/>
          <w:szCs w:val="24"/>
          <w:highlight w:val="none"/>
        </w:rPr>
        <w:t>中国银行保险监督管理委员会办公厅关于</w:t>
      </w:r>
      <w:r>
        <w:rPr>
          <w:rFonts w:hint="eastAsia" w:ascii="宋体" w:hAnsi="宋体" w:eastAsia="宋体"/>
          <w:color w:val="auto"/>
          <w:sz w:val="24"/>
          <w:szCs w:val="24"/>
          <w:highlight w:val="none"/>
        </w:rPr>
        <w:t>进一步做好银行理财登记工作有关事项的通知</w:t>
      </w:r>
      <w:r>
        <w:rPr>
          <w:rFonts w:hint="eastAsia" w:ascii="仿宋" w:hAnsi="仿宋" w:eastAsia="仿宋" w:cs="仿宋"/>
          <w:color w:val="auto"/>
          <w:kern w:val="0"/>
          <w:sz w:val="24"/>
          <w:szCs w:val="24"/>
          <w:highlight w:val="none"/>
          <w:lang w:bidi="ar"/>
        </w:rPr>
        <w:t>〉</w:t>
      </w:r>
      <w:r>
        <w:rPr>
          <w:rFonts w:ascii="宋体" w:hAnsi="宋体" w:eastAsia="宋体"/>
          <w:color w:val="auto"/>
          <w:sz w:val="24"/>
          <w:szCs w:val="24"/>
          <w:highlight w:val="none"/>
        </w:rPr>
        <w:t>实施细则》（理财中心发〔2018〕18号）文件的</w:t>
      </w:r>
      <w:r>
        <w:rPr>
          <w:rFonts w:hint="eastAsia" w:ascii="宋体" w:hAnsi="宋体" w:eastAsia="宋体"/>
          <w:color w:val="auto"/>
          <w:sz w:val="24"/>
          <w:szCs w:val="24"/>
          <w:highlight w:val="none"/>
        </w:rPr>
        <w:t>精神及相关实施细则及</w:t>
      </w:r>
      <w:r>
        <w:rPr>
          <w:rFonts w:ascii="宋体" w:hAnsi="宋体" w:eastAsia="宋体"/>
          <w:color w:val="auto"/>
          <w:sz w:val="24"/>
          <w:szCs w:val="24"/>
          <w:highlight w:val="none"/>
        </w:rPr>
        <w:t>《中国银保监会办公厅关于印发银行业金融机构监管数据标准化规范（2021版）的通知》的要求，</w:t>
      </w:r>
      <w:r>
        <w:rPr>
          <w:rFonts w:hint="eastAsia" w:ascii="宋体" w:hAnsi="宋体" w:eastAsia="宋体"/>
          <w:color w:val="auto"/>
          <w:sz w:val="24"/>
          <w:szCs w:val="24"/>
          <w:highlight w:val="none"/>
        </w:rPr>
        <w:t>渤银</w:t>
      </w:r>
      <w:r>
        <w:rPr>
          <w:rFonts w:ascii="宋体" w:hAnsi="宋体" w:eastAsia="宋体"/>
          <w:color w:val="auto"/>
          <w:sz w:val="24"/>
          <w:szCs w:val="24"/>
          <w:highlight w:val="none"/>
        </w:rPr>
        <w:t>理财将向监管机构</w:t>
      </w:r>
      <w:r>
        <w:rPr>
          <w:rFonts w:hint="eastAsia" w:ascii="宋体" w:hAnsi="宋体" w:eastAsia="宋体"/>
          <w:color w:val="auto"/>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color w:val="auto"/>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color w:val="auto"/>
          <w:sz w:val="24"/>
          <w:szCs w:val="24"/>
          <w:highlight w:val="none"/>
        </w:rPr>
        <w:t>/信托计划/资产管理计划等资产管理产品的受托人/资产管理人(如有)、投资顾问（如有）</w:t>
      </w:r>
      <w:r>
        <w:rPr>
          <w:rFonts w:hint="eastAsia" w:ascii="宋体" w:hAnsi="宋体" w:eastAsia="宋体"/>
          <w:color w:val="auto"/>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color w:val="auto"/>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color w:val="auto"/>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color w:val="auto"/>
          <w:sz w:val="24"/>
          <w:szCs w:val="24"/>
          <w:highlight w:val="none"/>
        </w:rPr>
        <w:t>销售服务</w:t>
      </w:r>
      <w:r>
        <w:rPr>
          <w:rFonts w:ascii="宋体" w:hAnsi="宋体" w:eastAsia="宋体"/>
          <w:color w:val="auto"/>
          <w:sz w:val="24"/>
          <w:szCs w:val="24"/>
          <w:highlight w:val="none"/>
        </w:rPr>
        <w:t>机构购买理财产品的，可按照</w:t>
      </w:r>
      <w:r>
        <w:rPr>
          <w:rFonts w:hint="eastAsia" w:ascii="宋体" w:hAnsi="宋体" w:eastAsia="宋体"/>
          <w:color w:val="auto"/>
          <w:sz w:val="24"/>
          <w:szCs w:val="24"/>
          <w:highlight w:val="none"/>
        </w:rPr>
        <w:t>销售服务</w:t>
      </w:r>
      <w:r>
        <w:rPr>
          <w:rFonts w:ascii="宋体" w:hAnsi="宋体" w:eastAsia="宋体"/>
          <w:color w:val="auto"/>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color w:val="auto"/>
          <w:sz w:val="24"/>
          <w:szCs w:val="24"/>
          <w:highlight w:val="none"/>
        </w:rPr>
      </w:pPr>
      <w:r>
        <w:rPr>
          <w:rFonts w:ascii="宋体" w:hAnsi="宋体" w:eastAsia="宋体"/>
          <w:color w:val="auto"/>
          <w:sz w:val="24"/>
          <w:szCs w:val="24"/>
          <w:highlight w:val="none"/>
        </w:rPr>
        <w:t>管理人有权依法对本理财产品说明书进行解释。</w:t>
      </w:r>
    </w:p>
    <w:p>
      <w:pPr>
        <w:spacing w:line="300" w:lineRule="auto"/>
        <w:jc w:val="left"/>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二、释义</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（一）参与主体用语</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1.渤银理财：指渤银理财有限责任公司。</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b/>
          <w:bCs/>
          <w:color w:val="auto"/>
          <w:sz w:val="24"/>
          <w:szCs w:val="24"/>
          <w:highlight w:val="none"/>
        </w:rPr>
        <w:t>管理人/投资管理人/理财产品管理人</w:t>
      </w:r>
      <w:r>
        <w:rPr>
          <w:rFonts w:hint="eastAsia" w:ascii="宋体" w:hAnsi="宋体" w:eastAsia="宋体"/>
          <w:b/>
          <w:bCs/>
          <w:color w:val="auto"/>
          <w:sz w:val="24"/>
          <w:szCs w:val="24"/>
          <w:highlight w:val="none"/>
        </w:rPr>
        <w:t>/产品管理人</w:t>
      </w:r>
      <w:r>
        <w:rPr>
          <w:rFonts w:ascii="宋体" w:hAnsi="宋体" w:eastAsia="宋体"/>
          <w:color w:val="auto"/>
          <w:sz w:val="24"/>
          <w:szCs w:val="24"/>
          <w:highlight w:val="none"/>
        </w:rPr>
        <w:t>：指</w:t>
      </w:r>
      <w:r>
        <w:rPr>
          <w:rFonts w:hint="eastAsia" w:ascii="宋体" w:hAnsi="宋体" w:eastAsia="宋体"/>
          <w:color w:val="auto"/>
          <w:sz w:val="24"/>
          <w:szCs w:val="24"/>
          <w:highlight w:val="none"/>
        </w:rPr>
        <w:t>渤银</w:t>
      </w:r>
      <w:r>
        <w:rPr>
          <w:rFonts w:ascii="宋体" w:hAnsi="宋体" w:eastAsia="宋体"/>
          <w:color w:val="auto"/>
          <w:sz w:val="24"/>
          <w:szCs w:val="24"/>
          <w:highlight w:val="none"/>
        </w:rPr>
        <w:t>理财。</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3.产品托管人/</w:t>
      </w:r>
      <w:r>
        <w:rPr>
          <w:rFonts w:ascii="宋体" w:hAnsi="宋体" w:eastAsia="宋体"/>
          <w:color w:val="auto"/>
          <w:sz w:val="24"/>
          <w:szCs w:val="24"/>
          <w:highlight w:val="none"/>
        </w:rPr>
        <w:t>托管人：指</w:t>
      </w:r>
      <w:r>
        <w:rPr>
          <w:rFonts w:hint="eastAsia" w:ascii="宋体" w:hAnsi="宋体" w:eastAsia="宋体"/>
          <w:color w:val="auto"/>
          <w:sz w:val="24"/>
          <w:szCs w:val="24"/>
          <w:highlight w:val="none"/>
        </w:rPr>
        <w:t>苏州银行股份有限公司</w:t>
      </w:r>
      <w:r>
        <w:rPr>
          <w:rFonts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4.销售服务机构：指渤银理财或代理销售服务机构。</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认</w:t>
      </w:r>
      <w:r>
        <w:rPr>
          <w:rFonts w:hint="eastAsia" w:ascii="宋体" w:hAnsi="宋体" w:eastAsia="宋体"/>
          <w:color w:val="auto"/>
          <w:sz w:val="24"/>
          <w:szCs w:val="24"/>
          <w:highlight w:val="none"/>
        </w:rPr>
        <w:t>/申购人</w:t>
      </w:r>
      <w:r>
        <w:rPr>
          <w:rFonts w:ascii="宋体" w:hAnsi="宋体" w:eastAsia="宋体"/>
          <w:color w:val="auto"/>
          <w:sz w:val="24"/>
          <w:szCs w:val="24"/>
          <w:highlight w:val="none"/>
        </w:rPr>
        <w:t>：指在</w:t>
      </w:r>
      <w:r>
        <w:rPr>
          <w:rFonts w:hint="eastAsia" w:ascii="宋体" w:hAnsi="宋体" w:eastAsia="宋体"/>
          <w:color w:val="auto"/>
          <w:sz w:val="24"/>
          <w:szCs w:val="24"/>
          <w:highlight w:val="none"/>
        </w:rPr>
        <w:t>购买理财</w:t>
      </w:r>
      <w:r>
        <w:rPr>
          <w:rFonts w:ascii="宋体" w:hAnsi="宋体" w:eastAsia="宋体"/>
          <w:color w:val="auto"/>
          <w:sz w:val="24"/>
          <w:szCs w:val="24"/>
          <w:highlight w:val="none"/>
        </w:rPr>
        <w:t>期间签署理财</w:t>
      </w:r>
      <w:r>
        <w:rPr>
          <w:rFonts w:hint="eastAsia" w:ascii="宋体" w:hAnsi="宋体" w:eastAsia="宋体"/>
          <w:color w:val="auto"/>
          <w:sz w:val="24"/>
          <w:szCs w:val="24"/>
          <w:highlight w:val="none"/>
        </w:rPr>
        <w:t>产品销售文件</w:t>
      </w:r>
      <w:r>
        <w:rPr>
          <w:rFonts w:ascii="宋体" w:hAnsi="宋体" w:eastAsia="宋体"/>
          <w:color w:val="auto"/>
          <w:sz w:val="24"/>
          <w:szCs w:val="24"/>
          <w:highlight w:val="none"/>
        </w:rPr>
        <w:t>并向理财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管理人交</w:t>
      </w:r>
      <w:r>
        <w:rPr>
          <w:rFonts w:hint="eastAsia" w:ascii="宋体" w:hAnsi="宋体" w:eastAsia="宋体"/>
          <w:color w:val="auto"/>
          <w:sz w:val="24"/>
          <w:szCs w:val="24"/>
          <w:highlight w:val="none"/>
        </w:rPr>
        <w:t>付认/申购资金的个人投资者和机构投资者。</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7.理财产品</w:t>
      </w:r>
      <w:r>
        <w:rPr>
          <w:rFonts w:ascii="宋体" w:hAnsi="宋体" w:eastAsia="宋体"/>
          <w:color w:val="auto"/>
          <w:sz w:val="24"/>
          <w:szCs w:val="24"/>
          <w:highlight w:val="none"/>
        </w:rPr>
        <w:t>份额持有人/持有人：指其</w:t>
      </w:r>
      <w:r>
        <w:rPr>
          <w:rFonts w:hint="eastAsia" w:ascii="宋体" w:hAnsi="宋体" w:eastAsia="宋体"/>
          <w:color w:val="auto"/>
          <w:sz w:val="24"/>
          <w:szCs w:val="24"/>
          <w:highlight w:val="none"/>
        </w:rPr>
        <w:t>购买</w:t>
      </w:r>
      <w:r>
        <w:rPr>
          <w:rFonts w:ascii="宋体" w:hAnsi="宋体" w:eastAsia="宋体"/>
          <w:color w:val="auto"/>
          <w:sz w:val="24"/>
          <w:szCs w:val="24"/>
          <w:highlight w:val="none"/>
        </w:rPr>
        <w:t>申请经过</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管理人确认</w:t>
      </w:r>
      <w:r>
        <w:rPr>
          <w:rFonts w:hint="eastAsia" w:ascii="宋体" w:hAnsi="宋体" w:eastAsia="宋体"/>
          <w:color w:val="auto"/>
          <w:sz w:val="24"/>
          <w:szCs w:val="24"/>
          <w:highlight w:val="none"/>
        </w:rPr>
        <w:t>，</w:t>
      </w:r>
      <w:r>
        <w:rPr>
          <w:rFonts w:ascii="宋体" w:hAnsi="宋体" w:eastAsia="宋体"/>
          <w:color w:val="auto"/>
          <w:sz w:val="24"/>
          <w:szCs w:val="24"/>
          <w:highlight w:val="none"/>
        </w:rPr>
        <w:t>认</w:t>
      </w:r>
      <w:r>
        <w:rPr>
          <w:rFonts w:hint="eastAsia" w:ascii="宋体" w:hAnsi="宋体" w:eastAsia="宋体"/>
          <w:color w:val="auto"/>
          <w:sz w:val="24"/>
          <w:szCs w:val="24"/>
          <w:highlight w:val="none"/>
        </w:rPr>
        <w:t>/申</w:t>
      </w:r>
      <w:r>
        <w:rPr>
          <w:rFonts w:ascii="宋体" w:hAnsi="宋体" w:eastAsia="宋体"/>
          <w:color w:val="auto"/>
          <w:sz w:val="24"/>
          <w:szCs w:val="24"/>
          <w:highlight w:val="none"/>
        </w:rPr>
        <w:t>购成功，从而持有</w:t>
      </w:r>
      <w:r>
        <w:rPr>
          <w:rFonts w:hint="eastAsia" w:ascii="宋体" w:hAnsi="宋体" w:eastAsia="宋体"/>
          <w:color w:val="auto"/>
          <w:sz w:val="24"/>
          <w:szCs w:val="24"/>
          <w:highlight w:val="none"/>
        </w:rPr>
        <w:t>理财产品份额的投资者。</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投资者</w:t>
      </w:r>
      <w:r>
        <w:rPr>
          <w:rFonts w:hint="eastAsia" w:ascii="宋体" w:hAnsi="宋体" w:eastAsia="宋体"/>
          <w:color w:val="auto"/>
          <w:sz w:val="24"/>
          <w:szCs w:val="24"/>
          <w:highlight w:val="none"/>
        </w:rPr>
        <w:t>/客户</w:t>
      </w:r>
      <w:r>
        <w:rPr>
          <w:rFonts w:ascii="宋体" w:hAnsi="宋体" w:eastAsia="宋体"/>
          <w:color w:val="auto"/>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（二）法律文件用语</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产品说明书》：指《</w:t>
      </w:r>
      <w:r>
        <w:rPr>
          <w:rFonts w:hint="eastAsia" w:ascii="宋体" w:hAnsi="宋体" w:eastAsia="宋体"/>
          <w:color w:val="auto"/>
          <w:sz w:val="24"/>
          <w:szCs w:val="24"/>
          <w:highlight w:val="none"/>
          <w:lang w:eastAsia="zh-CN"/>
        </w:rPr>
        <w:t>渤银理财财收有略系列固定收益类（创合款）二年封闭式理财产品</w:t>
      </w:r>
      <w:r>
        <w:rPr>
          <w:rFonts w:hint="eastAsia" w:ascii="宋体" w:hAnsi="宋体" w:eastAsia="宋体"/>
          <w:color w:val="auto"/>
          <w:sz w:val="24"/>
          <w:szCs w:val="24"/>
          <w:highlight w:val="none"/>
          <w:lang w:eastAsia="zh-CN"/>
        </w:rPr>
        <w:t>2026年8号</w:t>
      </w:r>
      <w:r>
        <w:rPr>
          <w:rFonts w:hint="eastAsia" w:ascii="宋体" w:hAnsi="宋体" w:eastAsia="宋体"/>
          <w:color w:val="auto"/>
          <w:sz w:val="24"/>
          <w:szCs w:val="24"/>
          <w:highlight w:val="none"/>
        </w:rPr>
        <w:t>产品说明书</w:t>
      </w:r>
      <w:r>
        <w:rPr>
          <w:rFonts w:ascii="宋体" w:hAnsi="宋体" w:eastAsia="宋体"/>
          <w:color w:val="auto"/>
          <w:sz w:val="24"/>
          <w:szCs w:val="24"/>
          <w:highlight w:val="none"/>
        </w:rPr>
        <w:t>》，以</w:t>
      </w:r>
      <w:r>
        <w:rPr>
          <w:rFonts w:hint="eastAsia" w:ascii="宋体" w:hAnsi="宋体" w:eastAsia="宋体"/>
          <w:color w:val="auto"/>
          <w:sz w:val="24"/>
          <w:szCs w:val="24"/>
          <w:highlight w:val="none"/>
        </w:rPr>
        <w:t>及对该文件的有效修改或补充。</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《风险揭示书》：指作为</w:t>
      </w:r>
      <w:r>
        <w:rPr>
          <w:rFonts w:hint="eastAsia" w:ascii="宋体" w:hAnsi="宋体" w:eastAsia="宋体"/>
          <w:color w:val="auto"/>
          <w:sz w:val="24"/>
          <w:szCs w:val="24"/>
          <w:highlight w:val="none"/>
        </w:rPr>
        <w:t>该产品</w:t>
      </w:r>
      <w:r>
        <w:rPr>
          <w:rFonts w:ascii="宋体" w:hAnsi="宋体" w:eastAsia="宋体"/>
          <w:color w:val="auto"/>
          <w:sz w:val="24"/>
          <w:szCs w:val="24"/>
          <w:highlight w:val="none"/>
        </w:rPr>
        <w:t>销售文件不可分</w:t>
      </w:r>
      <w:r>
        <w:rPr>
          <w:rFonts w:hint="eastAsia" w:ascii="宋体" w:hAnsi="宋体" w:eastAsia="宋体"/>
          <w:color w:val="auto"/>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《投资协议书》：指由投资者和管理人签署的，作为</w:t>
      </w:r>
      <w:r>
        <w:rPr>
          <w:rFonts w:hint="eastAsia" w:ascii="宋体" w:hAnsi="宋体" w:eastAsia="宋体"/>
          <w:color w:val="auto"/>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《理财产品（代理）销售协议书》：指由投资者和</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.《投资者权益须知》：指由产品管理人统一编制的或销售服务机构接受产品管理人委托自行编制的，</w:t>
      </w:r>
      <w:r>
        <w:rPr>
          <w:rFonts w:ascii="宋体" w:hAnsi="宋体" w:eastAsia="宋体"/>
          <w:color w:val="auto"/>
          <w:sz w:val="24"/>
          <w:szCs w:val="24"/>
          <w:highlight w:val="none"/>
        </w:rPr>
        <w:t>作为该产品销售文件不可分割组成部分的</w:t>
      </w:r>
      <w:r>
        <w:rPr>
          <w:rFonts w:hint="eastAsia" w:ascii="宋体" w:hAnsi="宋体" w:eastAsia="宋体"/>
          <w:color w:val="auto"/>
          <w:sz w:val="24"/>
          <w:szCs w:val="24"/>
          <w:highlight w:val="none"/>
        </w:rPr>
        <w:t>投资者权益须知</w:t>
      </w:r>
      <w:r>
        <w:rPr>
          <w:rFonts w:ascii="宋体" w:hAnsi="宋体" w:eastAsia="宋体"/>
          <w:color w:val="auto"/>
          <w:sz w:val="24"/>
          <w:szCs w:val="24"/>
          <w:highlight w:val="none"/>
        </w:rPr>
        <w:t>，以及对该文件的有效修改或补充。</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销售文件：指《理财产品说明书》《风险揭示书》《投资协议书》以及《</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（代</w:t>
      </w:r>
      <w:r>
        <w:rPr>
          <w:rFonts w:hint="eastAsia" w:ascii="宋体" w:hAnsi="宋体" w:eastAsia="宋体"/>
          <w:color w:val="auto"/>
          <w:sz w:val="24"/>
          <w:szCs w:val="24"/>
          <w:highlight w:val="none"/>
        </w:rPr>
        <w:t>理）销售协议书》和《投资者权益须知》。</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（三）理财产品用语</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理财</w:t>
      </w:r>
      <w:r>
        <w:rPr>
          <w:rFonts w:hint="eastAsia" w:ascii="宋体" w:hAnsi="宋体" w:eastAsia="宋体"/>
          <w:color w:val="auto"/>
          <w:sz w:val="24"/>
          <w:szCs w:val="24"/>
          <w:highlight w:val="none"/>
        </w:rPr>
        <w:t>信息</w:t>
      </w:r>
      <w:r>
        <w:rPr>
          <w:rFonts w:ascii="宋体" w:hAnsi="宋体" w:eastAsia="宋体"/>
          <w:color w:val="auto"/>
          <w:sz w:val="24"/>
          <w:szCs w:val="24"/>
          <w:highlight w:val="none"/>
        </w:rPr>
        <w:t>登记</w:t>
      </w:r>
      <w:r>
        <w:rPr>
          <w:rFonts w:hint="eastAsia" w:ascii="宋体" w:hAnsi="宋体" w:eastAsia="宋体"/>
          <w:color w:val="auto"/>
          <w:sz w:val="24"/>
          <w:szCs w:val="24"/>
          <w:highlight w:val="none"/>
        </w:rPr>
        <w:t>系统</w:t>
      </w:r>
      <w:r>
        <w:rPr>
          <w:rFonts w:ascii="宋体" w:hAnsi="宋体" w:eastAsia="宋体"/>
          <w:color w:val="auto"/>
          <w:sz w:val="24"/>
          <w:szCs w:val="24"/>
          <w:highlight w:val="none"/>
        </w:rPr>
        <w:t>编码：指本理财产品在全国银行业理财信息登记系统对</w:t>
      </w:r>
      <w:r>
        <w:rPr>
          <w:rFonts w:hint="eastAsia" w:ascii="宋体" w:hAnsi="宋体" w:eastAsia="宋体"/>
          <w:color w:val="auto"/>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color w:val="auto"/>
          <w:sz w:val="24"/>
          <w:szCs w:val="24"/>
          <w:highlight w:val="none"/>
        </w:rPr>
        <w:t>）查询产</w:t>
      </w:r>
      <w:r>
        <w:rPr>
          <w:rFonts w:hint="eastAsia" w:ascii="宋体" w:hAnsi="宋体" w:eastAsia="宋体"/>
          <w:color w:val="auto"/>
          <w:sz w:val="24"/>
          <w:szCs w:val="24"/>
          <w:highlight w:val="none"/>
        </w:rPr>
        <w:t>品信息。</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理财产品代码/产品代码：指产品管理人在全国银行业理财信息登记系统</w:t>
      </w:r>
      <w:r>
        <w:rPr>
          <w:rFonts w:hint="eastAsia" w:ascii="宋体" w:hAnsi="宋体" w:eastAsia="宋体"/>
          <w:color w:val="auto"/>
          <w:sz w:val="24"/>
          <w:szCs w:val="24"/>
          <w:highlight w:val="none"/>
        </w:rPr>
        <w:t>中为本理财产品设置的内部识别码。</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color w:val="auto"/>
          <w:sz w:val="24"/>
          <w:szCs w:val="24"/>
          <w:highlight w:val="none"/>
        </w:rPr>
        <w:t>理财产品份额四舍五入保留2</w:t>
      </w:r>
      <w:r>
        <w:rPr>
          <w:rFonts w:ascii="宋体" w:hAnsi="宋体" w:eastAsia="宋体"/>
          <w:color w:val="auto"/>
          <w:sz w:val="24"/>
          <w:szCs w:val="24"/>
          <w:highlight w:val="none"/>
        </w:rPr>
        <w:t>位小数。</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产品销售名称</w:t>
      </w:r>
      <w:r>
        <w:rPr>
          <w:rFonts w:hint="eastAsia" w:ascii="宋体" w:hAnsi="宋体" w:eastAsia="宋体" w:cs="宋体"/>
          <w:color w:val="auto"/>
          <w:sz w:val="24"/>
          <w:szCs w:val="24"/>
          <w:highlight w:val="none"/>
        </w:rPr>
        <w:t>/销售名称</w:t>
      </w:r>
      <w:r>
        <w:rPr>
          <w:rFonts w:ascii="宋体" w:hAnsi="宋体" w:eastAsia="宋体" w:cs="宋体"/>
          <w:color w:val="auto"/>
          <w:sz w:val="24"/>
          <w:szCs w:val="24"/>
          <w:highlight w:val="none"/>
        </w:rPr>
        <w:t>：指本理财产品</w:t>
      </w:r>
      <w:r>
        <w:rPr>
          <w:rFonts w:hint="eastAsia" w:ascii="宋体" w:hAnsi="宋体" w:eastAsia="宋体" w:cs="宋体"/>
          <w:color w:val="auto"/>
          <w:sz w:val="24"/>
          <w:szCs w:val="24"/>
          <w:highlight w:val="none"/>
        </w:rPr>
        <w:t>若设置</w:t>
      </w:r>
      <w:r>
        <w:rPr>
          <w:rFonts w:ascii="宋体" w:hAnsi="宋体" w:eastAsia="宋体" w:cs="宋体"/>
          <w:color w:val="auto"/>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理财产品销售代码/销售代码：指本理财产品若设置不同产品份额类</w:t>
      </w:r>
      <w:r>
        <w:rPr>
          <w:rFonts w:hint="eastAsia" w:ascii="宋体" w:hAnsi="宋体" w:eastAsia="宋体"/>
          <w:color w:val="auto"/>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理财产品风险等级：理财产品风险等级为产品管理人和</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经过审</w:t>
      </w:r>
      <w:r>
        <w:rPr>
          <w:rFonts w:hint="eastAsia" w:ascii="宋体" w:hAnsi="宋体" w:eastAsia="宋体"/>
          <w:color w:val="auto"/>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color w:val="auto"/>
          <w:sz w:val="24"/>
          <w:szCs w:val="24"/>
          <w:highlight w:val="none"/>
        </w:rPr>
        <w:t>应当采用对应较高风险等级的评级结果并予以披露</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投资者风险承受能力评估：指</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对理财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投资者的风险承受能力进</w:t>
      </w:r>
      <w:r>
        <w:rPr>
          <w:rFonts w:hint="eastAsia" w:ascii="宋体" w:hAnsi="宋体" w:eastAsia="宋体"/>
          <w:color w:val="auto"/>
          <w:sz w:val="24"/>
          <w:szCs w:val="24"/>
          <w:highlight w:val="none"/>
        </w:rPr>
        <w:t>行评价的过程。</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适合投资者：指适合购买</w:t>
      </w:r>
      <w:r>
        <w:rPr>
          <w:rFonts w:hint="eastAsia" w:ascii="宋体" w:hAnsi="宋体" w:eastAsia="宋体"/>
          <w:color w:val="auto"/>
          <w:sz w:val="24"/>
          <w:szCs w:val="24"/>
          <w:highlight w:val="none"/>
        </w:rPr>
        <w:t>本</w:t>
      </w:r>
      <w:r>
        <w:rPr>
          <w:rFonts w:ascii="宋体" w:hAnsi="宋体" w:eastAsia="宋体"/>
          <w:color w:val="auto"/>
          <w:sz w:val="24"/>
          <w:szCs w:val="24"/>
          <w:highlight w:val="none"/>
        </w:rPr>
        <w:t>理财产品的投资者类型。</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w:t>
      </w:r>
      <w:r>
        <w:rPr>
          <w:rFonts w:ascii="宋体" w:hAnsi="宋体" w:eastAsia="宋体"/>
          <w:color w:val="auto"/>
          <w:sz w:val="24"/>
          <w:szCs w:val="24"/>
          <w:highlight w:val="none"/>
        </w:rPr>
        <w:t>理财产品资产净值/理财资产净值/产品资产净值：理财产品资产净值=理</w:t>
      </w:r>
      <w:r>
        <w:rPr>
          <w:rFonts w:hint="eastAsia" w:ascii="宋体" w:hAnsi="宋体" w:eastAsia="宋体"/>
          <w:color w:val="auto"/>
          <w:sz w:val="24"/>
          <w:szCs w:val="24"/>
          <w:highlight w:val="none"/>
        </w:rPr>
        <w:t>财产品资产总值</w:t>
      </w:r>
      <w:r>
        <w:rPr>
          <w:rFonts w:ascii="宋体" w:hAnsi="宋体" w:eastAsia="宋体"/>
          <w:color w:val="auto"/>
          <w:sz w:val="24"/>
          <w:szCs w:val="24"/>
          <w:highlight w:val="none"/>
        </w:rPr>
        <w:t>-理财产品负债总值。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理财产品负债总值是指理财产品运作及融资时形成的负债价值总和，包括融资资金本息、</w:t>
      </w:r>
      <w:r>
        <w:rPr>
          <w:rFonts w:hint="eastAsia" w:ascii="宋体" w:hAnsi="宋体" w:eastAsia="宋体"/>
          <w:b/>
          <w:bCs/>
          <w:color w:val="auto"/>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w:t>
      </w:r>
      <w:r>
        <w:rPr>
          <w:rFonts w:ascii="宋体" w:hAnsi="宋体" w:eastAsia="宋体"/>
          <w:color w:val="auto"/>
          <w:sz w:val="24"/>
          <w:szCs w:val="24"/>
          <w:highlight w:val="none"/>
        </w:rPr>
        <w:t>理财产品份额净值/理财份额净值/产品份额净值：指理财产品份额的单</w:t>
      </w:r>
      <w:r>
        <w:rPr>
          <w:rFonts w:hint="eastAsia" w:ascii="宋体" w:hAnsi="宋体" w:eastAsia="宋体"/>
          <w:color w:val="auto"/>
          <w:sz w:val="24"/>
          <w:szCs w:val="24"/>
          <w:highlight w:val="none"/>
        </w:rPr>
        <w:t>位净值，即每</w:t>
      </w:r>
      <w:r>
        <w:rPr>
          <w:rFonts w:ascii="宋体" w:hAnsi="宋体" w:eastAsia="宋体"/>
          <w:color w:val="auto"/>
          <w:sz w:val="24"/>
          <w:szCs w:val="24"/>
          <w:highlight w:val="none"/>
        </w:rPr>
        <w:t>1份理财产品份额以人民币计价的价格。理财产品份额净值=理财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资</w:t>
      </w:r>
      <w:r>
        <w:rPr>
          <w:rFonts w:hint="eastAsia" w:ascii="宋体" w:hAnsi="宋体" w:eastAsia="宋体"/>
          <w:color w:val="auto"/>
          <w:sz w:val="24"/>
          <w:szCs w:val="24"/>
          <w:highlight w:val="none"/>
        </w:rPr>
        <w:t>产净值</w:t>
      </w:r>
      <w:r>
        <w:rPr>
          <w:rFonts w:ascii="宋体" w:hAnsi="宋体" w:eastAsia="宋体"/>
          <w:color w:val="auto"/>
          <w:sz w:val="24"/>
          <w:szCs w:val="24"/>
          <w:highlight w:val="none"/>
        </w:rPr>
        <w:t>/</w:t>
      </w:r>
      <w:r>
        <w:rPr>
          <w:rFonts w:hint="eastAsia" w:ascii="宋体" w:hAnsi="宋体" w:cs="宋体"/>
          <w:color w:val="auto"/>
          <w:sz w:val="24"/>
          <w:highlight w:val="none"/>
          <w:lang w:bidi="ar"/>
        </w:rPr>
        <w:t>理财</w:t>
      </w:r>
      <w:r>
        <w:rPr>
          <w:rFonts w:ascii="宋体" w:hAnsi="宋体" w:eastAsia="宋体"/>
          <w:color w:val="auto"/>
          <w:sz w:val="24"/>
          <w:szCs w:val="24"/>
          <w:highlight w:val="none"/>
        </w:rPr>
        <w:t>产品</w:t>
      </w:r>
      <w:r>
        <w:rPr>
          <w:rFonts w:hint="eastAsia" w:ascii="宋体" w:hAnsi="宋体" w:eastAsia="宋体"/>
          <w:color w:val="auto"/>
          <w:sz w:val="24"/>
          <w:szCs w:val="24"/>
          <w:highlight w:val="none"/>
        </w:rPr>
        <w:t>份额数</w:t>
      </w:r>
      <w:r>
        <w:rPr>
          <w:rFonts w:ascii="宋体" w:hAnsi="宋体" w:eastAsia="宋体"/>
          <w:color w:val="auto"/>
          <w:sz w:val="24"/>
          <w:szCs w:val="24"/>
          <w:highlight w:val="none"/>
        </w:rPr>
        <w:t>。投资者按该份额净值进行理财产品申购、赎回</w:t>
      </w:r>
      <w:r>
        <w:rPr>
          <w:rFonts w:hint="eastAsia" w:ascii="宋体" w:hAnsi="宋体" w:eastAsia="宋体"/>
          <w:color w:val="auto"/>
          <w:sz w:val="24"/>
          <w:szCs w:val="24"/>
          <w:highlight w:val="none"/>
        </w:rPr>
        <w:t>。理财产品份额净值四舍五入保留6</w:t>
      </w:r>
      <w:r>
        <w:rPr>
          <w:rFonts w:ascii="宋体" w:hAnsi="宋体" w:eastAsia="宋体"/>
          <w:color w:val="auto"/>
          <w:sz w:val="24"/>
          <w:szCs w:val="24"/>
          <w:highlight w:val="none"/>
        </w:rPr>
        <w:t>位小数。</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理财产品份额净值可以展示为</w:t>
      </w:r>
      <w:r>
        <w:rPr>
          <w:rFonts w:hint="eastAsia" w:ascii="宋体" w:hAnsi="宋体" w:eastAsia="宋体"/>
          <w:b/>
          <w:bCs/>
          <w:color w:val="auto"/>
          <w:sz w:val="24"/>
          <w:szCs w:val="24"/>
          <w:highlight w:val="none"/>
        </w:rPr>
        <w:t>当前理财产品份额净值</w:t>
      </w:r>
      <w:r>
        <w:rPr>
          <w:rFonts w:hint="eastAsia" w:ascii="宋体" w:hAnsi="宋体" w:eastAsia="宋体"/>
          <w:color w:val="auto"/>
          <w:sz w:val="24"/>
          <w:szCs w:val="24"/>
          <w:highlight w:val="none"/>
        </w:rPr>
        <w:t>和</w:t>
      </w:r>
      <w:r>
        <w:rPr>
          <w:rFonts w:hint="eastAsia" w:ascii="宋体" w:hAnsi="宋体" w:eastAsia="宋体"/>
          <w:b/>
          <w:bCs/>
          <w:color w:val="auto"/>
          <w:sz w:val="24"/>
          <w:szCs w:val="24"/>
          <w:highlight w:val="none"/>
        </w:rPr>
        <w:t>理财产品累计份额净值</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当前理财产品份额净值，指产品当前的份额净值。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b/>
          <w:bCs/>
          <w:color w:val="auto"/>
          <w:sz w:val="24"/>
          <w:szCs w:val="24"/>
          <w:highlight w:val="none"/>
        </w:rPr>
        <w:t>若无特别说明，理财产品份额净值通常指当前理财产品份额净值</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w:t>
      </w:r>
      <w:r>
        <w:rPr>
          <w:rFonts w:ascii="宋体" w:hAnsi="宋体" w:eastAsia="宋体"/>
          <w:color w:val="auto"/>
          <w:sz w:val="24"/>
          <w:szCs w:val="24"/>
          <w:highlight w:val="none"/>
        </w:rPr>
        <w:t>理财产品估值：指计算评估理财产品资产和理财产品负债的价值，以确</w:t>
      </w:r>
      <w:r>
        <w:rPr>
          <w:rFonts w:hint="eastAsia" w:ascii="宋体" w:hAnsi="宋体" w:eastAsia="宋体"/>
          <w:color w:val="auto"/>
          <w:sz w:val="24"/>
          <w:szCs w:val="24"/>
          <w:highlight w:val="none"/>
        </w:rPr>
        <w:t>定理财产品份额净值的过程。</w:t>
      </w:r>
    </w:p>
    <w:p>
      <w:pPr>
        <w:spacing w:line="300" w:lineRule="auto"/>
        <w:ind w:firstLine="480" w:firstLineChars="20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13.</w:t>
      </w:r>
      <w:r>
        <w:rPr>
          <w:rFonts w:ascii="宋体" w:hAnsi="宋体" w:eastAsia="宋体"/>
          <w:color w:val="auto"/>
          <w:sz w:val="24"/>
          <w:szCs w:val="24"/>
          <w:highlight w:val="none"/>
        </w:rPr>
        <w:t>业绩比较基准：指管理人综合考虑市场环境、产品性质、投资策略、</w:t>
      </w:r>
      <w:r>
        <w:rPr>
          <w:rFonts w:hint="eastAsia" w:ascii="宋体" w:hAnsi="宋体" w:eastAsia="宋体"/>
          <w:color w:val="auto"/>
          <w:sz w:val="24"/>
          <w:szCs w:val="24"/>
          <w:highlight w:val="none"/>
        </w:rPr>
        <w:t>过往表现等因素，对理财产品设置的投资目标和相关解释说明。</w:t>
      </w:r>
      <w:r>
        <w:rPr>
          <w:rFonts w:hint="eastAsia" w:ascii="宋体" w:hAnsi="宋体" w:eastAsia="宋体"/>
          <w:b/>
          <w:bCs/>
          <w:color w:val="auto"/>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14.超额</w:t>
      </w:r>
      <w:r>
        <w:rPr>
          <w:rFonts w:ascii="宋体" w:hAnsi="宋体" w:eastAsia="宋体"/>
          <w:color w:val="auto"/>
          <w:sz w:val="24"/>
          <w:szCs w:val="24"/>
          <w:highlight w:val="none"/>
        </w:rPr>
        <w:t>业绩报酬计提基准：指管理人收取超额业绩报酬参照</w:t>
      </w:r>
      <w:r>
        <w:rPr>
          <w:rFonts w:hint="eastAsia" w:ascii="宋体" w:hAnsi="宋体" w:eastAsia="宋体"/>
          <w:color w:val="auto"/>
          <w:sz w:val="24"/>
          <w:szCs w:val="24"/>
          <w:highlight w:val="none"/>
        </w:rPr>
        <w:t>的</w:t>
      </w:r>
      <w:r>
        <w:rPr>
          <w:rFonts w:ascii="宋体" w:hAnsi="宋体" w:eastAsia="宋体"/>
          <w:color w:val="auto"/>
          <w:sz w:val="24"/>
          <w:szCs w:val="24"/>
          <w:highlight w:val="none"/>
        </w:rPr>
        <w:t>相关数值标</w:t>
      </w:r>
      <w:r>
        <w:rPr>
          <w:rFonts w:hint="eastAsia" w:ascii="宋体" w:hAnsi="宋体" w:eastAsia="宋体"/>
          <w:color w:val="auto"/>
          <w:sz w:val="24"/>
          <w:szCs w:val="24"/>
          <w:highlight w:val="none"/>
        </w:rPr>
        <w:t>准。</w:t>
      </w:r>
      <w:r>
        <w:rPr>
          <w:rFonts w:hint="eastAsia" w:ascii="宋体" w:hAnsi="宋体" w:eastAsia="宋体"/>
          <w:b/>
          <w:bCs/>
          <w:color w:val="auto"/>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15.</w:t>
      </w:r>
      <w:r>
        <w:rPr>
          <w:rFonts w:ascii="宋体" w:hAnsi="宋体" w:eastAsia="宋体"/>
          <w:color w:val="auto"/>
          <w:sz w:val="24"/>
          <w:szCs w:val="24"/>
          <w:highlight w:val="none"/>
        </w:rPr>
        <w:t>理财产品利益/理财利益：指投资者因持有理财产品份额，按照销售</w:t>
      </w:r>
      <w:r>
        <w:rPr>
          <w:rFonts w:hint="eastAsia" w:ascii="宋体" w:hAnsi="宋体" w:eastAsia="宋体"/>
          <w:color w:val="auto"/>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18.</w:t>
      </w:r>
      <w:r>
        <w:rPr>
          <w:rFonts w:ascii="宋体" w:hAnsi="宋体" w:eastAsia="宋体"/>
          <w:color w:val="auto"/>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w:t>
      </w:r>
      <w:r>
        <w:rPr>
          <w:rFonts w:ascii="宋体" w:hAnsi="宋体" w:eastAsia="宋体"/>
          <w:color w:val="auto"/>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20.</w:t>
      </w:r>
      <w:r>
        <w:rPr>
          <w:rFonts w:ascii="宋体" w:hAnsi="宋体" w:eastAsia="宋体"/>
          <w:color w:val="auto"/>
          <w:sz w:val="24"/>
          <w:szCs w:val="24"/>
          <w:highlight w:val="none"/>
        </w:rPr>
        <w:t>认购：指投资者根据本销售文件约定在</w:t>
      </w:r>
      <w:r>
        <w:rPr>
          <w:rFonts w:hint="eastAsia" w:ascii="宋体" w:hAnsi="宋体" w:eastAsia="宋体"/>
          <w:color w:val="auto"/>
          <w:sz w:val="24"/>
          <w:szCs w:val="24"/>
          <w:highlight w:val="none"/>
        </w:rPr>
        <w:t>认购期</w:t>
      </w:r>
      <w:r>
        <w:rPr>
          <w:rFonts w:ascii="宋体" w:hAnsi="宋体" w:eastAsia="宋体"/>
          <w:color w:val="auto"/>
          <w:sz w:val="24"/>
          <w:szCs w:val="24"/>
          <w:highlight w:val="none"/>
        </w:rPr>
        <w:t>内申请购买理财</w:t>
      </w:r>
      <w:r>
        <w:rPr>
          <w:rFonts w:hint="eastAsia" w:ascii="宋体" w:hAnsi="宋体" w:eastAsia="宋体"/>
          <w:color w:val="auto"/>
          <w:sz w:val="24"/>
          <w:szCs w:val="24"/>
          <w:highlight w:val="none"/>
        </w:rPr>
        <w:t>产品份额的行为。</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w:t>
      </w:r>
      <w:r>
        <w:rPr>
          <w:rFonts w:ascii="宋体" w:hAnsi="宋体" w:eastAsia="宋体"/>
          <w:color w:val="auto"/>
          <w:sz w:val="24"/>
          <w:szCs w:val="24"/>
          <w:highlight w:val="none"/>
        </w:rPr>
        <w:t>申购：指开放式理财产品成立后，投资者申请购买理财产品份额的行</w:t>
      </w:r>
      <w:r>
        <w:rPr>
          <w:rFonts w:hint="eastAsia" w:ascii="宋体" w:hAnsi="宋体" w:eastAsia="宋体"/>
          <w:color w:val="auto"/>
          <w:sz w:val="24"/>
          <w:szCs w:val="24"/>
          <w:highlight w:val="none"/>
        </w:rPr>
        <w:t>为。</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2</w:t>
      </w:r>
      <w:r>
        <w:rPr>
          <w:rFonts w:ascii="宋体" w:hAnsi="宋体" w:eastAsia="宋体"/>
          <w:color w:val="auto"/>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3</w:t>
      </w:r>
      <w:r>
        <w:rPr>
          <w:rFonts w:ascii="宋体" w:hAnsi="宋体" w:eastAsia="宋体"/>
          <w:color w:val="auto"/>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4</w:t>
      </w:r>
      <w:r>
        <w:rPr>
          <w:rFonts w:ascii="宋体" w:hAnsi="宋体" w:eastAsia="宋体"/>
          <w:color w:val="auto"/>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5</w:t>
      </w:r>
      <w:r>
        <w:rPr>
          <w:rFonts w:ascii="宋体" w:hAnsi="宋体" w:eastAsia="宋体"/>
          <w:color w:val="auto"/>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（四）期间与日期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日：指自然日。</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交易日：</w:t>
      </w:r>
      <w:r>
        <w:rPr>
          <w:rFonts w:hint="eastAsia" w:ascii="宋体" w:hAnsi="宋体" w:eastAsia="宋体"/>
          <w:color w:val="auto"/>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工作日：指国家法定工作日。</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成立日：指理财产品开始运作的日期。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终止日：指理财产品终止的日期。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分配基准日：指本产品管理人以该日日终产品份额净值计算并确定可供</w:t>
      </w:r>
      <w:r>
        <w:rPr>
          <w:rFonts w:hint="eastAsia" w:ascii="宋体" w:hAnsi="宋体" w:eastAsia="宋体"/>
          <w:color w:val="auto"/>
          <w:sz w:val="24"/>
          <w:szCs w:val="24"/>
          <w:highlight w:val="none"/>
        </w:rPr>
        <w:t>分配的投资期间理财利益的日期。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9.认购期</w:t>
      </w:r>
      <w:r>
        <w:rPr>
          <w:rFonts w:ascii="宋体" w:hAnsi="宋体" w:eastAsia="宋体"/>
          <w:color w:val="auto"/>
          <w:sz w:val="24"/>
          <w:szCs w:val="24"/>
          <w:highlight w:val="none"/>
        </w:rPr>
        <w:t>：指理财产品成立前，理财产品管理人接受理财产品认购的时</w:t>
      </w:r>
      <w:r>
        <w:rPr>
          <w:rFonts w:hint="eastAsia" w:ascii="宋体" w:hAnsi="宋体" w:eastAsia="宋体"/>
          <w:color w:val="auto"/>
          <w:sz w:val="24"/>
          <w:szCs w:val="24"/>
          <w:highlight w:val="none"/>
        </w:rPr>
        <w:t>间。</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持有期：指自产品成立日/申购确认日起，投资者持有该产品份额的期</w:t>
      </w:r>
      <w:r>
        <w:rPr>
          <w:rFonts w:hint="eastAsia" w:ascii="宋体" w:hAnsi="宋体" w:eastAsia="宋体"/>
          <w:color w:val="auto"/>
          <w:sz w:val="24"/>
          <w:szCs w:val="24"/>
          <w:highlight w:val="none"/>
        </w:rPr>
        <w:t>间。</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w:t>
      </w:r>
      <w:r>
        <w:rPr>
          <w:rFonts w:ascii="宋体" w:hAnsi="宋体" w:eastAsia="宋体"/>
          <w:color w:val="auto"/>
          <w:sz w:val="24"/>
          <w:szCs w:val="24"/>
          <w:highlight w:val="none"/>
        </w:rPr>
        <w:t>清算期：指自本理财产品终止日至投资者理财利益到账日之间的期间</w:t>
      </w:r>
      <w:r>
        <w:rPr>
          <w:rFonts w:hint="eastAsia" w:ascii="宋体" w:hAnsi="宋体" w:eastAsia="宋体"/>
          <w:color w:val="auto"/>
          <w:sz w:val="24"/>
          <w:szCs w:val="24"/>
          <w:highlight w:val="none"/>
        </w:rPr>
        <w:t>。</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（五）费用</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ascii="宋体" w:hAnsi="宋体" w:eastAsia="宋体"/>
          <w:b/>
          <w:bCs/>
          <w:color w:val="auto"/>
          <w:sz w:val="24"/>
          <w:szCs w:val="24"/>
          <w:highlight w:val="none"/>
        </w:rPr>
        <w:t>认购费：指投资者认购产品时需缴纳的费用。</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2.申购费：指投资者申购产品时需缴纳的费用。</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3.赎回费：指投资者赎回产品时需缴纳的费用。</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4</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销售服务费：指因理财产品销售行为产生</w:t>
      </w:r>
      <w:r>
        <w:rPr>
          <w:rFonts w:hint="eastAsia" w:ascii="宋体" w:hAnsi="宋体" w:eastAsia="宋体"/>
          <w:b/>
          <w:bCs/>
          <w:color w:val="auto"/>
          <w:sz w:val="24"/>
          <w:szCs w:val="24"/>
          <w:highlight w:val="none"/>
        </w:rPr>
        <w:t>，销售服务机构所收取</w:t>
      </w:r>
      <w:r>
        <w:rPr>
          <w:rFonts w:ascii="宋体" w:hAnsi="宋体" w:eastAsia="宋体"/>
          <w:b/>
          <w:bCs/>
          <w:color w:val="auto"/>
          <w:sz w:val="24"/>
          <w:szCs w:val="24"/>
          <w:highlight w:val="none"/>
        </w:rPr>
        <w:t>的费用。</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5</w:t>
      </w:r>
      <w:r>
        <w:rPr>
          <w:rFonts w:hint="eastAsia" w:ascii="宋体" w:hAnsi="宋体" w:eastAsia="宋体"/>
          <w:b/>
          <w:bCs/>
          <w:color w:val="auto"/>
          <w:sz w:val="24"/>
          <w:szCs w:val="24"/>
          <w:highlight w:val="none"/>
        </w:rPr>
        <w:t>.固定管理费</w:t>
      </w:r>
      <w:r>
        <w:rPr>
          <w:rFonts w:ascii="宋体" w:hAnsi="宋体" w:eastAsia="宋体"/>
          <w:b/>
          <w:bCs/>
          <w:color w:val="auto"/>
          <w:sz w:val="24"/>
          <w:szCs w:val="24"/>
          <w:highlight w:val="none"/>
        </w:rPr>
        <w:t>：指因理财产品投资管理产生</w:t>
      </w:r>
      <w:r>
        <w:rPr>
          <w:rFonts w:hint="eastAsia" w:ascii="宋体" w:hAnsi="宋体" w:eastAsia="宋体"/>
          <w:b/>
          <w:bCs/>
          <w:color w:val="auto"/>
          <w:sz w:val="24"/>
          <w:szCs w:val="24"/>
          <w:highlight w:val="none"/>
        </w:rPr>
        <w:t>，管理人所收取</w:t>
      </w:r>
      <w:r>
        <w:rPr>
          <w:rFonts w:ascii="宋体" w:hAnsi="宋体" w:eastAsia="宋体"/>
          <w:b/>
          <w:bCs/>
          <w:color w:val="auto"/>
          <w:sz w:val="24"/>
          <w:szCs w:val="24"/>
          <w:highlight w:val="none"/>
        </w:rPr>
        <w:t>的费用。</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6</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托管费：指因理财产品进行托管产生</w:t>
      </w:r>
      <w:r>
        <w:rPr>
          <w:rFonts w:hint="eastAsia" w:ascii="宋体" w:hAnsi="宋体" w:eastAsia="宋体"/>
          <w:b/>
          <w:bCs/>
          <w:color w:val="auto"/>
          <w:sz w:val="24"/>
          <w:szCs w:val="24"/>
          <w:highlight w:val="none"/>
        </w:rPr>
        <w:t>，托管人收取</w:t>
      </w:r>
      <w:r>
        <w:rPr>
          <w:rFonts w:ascii="宋体" w:hAnsi="宋体" w:eastAsia="宋体"/>
          <w:b/>
          <w:bCs/>
          <w:color w:val="auto"/>
          <w:sz w:val="24"/>
          <w:szCs w:val="24"/>
          <w:highlight w:val="none"/>
        </w:rPr>
        <w:t>的费用。</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7</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超额业绩报酬/业绩报酬：指产品管理人依照理财产品销售文件约定规</w:t>
      </w:r>
      <w:r>
        <w:rPr>
          <w:rFonts w:hint="eastAsia" w:ascii="宋体" w:hAnsi="宋体" w:eastAsia="宋体"/>
          <w:b/>
          <w:bCs/>
          <w:color w:val="auto"/>
          <w:sz w:val="24"/>
          <w:szCs w:val="24"/>
          <w:highlight w:val="none"/>
        </w:rPr>
        <w:t>则收取的浮动性质的管理费用。</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（六）其它</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A</w:t>
      </w:r>
      <w:r>
        <w:rPr>
          <w:rFonts w:hint="eastAsia" w:ascii="宋体" w:hAnsi="宋体" w:eastAsia="宋体"/>
          <w:color w:val="auto"/>
          <w:sz w:val="24"/>
          <w:szCs w:val="24"/>
          <w:highlight w:val="none"/>
        </w:rPr>
        <w:t>.</w:t>
      </w:r>
      <w:r>
        <w:rPr>
          <w:rFonts w:ascii="宋体" w:hAnsi="宋体" w:eastAsia="宋体"/>
          <w:color w:val="auto"/>
          <w:sz w:val="24"/>
          <w:szCs w:val="24"/>
          <w:highlight w:val="none"/>
        </w:rPr>
        <w:t>地震、台风、海啸、洪水、火灾、停电、瘟疫；</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B</w:t>
      </w:r>
      <w:r>
        <w:rPr>
          <w:rFonts w:hint="eastAsia" w:ascii="宋体" w:hAnsi="宋体" w:eastAsia="宋体"/>
          <w:color w:val="auto"/>
          <w:sz w:val="24"/>
          <w:szCs w:val="24"/>
          <w:highlight w:val="none"/>
        </w:rPr>
        <w:t>.</w:t>
      </w:r>
      <w:r>
        <w:rPr>
          <w:rFonts w:ascii="宋体" w:hAnsi="宋体" w:eastAsia="宋体"/>
          <w:color w:val="auto"/>
          <w:sz w:val="24"/>
          <w:szCs w:val="24"/>
          <w:highlight w:val="none"/>
        </w:rPr>
        <w:t>战争、政变、恐怖主义行动、骚乱、罢工；</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C</w:t>
      </w:r>
      <w:r>
        <w:rPr>
          <w:rFonts w:hint="eastAsia" w:ascii="宋体" w:hAnsi="宋体" w:eastAsia="宋体"/>
          <w:color w:val="auto"/>
          <w:sz w:val="24"/>
          <w:szCs w:val="24"/>
          <w:highlight w:val="none"/>
        </w:rPr>
        <w:t>.</w:t>
      </w:r>
      <w:r>
        <w:rPr>
          <w:rFonts w:ascii="宋体" w:hAnsi="宋体" w:eastAsia="宋体"/>
          <w:color w:val="auto"/>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D</w:t>
      </w:r>
      <w:r>
        <w:rPr>
          <w:rFonts w:hint="eastAsia" w:ascii="宋体" w:hAnsi="宋体" w:eastAsia="宋体"/>
          <w:color w:val="auto"/>
          <w:sz w:val="24"/>
          <w:szCs w:val="24"/>
          <w:highlight w:val="none"/>
        </w:rPr>
        <w:t>.</w:t>
      </w:r>
      <w:r>
        <w:rPr>
          <w:rFonts w:ascii="宋体" w:hAnsi="宋体" w:eastAsia="宋体"/>
          <w:color w:val="auto"/>
          <w:sz w:val="24"/>
          <w:szCs w:val="24"/>
          <w:highlight w:val="none"/>
        </w:rPr>
        <w:t>金融管理部门强制要求终止理财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（该等强制要求不可归咎于任何一方）；</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E</w:t>
      </w:r>
      <w:r>
        <w:rPr>
          <w:rFonts w:hint="eastAsia" w:ascii="宋体" w:hAnsi="宋体" w:eastAsia="宋体"/>
          <w:color w:val="auto"/>
          <w:sz w:val="24"/>
          <w:szCs w:val="24"/>
          <w:highlight w:val="none"/>
        </w:rPr>
        <w:t>.</w:t>
      </w:r>
      <w:r>
        <w:rPr>
          <w:rFonts w:ascii="宋体" w:hAnsi="宋体" w:eastAsia="宋体"/>
          <w:color w:val="auto"/>
          <w:sz w:val="24"/>
          <w:szCs w:val="24"/>
          <w:highlight w:val="none"/>
        </w:rPr>
        <w:t>因理财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各方和/或其关联方运营网络系统遭受黑客攻击、电信部门技术调整或故障等原</w:t>
      </w:r>
      <w:r>
        <w:rPr>
          <w:rFonts w:hint="eastAsia" w:ascii="宋体" w:hAnsi="宋体" w:eastAsia="宋体"/>
          <w:color w:val="auto"/>
          <w:sz w:val="24"/>
          <w:szCs w:val="24"/>
          <w:highlight w:val="none"/>
        </w:rPr>
        <w:t>因而造成的理财产品各方和</w:t>
      </w:r>
      <w:r>
        <w:rPr>
          <w:rFonts w:ascii="宋体" w:hAnsi="宋体" w:eastAsia="宋体"/>
          <w:color w:val="auto"/>
          <w:sz w:val="24"/>
          <w:szCs w:val="24"/>
          <w:highlight w:val="none"/>
        </w:rPr>
        <w:t>/或其关联方之服务、营业的中断或者延迟。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元：指人民币元。</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适用法律：指在理财产品文件签署日和履行过程中，中国任何立法机构、政府部门、银</w:t>
      </w:r>
      <w:r>
        <w:rPr>
          <w:rFonts w:hint="eastAsia" w:ascii="宋体" w:hAnsi="宋体" w:eastAsia="宋体"/>
          <w:color w:val="auto"/>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color w:val="auto"/>
          <w:sz w:val="24"/>
          <w:szCs w:val="24"/>
          <w:highlight w:val="none"/>
        </w:rPr>
      </w:pP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三、理财产品要素</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为便于投资者了解本理财产品的概要，管理人列举以下核心要素，但</w:t>
      </w:r>
      <w:r>
        <w:rPr>
          <w:rFonts w:hint="eastAsia" w:ascii="宋体" w:hAnsi="宋体" w:eastAsia="宋体"/>
          <w:b/>
          <w:bCs/>
          <w:color w:val="auto"/>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产品名称与代码</w:t>
            </w:r>
          </w:p>
        </w:tc>
        <w:tc>
          <w:tcPr>
            <w:tcW w:w="6030" w:type="dxa"/>
            <w:vAlign w:val="center"/>
          </w:tcPr>
          <w:p>
            <w:pPr>
              <w:spacing w:line="30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产品名称：</w:t>
            </w:r>
            <w:r>
              <w:rPr>
                <w:rFonts w:hint="eastAsia" w:ascii="宋体" w:hAnsi="宋体" w:eastAsia="宋体"/>
                <w:color w:val="auto"/>
                <w:sz w:val="24"/>
                <w:szCs w:val="24"/>
                <w:highlight w:val="none"/>
                <w:lang w:eastAsia="zh-CN"/>
              </w:rPr>
              <w:t>渤银理财财收有略系列固定收益类（创合款）二年封闭式理财产品2026年8号</w:t>
            </w:r>
          </w:p>
          <w:p>
            <w:pPr>
              <w:spacing w:line="300"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产品代码：</w:t>
            </w:r>
            <w:r>
              <w:rPr>
                <w:rFonts w:hint="eastAsia" w:ascii="宋体" w:hAnsi="宋体" w:eastAsia="宋体"/>
                <w:color w:val="auto"/>
                <w:sz w:val="24"/>
                <w:szCs w:val="24"/>
                <w:highlight w:val="none"/>
                <w:lang w:eastAsia="zh-CN"/>
              </w:rPr>
              <w:t>CSFBH2Y2608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产品销售名称与代码</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产品销售名称：</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渤银理财财收有略二年（苏盈款）</w:t>
            </w:r>
            <w:r>
              <w:rPr>
                <w:rFonts w:hint="eastAsia" w:ascii="宋体" w:hAnsi="宋体" w:eastAsia="宋体"/>
                <w:color w:val="auto"/>
                <w:sz w:val="24"/>
                <w:szCs w:val="24"/>
                <w:highlight w:val="none"/>
                <w:lang w:eastAsia="zh-CN"/>
              </w:rPr>
              <w:t>2026年8号</w:t>
            </w:r>
            <w:r>
              <w:rPr>
                <w:rFonts w:hint="eastAsia" w:ascii="宋体" w:hAnsi="宋体" w:eastAsia="宋体"/>
                <w:color w:val="auto"/>
                <w:sz w:val="24"/>
                <w:szCs w:val="24"/>
                <w:highlight w:val="none"/>
              </w:rPr>
              <w:t>A</w:t>
            </w:r>
            <w:r>
              <w:rPr>
                <w:rFonts w:hint="eastAsia" w:ascii="宋体" w:hAnsi="宋体" w:eastAsia="宋体"/>
                <w:color w:val="auto"/>
                <w:sz w:val="24"/>
                <w:szCs w:val="24"/>
                <w:highlight w:val="none"/>
                <w:lang w:val="en-US" w:eastAsia="zh-CN"/>
              </w:rPr>
              <w:t>款</w:t>
            </w:r>
            <w:r>
              <w:rPr>
                <w:rFonts w:hint="eastAsia"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B类份额：</w:t>
            </w:r>
            <w:r>
              <w:rPr>
                <w:rFonts w:hint="eastAsia" w:ascii="宋体" w:hAnsi="宋体" w:eastAsia="宋体"/>
                <w:color w:val="auto"/>
                <w:sz w:val="24"/>
                <w:szCs w:val="24"/>
                <w:highlight w:val="none"/>
              </w:rPr>
              <w:t>渤银理财财收有略二年（创合款）</w:t>
            </w:r>
            <w:r>
              <w:rPr>
                <w:rFonts w:hint="eastAsia" w:ascii="宋体" w:hAnsi="宋体" w:eastAsia="宋体"/>
                <w:color w:val="auto"/>
                <w:sz w:val="24"/>
                <w:szCs w:val="24"/>
                <w:highlight w:val="none"/>
                <w:lang w:eastAsia="zh-CN"/>
              </w:rPr>
              <w:t>2026年8号</w:t>
            </w:r>
            <w:r>
              <w:rPr>
                <w:rFonts w:hint="eastAsia" w:ascii="宋体" w:hAnsi="宋体" w:eastAsia="宋体"/>
                <w:color w:val="auto"/>
                <w:sz w:val="24"/>
                <w:szCs w:val="24"/>
                <w:highlight w:val="none"/>
              </w:rPr>
              <w:t>B</w:t>
            </w:r>
            <w:r>
              <w:rPr>
                <w:rFonts w:hint="eastAsia" w:ascii="宋体" w:hAnsi="宋体" w:eastAsia="宋体"/>
                <w:color w:val="auto"/>
                <w:sz w:val="24"/>
                <w:szCs w:val="24"/>
                <w:highlight w:val="none"/>
                <w:lang w:val="en-US" w:eastAsia="zh-CN"/>
              </w:rPr>
              <w:t>款</w:t>
            </w:r>
            <w:r>
              <w:rPr>
                <w:rFonts w:hint="eastAsia"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C</w:t>
            </w:r>
            <w:r>
              <w:rPr>
                <w:rFonts w:hint="eastAsia" w:ascii="宋体" w:hAnsi="宋体" w:eastAsia="宋体"/>
                <w:color w:val="auto"/>
                <w:sz w:val="24"/>
                <w:szCs w:val="24"/>
                <w:highlight w:val="none"/>
              </w:rPr>
              <w:t>类份额</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渤银理财财收有略二年（创合款）</w:t>
            </w:r>
            <w:r>
              <w:rPr>
                <w:rFonts w:hint="eastAsia" w:ascii="宋体" w:hAnsi="宋体" w:eastAsia="宋体"/>
                <w:color w:val="auto"/>
                <w:sz w:val="24"/>
                <w:szCs w:val="24"/>
                <w:highlight w:val="none"/>
                <w:lang w:eastAsia="zh-CN"/>
              </w:rPr>
              <w:t>2026年8号</w:t>
            </w:r>
            <w:r>
              <w:rPr>
                <w:rFonts w:hint="eastAsia" w:ascii="宋体" w:hAnsi="宋体" w:eastAsia="宋体"/>
                <w:color w:val="auto"/>
                <w:sz w:val="24"/>
                <w:szCs w:val="24"/>
                <w:highlight w:val="none"/>
              </w:rPr>
              <w:t>C</w:t>
            </w:r>
            <w:r>
              <w:rPr>
                <w:rFonts w:hint="eastAsia" w:ascii="宋体" w:hAnsi="宋体" w:eastAsia="宋体"/>
                <w:color w:val="auto"/>
                <w:sz w:val="24"/>
                <w:szCs w:val="24"/>
                <w:highlight w:val="none"/>
                <w:lang w:val="en-US" w:eastAsia="zh-CN"/>
              </w:rPr>
              <w:t>款</w:t>
            </w:r>
            <w:r>
              <w:rPr>
                <w:rFonts w:hint="eastAsia"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产品</w:t>
            </w:r>
            <w:r>
              <w:rPr>
                <w:rFonts w:hint="eastAsia" w:ascii="宋体" w:hAnsi="宋体" w:eastAsia="宋体"/>
                <w:color w:val="auto"/>
                <w:sz w:val="24"/>
                <w:szCs w:val="24"/>
                <w:highlight w:val="none"/>
              </w:rPr>
              <w:t>销售代码：</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r>
              <w:rPr>
                <w:rFonts w:hint="eastAsia" w:ascii="宋体" w:hAnsi="宋体" w:eastAsia="宋体"/>
                <w:color w:val="auto"/>
                <w:sz w:val="24"/>
                <w:szCs w:val="24"/>
                <w:highlight w:val="none"/>
                <w:lang w:eastAsia="zh-CN"/>
              </w:rPr>
              <w:t>CSFBH2Y2608</w:t>
            </w:r>
            <w:r>
              <w:rPr>
                <w:rFonts w:hint="eastAsia" w:ascii="宋体" w:hAnsi="宋体" w:eastAsia="宋体"/>
                <w:color w:val="auto"/>
                <w:sz w:val="24"/>
                <w:szCs w:val="24"/>
                <w:highlight w:val="none"/>
                <w:lang w:val="en-US" w:eastAsia="zh-CN"/>
              </w:rPr>
              <w:t>A</w:t>
            </w:r>
            <w:r>
              <w:rPr>
                <w:rFonts w:hint="eastAsia"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olor w:val="auto"/>
                <w:sz w:val="24"/>
                <w:szCs w:val="24"/>
                <w:highlight w:val="none"/>
              </w:rPr>
              <w:t>类份额：</w:t>
            </w:r>
            <w:r>
              <w:rPr>
                <w:rFonts w:hint="eastAsia" w:ascii="宋体" w:hAnsi="宋体" w:eastAsia="宋体"/>
                <w:color w:val="auto"/>
                <w:sz w:val="24"/>
                <w:szCs w:val="24"/>
                <w:highlight w:val="none"/>
                <w:lang w:eastAsia="zh-CN"/>
              </w:rPr>
              <w:t>CSFBH2Y2608</w:t>
            </w:r>
            <w:r>
              <w:rPr>
                <w:rFonts w:hint="eastAsia" w:ascii="宋体" w:hAnsi="宋体" w:eastAsia="宋体"/>
                <w:color w:val="auto"/>
                <w:sz w:val="24"/>
                <w:szCs w:val="24"/>
                <w:highlight w:val="none"/>
              </w:rPr>
              <w:t>B】</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r>
              <w:rPr>
                <w:rFonts w:hint="eastAsia" w:ascii="宋体" w:hAnsi="宋体" w:eastAsia="宋体"/>
                <w:color w:val="auto"/>
                <w:sz w:val="24"/>
                <w:szCs w:val="24"/>
                <w:highlight w:val="none"/>
                <w:lang w:eastAsia="zh-CN"/>
              </w:rPr>
              <w:t>CSFBH2Y2608</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理财信息登记系统</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编码</w:t>
            </w:r>
          </w:p>
        </w:tc>
        <w:tc>
          <w:tcPr>
            <w:tcW w:w="6030" w:type="dxa"/>
            <w:vAlign w:val="center"/>
          </w:tcPr>
          <w:p>
            <w:pPr>
              <w:spacing w:line="30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Z7008426000158</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投资者可依据本产品登记</w:t>
            </w:r>
            <w:r>
              <w:rPr>
                <w:rFonts w:hint="eastAsia" w:ascii="宋体" w:hAnsi="宋体" w:eastAsia="宋体"/>
                <w:color w:val="auto"/>
                <w:sz w:val="24"/>
                <w:szCs w:val="24"/>
                <w:highlight w:val="none"/>
              </w:rPr>
              <w:t>系统</w:t>
            </w:r>
            <w:r>
              <w:rPr>
                <w:rFonts w:ascii="宋体" w:hAnsi="宋体" w:eastAsia="宋体"/>
                <w:color w:val="auto"/>
                <w:sz w:val="24"/>
                <w:szCs w:val="24"/>
                <w:highlight w:val="none"/>
              </w:rPr>
              <w:t>编码在“中</w:t>
            </w:r>
            <w:r>
              <w:rPr>
                <w:rFonts w:hint="eastAsia" w:ascii="宋体" w:hAnsi="宋体" w:eastAsia="宋体"/>
                <w:color w:val="auto"/>
                <w:sz w:val="24"/>
                <w:szCs w:val="24"/>
                <w:highlight w:val="none"/>
              </w:rPr>
              <w:t>国理财网（</w:t>
            </w:r>
            <w:r>
              <w:rPr>
                <w:rFonts w:ascii="宋体" w:hAnsi="宋体" w:eastAsia="宋体"/>
                <w:color w:val="auto"/>
                <w:sz w:val="24"/>
                <w:szCs w:val="24"/>
                <w:highlight w:val="none"/>
              </w:rPr>
              <w:t>www.chinawealth.com.cn）”查询产品信息</w:t>
            </w:r>
            <w:r>
              <w:rPr>
                <w:rFonts w:hint="eastAsia" w:ascii="宋体" w:hAnsi="宋体" w:eastAsia="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如理财产品设置不同的份额类别，理财产品每类份额可单独设置</w:t>
            </w:r>
            <w:r>
              <w:rPr>
                <w:rFonts w:hint="eastAsia" w:ascii="宋体" w:hAnsi="宋体" w:eastAsia="宋体"/>
                <w:color w:val="auto"/>
                <w:sz w:val="24"/>
                <w:szCs w:val="24"/>
                <w:highlight w:val="none"/>
              </w:rPr>
              <w:t>的内容包括但不限于</w:t>
            </w:r>
            <w:r>
              <w:rPr>
                <w:rFonts w:ascii="宋体" w:hAnsi="宋体" w:eastAsia="宋体"/>
                <w:color w:val="auto"/>
                <w:sz w:val="24"/>
                <w:szCs w:val="24"/>
                <w:highlight w:val="none"/>
              </w:rPr>
              <w:t>：</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（1）产品销售名称</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（2）产品销售代码</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销售服务机构</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销售对象</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（5）销售</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费率</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（6）业绩比较基准</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（7）认购投资起点金额及递增金额</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（8）单笔</w:t>
            </w:r>
            <w:r>
              <w:rPr>
                <w:rFonts w:hint="eastAsia" w:ascii="宋体" w:hAnsi="宋体" w:eastAsia="宋体"/>
                <w:color w:val="auto"/>
                <w:sz w:val="24"/>
                <w:szCs w:val="24"/>
                <w:highlight w:val="none"/>
              </w:rPr>
              <w:t>认购上限、</w:t>
            </w:r>
            <w:r>
              <w:rPr>
                <w:rFonts w:ascii="宋体" w:hAnsi="宋体" w:eastAsia="宋体"/>
                <w:color w:val="auto"/>
                <w:sz w:val="24"/>
                <w:szCs w:val="24"/>
                <w:highlight w:val="none"/>
              </w:rPr>
              <w:t>单笔最大购买金额、累计购买金额、最少赎回份额</w:t>
            </w:r>
            <w:r>
              <w:rPr>
                <w:rFonts w:hint="eastAsia" w:ascii="宋体" w:hAnsi="宋体" w:eastAsia="宋体"/>
                <w:color w:val="auto"/>
                <w:sz w:val="24"/>
                <w:szCs w:val="24"/>
                <w:highlight w:val="none"/>
              </w:rPr>
              <w:t>、单笔赎回上限、单日累计赎回上限</w:t>
            </w:r>
            <w:r>
              <w:rPr>
                <w:rFonts w:ascii="宋体" w:hAnsi="宋体" w:eastAsia="宋体"/>
                <w:color w:val="auto"/>
                <w:sz w:val="24"/>
                <w:szCs w:val="24"/>
                <w:highlight w:val="none"/>
              </w:rPr>
              <w:t>等认购和赎回的限制</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（9）单一投资者持有上限</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（10）可单独设置的其他内容</w:t>
            </w:r>
            <w:r>
              <w:rPr>
                <w:rFonts w:hint="eastAsia" w:ascii="宋体" w:hAnsi="宋体" w:eastAsia="宋体"/>
                <w:color w:val="auto"/>
                <w:sz w:val="24"/>
                <w:szCs w:val="24"/>
                <w:highlight w:val="none"/>
              </w:rPr>
              <w:t>（如有）</w:t>
            </w:r>
          </w:p>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不同类别的理财产品份额可能在产品份额净值的计算结果、信息披露渠道、销售</w:t>
            </w:r>
            <w:r>
              <w:rPr>
                <w:rFonts w:hint="eastAsia" w:ascii="宋体" w:hAnsi="宋体" w:eastAsia="宋体" w:cs="宋体"/>
                <w:color w:val="auto"/>
                <w:sz w:val="24"/>
                <w:szCs w:val="24"/>
                <w:highlight w:val="none"/>
              </w:rPr>
              <w:t>服务</w:t>
            </w:r>
            <w:r>
              <w:rPr>
                <w:rFonts w:ascii="宋体" w:hAnsi="宋体" w:eastAsia="宋体" w:cs="宋体"/>
                <w:color w:val="auto"/>
                <w:sz w:val="24"/>
                <w:szCs w:val="24"/>
                <w:highlight w:val="none"/>
              </w:rPr>
              <w:t>费率及业绩比较基准等方面存在差异，具体以</w:t>
            </w:r>
            <w:r>
              <w:rPr>
                <w:rFonts w:hint="eastAsia" w:ascii="宋体" w:hAnsi="宋体" w:eastAsia="宋体" w:cs="宋体"/>
                <w:color w:val="auto"/>
                <w:sz w:val="24"/>
                <w:szCs w:val="24"/>
                <w:highlight w:val="none"/>
              </w:rPr>
              <w:t>对应的</w:t>
            </w:r>
            <w:r>
              <w:rPr>
                <w:rFonts w:ascii="宋体" w:hAnsi="宋体" w:eastAsia="宋体" w:cs="宋体"/>
                <w:color w:val="auto"/>
                <w:sz w:val="24"/>
                <w:szCs w:val="24"/>
                <w:highlight w:val="none"/>
              </w:rPr>
              <w:t>理财产品</w:t>
            </w:r>
            <w:r>
              <w:rPr>
                <w:rFonts w:hint="eastAsia" w:ascii="宋体" w:hAnsi="宋体" w:eastAsia="宋体" w:cs="宋体"/>
                <w:color w:val="auto"/>
                <w:sz w:val="24"/>
                <w:szCs w:val="24"/>
                <w:highlight w:val="none"/>
              </w:rPr>
              <w:t>说明书</w:t>
            </w:r>
            <w:r>
              <w:rPr>
                <w:rFonts w:ascii="宋体" w:hAnsi="宋体" w:eastAsia="宋体" w:cs="宋体"/>
                <w:color w:val="auto"/>
                <w:sz w:val="24"/>
                <w:szCs w:val="24"/>
                <w:highlight w:val="none"/>
              </w:rPr>
              <w:t>及产品管理人</w:t>
            </w:r>
            <w:r>
              <w:rPr>
                <w:rFonts w:hint="eastAsia" w:ascii="宋体" w:hAnsi="宋体" w:eastAsia="宋体" w:cs="宋体"/>
                <w:color w:val="auto"/>
                <w:sz w:val="24"/>
                <w:szCs w:val="24"/>
                <w:highlight w:val="none"/>
              </w:rPr>
              <w:t>公告</w:t>
            </w:r>
            <w:r>
              <w:rPr>
                <w:rFonts w:ascii="宋体" w:hAnsi="宋体" w:eastAsia="宋体" w:cs="宋体"/>
                <w:color w:val="auto"/>
                <w:sz w:val="24"/>
                <w:szCs w:val="24"/>
                <w:highlight w:val="none"/>
              </w:rPr>
              <w:t>为准。</w:t>
            </w:r>
          </w:p>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本理财产品</w:t>
            </w:r>
            <w:r>
              <w:rPr>
                <w:rFonts w:hint="eastAsia" w:ascii="宋体" w:hAnsi="宋体" w:eastAsia="宋体" w:cs="宋体"/>
                <w:color w:val="auto"/>
                <w:sz w:val="24"/>
                <w:szCs w:val="24"/>
                <w:highlight w:val="none"/>
              </w:rPr>
              <w:t>说明书</w:t>
            </w:r>
            <w:r>
              <w:rPr>
                <w:rFonts w:ascii="宋体" w:hAnsi="宋体" w:eastAsia="宋体" w:cs="宋体"/>
                <w:color w:val="auto"/>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color w:val="auto"/>
                <w:sz w:val="24"/>
                <w:szCs w:val="24"/>
                <w:highlight w:val="none"/>
              </w:rPr>
              <w:t>说明书</w:t>
            </w:r>
            <w:r>
              <w:rPr>
                <w:rFonts w:ascii="宋体" w:hAnsi="宋体" w:eastAsia="宋体" w:cs="宋体"/>
                <w:color w:val="auto"/>
                <w:sz w:val="24"/>
                <w:szCs w:val="24"/>
                <w:highlight w:val="none"/>
              </w:rPr>
              <w:t>及产品管理人</w:t>
            </w:r>
            <w:r>
              <w:rPr>
                <w:rFonts w:hint="eastAsia" w:ascii="宋体" w:hAnsi="宋体" w:eastAsia="宋体" w:cs="宋体"/>
                <w:color w:val="auto"/>
                <w:sz w:val="24"/>
                <w:szCs w:val="24"/>
                <w:highlight w:val="none"/>
              </w:rPr>
              <w:t>公告</w:t>
            </w:r>
            <w:r>
              <w:rPr>
                <w:rFonts w:ascii="宋体" w:hAnsi="宋体" w:eastAsia="宋体" w:cs="宋体"/>
                <w:color w:val="auto"/>
                <w:sz w:val="24"/>
                <w:szCs w:val="24"/>
                <w:highlight w:val="none"/>
              </w:rPr>
              <w:t>为准。</w:t>
            </w:r>
          </w:p>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产品类型</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募集方式</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运作方式</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理财币种</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产品风险评级</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b/>
                <w:bCs/>
                <w:color w:val="auto"/>
                <w:sz w:val="24"/>
                <w:szCs w:val="24"/>
                <w:highlight w:val="none"/>
              </w:rPr>
              <w:t>R</w:t>
            </w:r>
            <w:r>
              <w:rPr>
                <w:rFonts w:hint="eastAsia" w:ascii="宋体" w:hAnsi="宋体" w:eastAsia="宋体"/>
                <w:b/>
                <w:bCs/>
                <w:color w:val="auto"/>
                <w:sz w:val="24"/>
                <w:szCs w:val="24"/>
                <w:highlight w:val="none"/>
                <w:lang w:val="en-US" w:eastAsia="zh-CN"/>
              </w:rPr>
              <w:t>2</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较低/中低风险</w:t>
            </w:r>
            <w:r>
              <w:rPr>
                <w:rFonts w:ascii="宋体" w:hAnsi="宋体" w:eastAsia="宋体"/>
                <w:b/>
                <w:bCs/>
                <w:color w:val="auto"/>
                <w:sz w:val="24"/>
                <w:szCs w:val="24"/>
                <w:highlight w:val="none"/>
              </w:rPr>
              <w:t>）</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本评级为渤银理财内部评级，仅供参考。</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color w:val="auto"/>
                <w:sz w:val="24"/>
                <w:szCs w:val="24"/>
                <w:highlight w:val="none"/>
              </w:rPr>
              <w:t>应当采用对应较高风险等级的评级结果并予以披露</w:t>
            </w:r>
            <w:r>
              <w:rPr>
                <w:rFonts w:hint="eastAsia" w:ascii="宋体" w:hAnsi="宋体" w:eastAsia="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收益类型</w:t>
            </w:r>
          </w:p>
        </w:tc>
        <w:tc>
          <w:tcPr>
            <w:tcW w:w="6030" w:type="dxa"/>
            <w:vAlign w:val="center"/>
          </w:tcPr>
          <w:p>
            <w:p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非保本浮动收益</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产品托管人</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苏州银行股份有限公司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销售服务机构</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r>
              <w:rPr>
                <w:rFonts w:hint="eastAsia" w:ascii="宋体" w:hAnsi="宋体" w:eastAsia="宋体"/>
                <w:color w:val="auto"/>
                <w:sz w:val="24"/>
                <w:szCs w:val="24"/>
                <w:highlight w:val="none"/>
              </w:rPr>
              <w:t>苏州银行股份有限公司</w:t>
            </w:r>
            <w:r>
              <w:rPr>
                <w:rFonts w:hint="eastAsia" w:ascii="宋体" w:hAnsi="宋体" w:eastAsia="宋体"/>
                <w:color w:val="auto"/>
                <w:sz w:val="24"/>
                <w:szCs w:val="24"/>
                <w:highlight w:val="none"/>
              </w:rPr>
              <w:t>，以下简称“代销机构”】</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B类份额：</w:t>
            </w:r>
            <w:r>
              <w:rPr>
                <w:rFonts w:hint="eastAsia" w:ascii="宋体" w:hAnsi="宋体" w:eastAsia="宋体" w:cs="宋体"/>
                <w:color w:val="auto"/>
                <w:sz w:val="24"/>
                <w:szCs w:val="24"/>
                <w:highlight w:val="none"/>
                <w:lang w:val="en-US" w:eastAsia="zh-CN"/>
              </w:rPr>
              <w:t>嘉兴银行股份有限公司</w:t>
            </w:r>
            <w:r>
              <w:rPr>
                <w:rFonts w:hint="eastAsia" w:ascii="宋体" w:hAnsi="宋体" w:eastAsia="宋体"/>
                <w:color w:val="auto"/>
                <w:sz w:val="24"/>
                <w:szCs w:val="24"/>
                <w:highlight w:val="none"/>
              </w:rPr>
              <w:t>，以下简称“代销机构”】</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r>
              <w:rPr>
                <w:rFonts w:hint="eastAsia" w:ascii="宋体" w:hAnsi="宋体" w:eastAsia="宋体"/>
                <w:color w:val="auto"/>
                <w:sz w:val="24"/>
                <w:szCs w:val="24"/>
                <w:highlight w:val="none"/>
                <w:lang w:val="en-US" w:eastAsia="zh-CN"/>
              </w:rPr>
              <w:t>吉林</w:t>
            </w:r>
            <w:r>
              <w:rPr>
                <w:rFonts w:hint="eastAsia" w:ascii="宋体" w:hAnsi="宋体" w:eastAsia="宋体"/>
                <w:color w:val="auto"/>
                <w:sz w:val="24"/>
                <w:szCs w:val="24"/>
                <w:highlight w:val="none"/>
              </w:rPr>
              <w:t>银行股份有限公司</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长沙</w:t>
            </w:r>
            <w:r>
              <w:rPr>
                <w:rFonts w:hint="eastAsia" w:ascii="宋体" w:hAnsi="宋体" w:eastAsia="宋体"/>
                <w:color w:val="auto"/>
                <w:sz w:val="24"/>
                <w:szCs w:val="24"/>
                <w:highlight w:val="none"/>
              </w:rPr>
              <w:t>银行股份有限公司</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湖南</w:t>
            </w:r>
            <w:r>
              <w:rPr>
                <w:rFonts w:hint="eastAsia" w:ascii="宋体" w:hAnsi="宋体" w:eastAsia="宋体"/>
                <w:color w:val="auto"/>
                <w:sz w:val="24"/>
                <w:szCs w:val="24"/>
                <w:highlight w:val="none"/>
              </w:rPr>
              <w:t>银行股份有限公司</w:t>
            </w:r>
            <w:r>
              <w:rPr>
                <w:rFonts w:hint="eastAsia" w:ascii="宋体" w:hAnsi="宋体" w:eastAsia="宋体"/>
                <w:color w:val="auto"/>
                <w:sz w:val="24"/>
                <w:szCs w:val="24"/>
                <w:highlight w:val="none"/>
                <w:lang w:eastAsia="zh-CN"/>
              </w:rPr>
              <w:t>、日照银行股份有限公司</w:t>
            </w:r>
            <w:r>
              <w:rPr>
                <w:rFonts w:hint="eastAsia" w:ascii="宋体" w:hAnsi="宋体" w:eastAsia="宋体"/>
                <w:color w:val="auto"/>
                <w:sz w:val="24"/>
                <w:szCs w:val="24"/>
                <w:highlight w:val="none"/>
              </w:rPr>
              <w:t>，以下简称“代销机构”】</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销售对象</w:t>
            </w:r>
          </w:p>
        </w:tc>
        <w:tc>
          <w:tcPr>
            <w:tcW w:w="6030" w:type="dxa"/>
            <w:vAlign w:val="center"/>
          </w:tcPr>
          <w:p>
            <w:pPr>
              <w:spacing w:line="300" w:lineRule="auto"/>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本理财产品面向</w:t>
            </w:r>
            <w:r>
              <w:rPr>
                <w:rFonts w:ascii="宋体" w:hAnsi="宋体" w:eastAsia="宋体" w:cs="宋体"/>
                <w:color w:val="auto"/>
                <w:sz w:val="24"/>
                <w:szCs w:val="24"/>
                <w:highlight w:val="none"/>
              </w:rPr>
              <w:t>以下类型投资者</w:t>
            </w:r>
            <w:r>
              <w:rPr>
                <w:rFonts w:hint="eastAsia" w:ascii="宋体" w:hAnsi="宋体" w:eastAsia="宋体" w:cs="宋体"/>
                <w:color w:val="auto"/>
                <w:sz w:val="24"/>
                <w:szCs w:val="24"/>
                <w:highlight w:val="none"/>
              </w:rPr>
              <w:t>销售：</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ascii="宋体" w:hAnsi="宋体" w:eastAsia="宋体" w:cs="宋体"/>
                <w:color w:val="auto"/>
                <w:sz w:val="24"/>
                <w:szCs w:val="24"/>
                <w:highlight w:val="none"/>
              </w:rPr>
              <w:t>个人投资者</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ascii="宋体" w:hAnsi="宋体" w:eastAsia="宋体" w:cs="宋体"/>
                <w:color w:val="auto"/>
                <w:sz w:val="24"/>
                <w:szCs w:val="24"/>
                <w:highlight w:val="none"/>
              </w:rPr>
              <w:t>机构投资者</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olor w:val="auto"/>
                <w:sz w:val="24"/>
                <w:szCs w:val="24"/>
                <w:highlight w:val="none"/>
              </w:rPr>
              <w:t>类份额】：</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ascii="宋体" w:hAnsi="宋体" w:eastAsia="宋体" w:cs="宋体"/>
                <w:color w:val="auto"/>
                <w:sz w:val="24"/>
                <w:szCs w:val="24"/>
                <w:highlight w:val="none"/>
              </w:rPr>
              <w:t>个人投资者</w:t>
            </w:r>
          </w:p>
          <w:p>
            <w:pPr>
              <w:spacing w:line="30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ascii="宋体" w:hAnsi="宋体" w:eastAsia="宋体" w:cs="宋体"/>
                <w:color w:val="auto"/>
                <w:sz w:val="24"/>
                <w:szCs w:val="24"/>
                <w:highlight w:val="none"/>
              </w:rPr>
              <w:t>机构投资者</w:t>
            </w:r>
          </w:p>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ascii="宋体" w:hAnsi="宋体" w:eastAsia="宋体" w:cs="宋体"/>
                <w:color w:val="auto"/>
                <w:sz w:val="24"/>
                <w:szCs w:val="24"/>
                <w:highlight w:val="none"/>
              </w:rPr>
              <w:t>个人投资者</w:t>
            </w:r>
          </w:p>
          <w:p>
            <w:pPr>
              <w:spacing w:line="30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ascii="宋体" w:hAnsi="宋体" w:eastAsia="宋体" w:cs="宋体"/>
                <w:color w:val="auto"/>
                <w:sz w:val="24"/>
                <w:szCs w:val="24"/>
                <w:highlight w:val="none"/>
              </w:rPr>
              <w:t>机构投资者</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color w:val="auto"/>
                <w:sz w:val="24"/>
                <w:szCs w:val="24"/>
                <w:highlight w:val="none"/>
              </w:rPr>
            </w:pPr>
            <w:r>
              <w:rPr>
                <w:rFonts w:hint="eastAsia" w:ascii="宋体" w:hAnsi="宋体" w:eastAsia="宋体"/>
                <w:b/>
                <w:bCs/>
                <w:color w:val="auto"/>
                <w:sz w:val="24"/>
                <w:szCs w:val="24"/>
                <w:highlight w:val="none"/>
              </w:rPr>
              <w:t>渤银理财建议，R</w:t>
            </w: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rPr>
              <w:t>（较低/中低风险）评级产品适合风险承受能力为</w:t>
            </w:r>
            <w:r>
              <w:rPr>
                <w:rFonts w:ascii="宋体" w:hAnsi="宋体" w:eastAsia="宋体"/>
                <w:b/>
                <w:bCs/>
                <w:color w:val="auto"/>
                <w:sz w:val="24"/>
                <w:szCs w:val="24"/>
                <w:highlight w:val="none"/>
              </w:rPr>
              <w:t>C2</w:t>
            </w:r>
            <w:r>
              <w:rPr>
                <w:rFonts w:hint="eastAsia" w:ascii="宋体" w:hAnsi="宋体" w:eastAsia="宋体"/>
                <w:b/>
                <w:bCs/>
                <w:color w:val="auto"/>
                <w:sz w:val="24"/>
                <w:szCs w:val="24"/>
                <w:highlight w:val="none"/>
              </w:rPr>
              <w:t>稳健型、</w:t>
            </w:r>
            <w:r>
              <w:rPr>
                <w:rFonts w:ascii="宋体" w:hAnsi="宋体" w:eastAsia="宋体"/>
                <w:b/>
                <w:bCs/>
                <w:color w:val="auto"/>
                <w:sz w:val="24"/>
                <w:szCs w:val="24"/>
                <w:highlight w:val="none"/>
              </w:rPr>
              <w:t>C3</w:t>
            </w:r>
            <w:r>
              <w:rPr>
                <w:rFonts w:hint="eastAsia" w:ascii="宋体" w:hAnsi="宋体" w:eastAsia="宋体"/>
                <w:b/>
                <w:bCs/>
                <w:color w:val="auto"/>
                <w:sz w:val="24"/>
                <w:szCs w:val="24"/>
                <w:highlight w:val="none"/>
              </w:rPr>
              <w:t>平衡型、</w:t>
            </w:r>
            <w:r>
              <w:rPr>
                <w:rFonts w:ascii="宋体" w:hAnsi="宋体" w:eastAsia="宋体"/>
                <w:b/>
                <w:bCs/>
                <w:color w:val="auto"/>
                <w:sz w:val="24"/>
                <w:szCs w:val="24"/>
                <w:highlight w:val="none"/>
              </w:rPr>
              <w:t>C4</w:t>
            </w:r>
            <w:r>
              <w:rPr>
                <w:rFonts w:hint="eastAsia" w:ascii="宋体" w:hAnsi="宋体" w:eastAsia="宋体"/>
                <w:b/>
                <w:bCs/>
                <w:color w:val="auto"/>
                <w:sz w:val="24"/>
                <w:szCs w:val="24"/>
                <w:highlight w:val="none"/>
              </w:rPr>
              <w:t>成长型和</w:t>
            </w:r>
            <w:r>
              <w:rPr>
                <w:rFonts w:ascii="宋体" w:hAnsi="宋体" w:eastAsia="宋体"/>
                <w:b/>
                <w:bCs/>
                <w:color w:val="auto"/>
                <w:sz w:val="24"/>
                <w:szCs w:val="24"/>
                <w:highlight w:val="none"/>
              </w:rPr>
              <w:t>C5</w:t>
            </w:r>
            <w:r>
              <w:rPr>
                <w:rFonts w:hint="eastAsia" w:ascii="宋体" w:hAnsi="宋体" w:eastAsia="宋体"/>
                <w:b/>
                <w:bCs/>
                <w:color w:val="auto"/>
                <w:sz w:val="24"/>
                <w:szCs w:val="24"/>
                <w:highlight w:val="none"/>
              </w:rPr>
              <w:t>进取型客户购买。</w:t>
            </w:r>
          </w:p>
          <w:p>
            <w:pPr>
              <w:spacing w:line="300" w:lineRule="auto"/>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产品发行规模</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本理财产品计划发行规模上限为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val="en-US" w:eastAsia="zh-CN"/>
              </w:rPr>
              <w:t>0亿</w:t>
            </w:r>
            <w:r>
              <w:rPr>
                <w:rFonts w:hint="eastAsia" w:ascii="宋体" w:hAnsi="宋体" w:eastAsia="宋体"/>
                <w:color w:val="auto"/>
                <w:sz w:val="24"/>
                <w:szCs w:val="24"/>
                <w:highlight w:val="none"/>
              </w:rPr>
              <w:t>元】</w:t>
            </w:r>
            <w:r>
              <w:rPr>
                <w:rFonts w:ascii="宋体" w:hAnsi="宋体" w:eastAsia="宋体"/>
                <w:color w:val="auto"/>
                <w:sz w:val="24"/>
                <w:szCs w:val="24"/>
                <w:highlight w:val="none"/>
              </w:rPr>
              <w:t>，发行规模下限为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1500万</w:t>
            </w:r>
            <w:r>
              <w:rPr>
                <w:rFonts w:hint="eastAsia" w:ascii="宋体" w:hAnsi="宋体" w:eastAsia="宋体"/>
                <w:color w:val="auto"/>
                <w:sz w:val="24"/>
                <w:szCs w:val="24"/>
                <w:highlight w:val="none"/>
              </w:rPr>
              <w:t>元】</w:t>
            </w:r>
            <w:r>
              <w:rPr>
                <w:rFonts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渤银理财有权对产品发行规模上限、产品发行规模下限以及销售</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机构销售规模</w:t>
            </w:r>
            <w:r>
              <w:rPr>
                <w:rFonts w:hint="eastAsia" w:ascii="宋体" w:hAnsi="宋体" w:eastAsia="宋体"/>
                <w:color w:val="auto"/>
                <w:sz w:val="24"/>
                <w:szCs w:val="24"/>
                <w:highlight w:val="none"/>
              </w:rPr>
              <w:t>、各类份额销售规模</w:t>
            </w:r>
            <w:r>
              <w:rPr>
                <w:rFonts w:ascii="宋体" w:hAnsi="宋体" w:eastAsia="宋体"/>
                <w:color w:val="auto"/>
                <w:sz w:val="24"/>
                <w:szCs w:val="24"/>
                <w:highlight w:val="none"/>
              </w:rPr>
              <w:t>进行调整，如有调整，具体以管理人公告为准。</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理财产品份额</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理财产品份额面值</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认购起点</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A类份额】：认购起点为人民币【</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元】，超过认购起点部分以人民币【</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元】整数倍递增。</w:t>
            </w:r>
            <w:r>
              <w:rPr>
                <w:rFonts w:ascii="宋体" w:hAnsi="宋体" w:eastAsia="宋体"/>
                <w:color w:val="auto"/>
                <w:sz w:val="24"/>
                <w:szCs w:val="24"/>
                <w:highlight w:val="none"/>
              </w:rPr>
              <w:t>追加</w:t>
            </w:r>
            <w:r>
              <w:rPr>
                <w:rFonts w:hint="eastAsia" w:ascii="宋体" w:hAnsi="宋体" w:eastAsia="宋体"/>
                <w:color w:val="auto"/>
                <w:sz w:val="24"/>
                <w:szCs w:val="24"/>
                <w:highlight w:val="none"/>
              </w:rPr>
              <w:t>认购起点金额为【</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整数倍递增。</w:t>
            </w:r>
          </w:p>
          <w:p>
            <w:pPr>
              <w:spacing w:line="30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olor w:val="auto"/>
                <w:sz w:val="24"/>
                <w:szCs w:val="24"/>
                <w:highlight w:val="none"/>
              </w:rPr>
              <w:t>类份额】：认购起点为人民币【</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元】，超过认购起点部分以人民币【</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元】整数倍递增。</w:t>
            </w:r>
            <w:r>
              <w:rPr>
                <w:rFonts w:ascii="宋体" w:hAnsi="宋体" w:eastAsia="宋体"/>
                <w:color w:val="auto"/>
                <w:sz w:val="24"/>
                <w:szCs w:val="24"/>
                <w:highlight w:val="none"/>
              </w:rPr>
              <w:t>追加</w:t>
            </w:r>
            <w:r>
              <w:rPr>
                <w:rFonts w:hint="eastAsia" w:ascii="宋体" w:hAnsi="宋体" w:eastAsia="宋体"/>
                <w:color w:val="auto"/>
                <w:sz w:val="24"/>
                <w:szCs w:val="24"/>
                <w:highlight w:val="none"/>
              </w:rPr>
              <w:t>认购起点金额为【</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整数倍递增。</w:t>
            </w:r>
          </w:p>
          <w:p>
            <w:pPr>
              <w:spacing w:line="30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类份额】：认购起点为人民币【</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元】，超过认购起点部分以人民币【</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元】整数倍递增。</w:t>
            </w:r>
            <w:r>
              <w:rPr>
                <w:rFonts w:ascii="宋体" w:hAnsi="宋体" w:eastAsia="宋体"/>
                <w:color w:val="auto"/>
                <w:sz w:val="24"/>
                <w:szCs w:val="24"/>
                <w:highlight w:val="none"/>
              </w:rPr>
              <w:t>追加</w:t>
            </w:r>
            <w:r>
              <w:rPr>
                <w:rFonts w:hint="eastAsia" w:ascii="宋体" w:hAnsi="宋体" w:eastAsia="宋体"/>
                <w:color w:val="auto"/>
                <w:sz w:val="24"/>
                <w:szCs w:val="24"/>
                <w:highlight w:val="none"/>
              </w:rPr>
              <w:t>认购起点金额为【</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整数倍递增。</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认购方式</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单笔认购上限</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A类份额】：个人</w:t>
            </w:r>
            <w:r>
              <w:rPr>
                <w:rFonts w:ascii="宋体" w:hAnsi="宋体" w:eastAsia="宋体"/>
                <w:color w:val="auto"/>
                <w:sz w:val="24"/>
                <w:szCs w:val="24"/>
                <w:highlight w:val="none"/>
              </w:rPr>
              <w:t>投资者</w:t>
            </w:r>
            <w:r>
              <w:rPr>
                <w:rFonts w:hint="eastAsia" w:ascii="宋体" w:hAnsi="宋体" w:eastAsia="宋体"/>
                <w:color w:val="auto"/>
                <w:sz w:val="24"/>
                <w:szCs w:val="24"/>
                <w:highlight w:val="none"/>
              </w:rPr>
              <w:t>单笔认购上限为【</w:t>
            </w:r>
            <w:r>
              <w:rPr>
                <w:rFonts w:hint="eastAsia" w:ascii="宋体" w:hAnsi="宋体" w:eastAsia="宋体"/>
                <w:color w:val="auto"/>
                <w:sz w:val="24"/>
                <w:szCs w:val="24"/>
                <w:highlight w:val="none"/>
                <w:lang w:val="en-US" w:eastAsia="zh-CN"/>
              </w:rPr>
              <w:t>1亿</w:t>
            </w:r>
            <w:r>
              <w:rPr>
                <w:rFonts w:ascii="宋体" w:hAnsi="宋体" w:eastAsia="宋体"/>
                <w:color w:val="auto"/>
                <w:sz w:val="24"/>
                <w:szCs w:val="24"/>
                <w:highlight w:val="none"/>
              </w:rPr>
              <w:t>元</w:t>
            </w:r>
            <w:r>
              <w:rPr>
                <w:rFonts w:hint="eastAsia" w:ascii="宋体" w:hAnsi="宋体" w:eastAsia="宋体"/>
                <w:color w:val="auto"/>
                <w:sz w:val="24"/>
                <w:szCs w:val="24"/>
                <w:highlight w:val="none"/>
              </w:rPr>
              <w:t>】；机构</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p>
          <w:p>
            <w:pPr>
              <w:spacing w:line="30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olor w:val="auto"/>
                <w:sz w:val="24"/>
                <w:szCs w:val="24"/>
                <w:highlight w:val="none"/>
              </w:rPr>
              <w:t>类份额】：个人</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ascii="宋体" w:hAnsi="宋体" w:eastAsia="宋体"/>
                <w:color w:val="auto"/>
                <w:sz w:val="24"/>
                <w:szCs w:val="24"/>
                <w:highlight w:val="none"/>
              </w:rPr>
              <w:t>元</w:t>
            </w:r>
            <w:r>
              <w:rPr>
                <w:rFonts w:hint="eastAsia" w:ascii="宋体" w:hAnsi="宋体" w:eastAsia="宋体"/>
                <w:color w:val="auto"/>
                <w:sz w:val="24"/>
                <w:szCs w:val="24"/>
                <w:highlight w:val="none"/>
              </w:rPr>
              <w:t>】；机构</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p>
          <w:p>
            <w:pPr>
              <w:spacing w:line="30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类份额】：个人</w:t>
            </w:r>
            <w:r>
              <w:rPr>
                <w:rFonts w:ascii="宋体" w:hAnsi="宋体" w:eastAsia="宋体"/>
                <w:color w:val="auto"/>
                <w:sz w:val="24"/>
                <w:szCs w:val="24"/>
                <w:highlight w:val="none"/>
              </w:rPr>
              <w:t>投资者</w:t>
            </w:r>
            <w:r>
              <w:rPr>
                <w:rFonts w:hint="eastAsia" w:ascii="宋体" w:hAnsi="宋体" w:eastAsia="宋体"/>
                <w:color w:val="auto"/>
                <w:sz w:val="24"/>
                <w:szCs w:val="24"/>
                <w:highlight w:val="none"/>
              </w:rPr>
              <w:t>单笔认购上限为【</w:t>
            </w:r>
            <w:r>
              <w:rPr>
                <w:rFonts w:hint="eastAsia" w:ascii="宋体" w:hAnsi="宋体" w:eastAsia="宋体"/>
                <w:color w:val="auto"/>
                <w:sz w:val="24"/>
                <w:szCs w:val="24"/>
                <w:highlight w:val="none"/>
                <w:lang w:val="en-US" w:eastAsia="zh-CN"/>
              </w:rPr>
              <w:t>1亿</w:t>
            </w:r>
            <w:r>
              <w:rPr>
                <w:rFonts w:ascii="宋体" w:hAnsi="宋体" w:eastAsia="宋体"/>
                <w:color w:val="auto"/>
                <w:sz w:val="24"/>
                <w:szCs w:val="24"/>
                <w:highlight w:val="none"/>
              </w:rPr>
              <w:t>元</w:t>
            </w:r>
            <w:r>
              <w:rPr>
                <w:rFonts w:hint="eastAsia" w:ascii="宋体" w:hAnsi="宋体" w:eastAsia="宋体"/>
                <w:color w:val="auto"/>
                <w:sz w:val="24"/>
                <w:szCs w:val="24"/>
                <w:highlight w:val="none"/>
              </w:rPr>
              <w:t>】；机构</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单一投资者持有上限</w:t>
            </w:r>
          </w:p>
        </w:tc>
        <w:tc>
          <w:tcPr>
            <w:tcW w:w="6030" w:type="dxa"/>
            <w:vAlign w:val="center"/>
          </w:tcPr>
          <w:p>
            <w:pPr>
              <w:spacing w:line="300" w:lineRule="auto"/>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A类份额】：单一个人投资者持有上限为【</w:t>
            </w:r>
            <w:r>
              <w:rPr>
                <w:rFonts w:hint="eastAsia" w:ascii="宋体" w:hAnsi="宋体" w:eastAsia="宋体"/>
                <w:color w:val="auto"/>
                <w:sz w:val="24"/>
                <w:szCs w:val="24"/>
                <w:highlight w:val="none"/>
                <w:lang w:val="en-US" w:eastAsia="zh-CN"/>
              </w:rPr>
              <w:t>1亿元</w:t>
            </w:r>
            <w:r>
              <w:rPr>
                <w:rFonts w:hint="eastAsia" w:ascii="宋体" w:hAnsi="宋体" w:eastAsia="宋体"/>
                <w:color w:val="auto"/>
                <w:sz w:val="24"/>
                <w:szCs w:val="24"/>
                <w:highlight w:val="none"/>
              </w:rPr>
              <w:t>】，单一机构投资者持有上限为【</w:t>
            </w:r>
            <w:r>
              <w:rPr>
                <w:rFonts w:hint="eastAsia" w:ascii="宋体" w:hAnsi="宋体" w:eastAsia="宋体"/>
                <w:color w:val="auto"/>
                <w:sz w:val="24"/>
                <w:szCs w:val="24"/>
                <w:highlight w:val="none"/>
                <w:lang w:val="en-US" w:eastAsia="zh-CN"/>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在产品运作过程中因收益分配、净值变动等被动超</w:t>
            </w:r>
            <w:r>
              <w:rPr>
                <w:rFonts w:hint="eastAsia" w:ascii="宋体" w:hAnsi="宋体" w:eastAsia="宋体"/>
                <w:color w:val="auto"/>
                <w:sz w:val="24"/>
                <w:szCs w:val="24"/>
                <w:highlight w:val="none"/>
              </w:rPr>
              <w:t>上限的情形除外。</w:t>
            </w:r>
          </w:p>
          <w:p>
            <w:pPr>
              <w:spacing w:line="300" w:lineRule="auto"/>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B</w:t>
            </w:r>
            <w:r>
              <w:rPr>
                <w:rFonts w:hint="eastAsia" w:ascii="宋体" w:hAnsi="宋体" w:eastAsia="宋体"/>
                <w:color w:val="auto"/>
                <w:sz w:val="24"/>
                <w:szCs w:val="24"/>
                <w:highlight w:val="none"/>
              </w:rPr>
              <w:t>类份额】：单一个人投资者持有上限为【</w:t>
            </w:r>
            <w:r>
              <w:rPr>
                <w:rFonts w:hint="eastAsia" w:ascii="宋体" w:hAnsi="宋体" w:eastAsia="宋体"/>
                <w:color w:val="auto"/>
                <w:sz w:val="24"/>
                <w:szCs w:val="24"/>
                <w:highlight w:val="none"/>
                <w:lang w:val="en-US" w:eastAsia="zh-CN"/>
              </w:rPr>
              <w:t>1亿</w:t>
            </w:r>
            <w:r>
              <w:rPr>
                <w:rFonts w:ascii="宋体" w:hAnsi="宋体" w:eastAsia="宋体"/>
                <w:color w:val="auto"/>
                <w:sz w:val="24"/>
                <w:szCs w:val="24"/>
                <w:highlight w:val="none"/>
              </w:rPr>
              <w:t>元</w:t>
            </w:r>
            <w:r>
              <w:rPr>
                <w:rFonts w:hint="eastAsia" w:ascii="宋体" w:hAnsi="宋体" w:eastAsia="宋体"/>
                <w:color w:val="auto"/>
                <w:sz w:val="24"/>
                <w:szCs w:val="24"/>
                <w:highlight w:val="none"/>
              </w:rPr>
              <w:t>】，单一机构投资者持有上限为【</w:t>
            </w:r>
            <w:r>
              <w:rPr>
                <w:rFonts w:hint="eastAsia" w:ascii="宋体" w:hAnsi="宋体" w:eastAsia="宋体"/>
                <w:color w:val="auto"/>
                <w:sz w:val="24"/>
                <w:szCs w:val="24"/>
                <w:highlight w:val="none"/>
                <w:lang w:val="en-US" w:eastAsia="zh-CN"/>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在产品运作过程中因收益分配、净值变动等被动超</w:t>
            </w:r>
            <w:r>
              <w:rPr>
                <w:rFonts w:hint="eastAsia" w:ascii="宋体" w:hAnsi="宋体" w:eastAsia="宋体"/>
                <w:color w:val="auto"/>
                <w:sz w:val="24"/>
                <w:szCs w:val="24"/>
                <w:highlight w:val="none"/>
              </w:rPr>
              <w:t>上限的情形除外。</w:t>
            </w:r>
          </w:p>
          <w:p>
            <w:pPr>
              <w:spacing w:line="300" w:lineRule="auto"/>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类份额】：单一个人投资者持有上限为【</w:t>
            </w:r>
            <w:r>
              <w:rPr>
                <w:rFonts w:hint="eastAsia" w:ascii="宋体" w:hAnsi="宋体" w:eastAsia="宋体"/>
                <w:color w:val="auto"/>
                <w:sz w:val="24"/>
                <w:szCs w:val="24"/>
                <w:highlight w:val="none"/>
                <w:lang w:val="en-US" w:eastAsia="zh-CN"/>
              </w:rPr>
              <w:t>1亿元</w:t>
            </w:r>
            <w:r>
              <w:rPr>
                <w:rFonts w:hint="eastAsia" w:ascii="宋体" w:hAnsi="宋体" w:eastAsia="宋体"/>
                <w:color w:val="auto"/>
                <w:sz w:val="24"/>
                <w:szCs w:val="24"/>
                <w:highlight w:val="none"/>
              </w:rPr>
              <w:t>】，单一机构投资者持有上限为【</w:t>
            </w:r>
            <w:r>
              <w:rPr>
                <w:rFonts w:hint="eastAsia" w:ascii="宋体" w:hAnsi="宋体" w:eastAsia="宋体"/>
                <w:color w:val="auto"/>
                <w:sz w:val="24"/>
                <w:szCs w:val="24"/>
                <w:highlight w:val="none"/>
                <w:lang w:val="en-US" w:eastAsia="zh-CN"/>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r>
              <w:rPr>
                <w:rFonts w:ascii="宋体" w:hAnsi="宋体" w:eastAsia="宋体"/>
                <w:color w:val="auto"/>
                <w:sz w:val="24"/>
                <w:szCs w:val="24"/>
                <w:highlight w:val="none"/>
              </w:rPr>
              <w:t>在产品运作过程中因收益分配、净值变动等被动超</w:t>
            </w:r>
            <w:r>
              <w:rPr>
                <w:rFonts w:hint="eastAsia" w:ascii="宋体" w:hAnsi="宋体" w:eastAsia="宋体"/>
                <w:color w:val="auto"/>
                <w:sz w:val="24"/>
                <w:szCs w:val="24"/>
                <w:highlight w:val="none"/>
              </w:rPr>
              <w:t>上限的情形除外。</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认购期</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1.本产品</w:t>
            </w:r>
            <w:r>
              <w:rPr>
                <w:rFonts w:hint="eastAsia" w:ascii="宋体" w:hAnsi="宋体" w:eastAsia="宋体"/>
                <w:color w:val="auto"/>
                <w:sz w:val="24"/>
                <w:szCs w:val="24"/>
                <w:highlight w:val="none"/>
              </w:rPr>
              <w:t>认购期</w:t>
            </w:r>
            <w:r>
              <w:rPr>
                <w:rFonts w:ascii="宋体" w:hAnsi="宋体" w:eastAsia="宋体"/>
                <w:color w:val="auto"/>
                <w:sz w:val="24"/>
                <w:szCs w:val="24"/>
                <w:highlight w:val="none"/>
              </w:rPr>
              <w:t>为</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eastAsia="zh-CN"/>
              </w:rPr>
              <w:t>6</w:t>
            </w:r>
            <w:r>
              <w:rPr>
                <w:rFonts w:hint="eastAsia" w:ascii="宋体" w:hAnsi="宋体" w:eastAsia="宋体"/>
                <w:color w:val="auto"/>
                <w:sz w:val="24"/>
                <w:szCs w:val="24"/>
                <w:highlight w:val="none"/>
                <w:lang w:eastAsia="zh-CN"/>
              </w:rPr>
              <w:t>】年【</w:t>
            </w:r>
            <w:r>
              <w:rPr>
                <w:rFonts w:hint="eastAsia"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】月【</w:t>
            </w:r>
            <w:r>
              <w:rPr>
                <w:rFonts w:hint="eastAsia" w:ascii="宋体" w:hAnsi="宋体" w:eastAsia="宋体"/>
                <w:color w:val="auto"/>
                <w:sz w:val="24"/>
                <w:szCs w:val="24"/>
                <w:highlight w:val="none"/>
                <w:lang w:val="en-US" w:eastAsia="zh-CN"/>
              </w:rPr>
              <w:t>24</w:t>
            </w:r>
            <w:r>
              <w:rPr>
                <w:rFonts w:hint="eastAsia" w:ascii="宋体" w:hAnsi="宋体" w:eastAsia="宋体"/>
                <w:color w:val="auto"/>
                <w:sz w:val="24"/>
                <w:szCs w:val="24"/>
                <w:highlight w:val="none"/>
                <w:lang w:eastAsia="zh-CN"/>
              </w:rPr>
              <w:t>】日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00</w:t>
            </w:r>
            <w:r>
              <w:rPr>
                <w:rFonts w:ascii="宋体" w:hAnsi="宋体" w:eastAsia="宋体"/>
                <w:color w:val="auto"/>
                <w:sz w:val="24"/>
                <w:szCs w:val="24"/>
                <w:highlight w:val="none"/>
              </w:rPr>
              <w:t>】至</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】年【</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】月【</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】日</w:t>
            </w:r>
            <w:r>
              <w:rPr>
                <w:rFonts w:ascii="宋体" w:hAnsi="宋体" w:eastAsia="宋体"/>
                <w:color w:val="auto"/>
                <w:sz w:val="24"/>
                <w:szCs w:val="24"/>
                <w:highlight w:val="none"/>
              </w:rPr>
              <w:t>【</w:t>
            </w:r>
            <w:r>
              <w:rPr>
                <w:rFonts w:hint="eastAsia" w:ascii="宋体" w:hAnsi="宋体" w:eastAsia="宋体"/>
                <w:color w:val="auto"/>
                <w:sz w:val="24"/>
                <w:szCs w:val="24"/>
                <w:highlight w:val="none"/>
              </w:rPr>
              <w:t>17:00</w:t>
            </w:r>
            <w:r>
              <w:rPr>
                <w:rFonts w:ascii="宋体" w:hAnsi="宋体" w:eastAsia="宋体"/>
                <w:color w:val="auto"/>
                <w:sz w:val="24"/>
                <w:szCs w:val="24"/>
                <w:highlight w:val="none"/>
              </w:rPr>
              <w:t>】</w:t>
            </w:r>
            <w:r>
              <w:rPr>
                <w:rFonts w:hint="eastAsia" w:ascii="宋体" w:hAnsi="宋体" w:eastAsia="宋体"/>
                <w:color w:val="auto"/>
                <w:sz w:val="24"/>
                <w:szCs w:val="24"/>
                <w:highlight w:val="none"/>
              </w:rPr>
              <w:t>，实际认购期以管理人或销售服务机构公布的时间为准；</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投资者在认购期内提交认购申请后，为尽量确保投资者认购申请成功确认，</w:t>
            </w:r>
            <w:r>
              <w:rPr>
                <w:rFonts w:hint="eastAsia" w:ascii="宋体" w:hAnsi="宋体" w:eastAsia="宋体"/>
                <w:b/>
                <w:bCs/>
                <w:color w:val="auto"/>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认购登记日</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1.本</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产品的计划</w:t>
            </w:r>
            <w:r>
              <w:rPr>
                <w:rFonts w:hint="eastAsia" w:ascii="宋体" w:hAnsi="宋体" w:eastAsia="宋体"/>
                <w:color w:val="auto"/>
                <w:sz w:val="24"/>
                <w:szCs w:val="24"/>
                <w:highlight w:val="none"/>
              </w:rPr>
              <w:t>认购登记日</w:t>
            </w:r>
            <w:r>
              <w:rPr>
                <w:rFonts w:ascii="宋体" w:hAnsi="宋体" w:eastAsia="宋体"/>
                <w:color w:val="auto"/>
                <w:sz w:val="24"/>
                <w:szCs w:val="24"/>
                <w:highlight w:val="none"/>
              </w:rPr>
              <w:t>为</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】年【</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】月【</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】日</w:t>
            </w:r>
            <w:r>
              <w:rPr>
                <w:rFonts w:hint="eastAsia" w:ascii="宋体" w:hAnsi="宋体" w:eastAsia="宋体"/>
                <w:color w:val="auto"/>
                <w:sz w:val="24"/>
                <w:szCs w:val="24"/>
                <w:highlight w:val="none"/>
              </w:rPr>
              <w:t>（遇非交易日顺延至下一交易日）；</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2.产品管理人有权根据实际募集情况提前或延后产品</w:t>
            </w:r>
            <w:r>
              <w:rPr>
                <w:rFonts w:hint="eastAsia" w:ascii="宋体" w:hAnsi="宋体" w:eastAsia="宋体"/>
                <w:color w:val="auto"/>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成立日</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1.本</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产品的计划成立日为</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】年【</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】月【</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】日</w:t>
            </w:r>
            <w:r>
              <w:rPr>
                <w:rFonts w:hint="eastAsia" w:ascii="宋体" w:hAnsi="宋体" w:eastAsia="宋体"/>
                <w:color w:val="auto"/>
                <w:sz w:val="24"/>
                <w:szCs w:val="24"/>
                <w:highlight w:val="none"/>
              </w:rPr>
              <w:t>（遇非交易日顺延至下一交易日）；</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2.产品管理人有权根据实际募集情况提前或延后产品成立</w:t>
            </w:r>
            <w:r>
              <w:rPr>
                <w:rFonts w:hint="eastAsia" w:ascii="宋体" w:hAnsi="宋体" w:eastAsia="宋体"/>
                <w:color w:val="auto"/>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产品成立</w:t>
            </w:r>
          </w:p>
        </w:tc>
        <w:tc>
          <w:tcPr>
            <w:tcW w:w="6030" w:type="dxa"/>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若出现如下情况之一，本产品管理人有权利但无义务决定本产品不成立：（</w:t>
            </w:r>
            <w:r>
              <w:rPr>
                <w:rFonts w:ascii="宋体" w:hAnsi="宋体" w:eastAsia="宋体"/>
                <w:color w:val="auto"/>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color w:val="auto"/>
                <w:sz w:val="24"/>
                <w:szCs w:val="24"/>
                <w:highlight w:val="none"/>
              </w:rPr>
              <w:t>认购期</w:t>
            </w:r>
            <w:r>
              <w:rPr>
                <w:rFonts w:ascii="宋体" w:hAnsi="宋体" w:eastAsia="宋体"/>
                <w:color w:val="auto"/>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到期日</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1.本</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产品的计划</w:t>
            </w:r>
            <w:r>
              <w:rPr>
                <w:rFonts w:hint="eastAsia" w:ascii="宋体" w:hAnsi="宋体" w:eastAsia="宋体"/>
                <w:color w:val="auto"/>
                <w:sz w:val="24"/>
                <w:szCs w:val="24"/>
                <w:highlight w:val="none"/>
              </w:rPr>
              <w:t>到期日</w:t>
            </w:r>
            <w:r>
              <w:rPr>
                <w:rFonts w:ascii="宋体" w:hAnsi="宋体" w:eastAsia="宋体"/>
                <w:color w:val="auto"/>
                <w:sz w:val="24"/>
                <w:szCs w:val="24"/>
                <w:highlight w:val="none"/>
              </w:rPr>
              <w:t>为【</w:t>
            </w:r>
            <w:r>
              <w:rPr>
                <w:rFonts w:hint="eastAsia" w:ascii="宋体" w:hAnsi="宋体" w:eastAsia="宋体"/>
                <w:color w:val="auto"/>
                <w:sz w:val="24"/>
                <w:szCs w:val="24"/>
                <w:highlight w:val="none"/>
                <w:lang w:val="en-US" w:eastAsia="zh-CN"/>
              </w:rPr>
              <w:t>202</w:t>
            </w:r>
            <w:r>
              <w:rPr>
                <w:rFonts w:hint="eastAsia" w:ascii="宋体" w:hAnsi="宋体" w:eastAsia="宋体"/>
                <w:color w:val="auto"/>
                <w:sz w:val="24"/>
                <w:szCs w:val="24"/>
                <w:highlight w:val="none"/>
                <w:lang w:val="en-US" w:eastAsia="zh-CN"/>
              </w:rPr>
              <w:t>8</w:t>
            </w:r>
            <w:r>
              <w:rPr>
                <w:rFonts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3</w:t>
            </w:r>
            <w:r>
              <w:rPr>
                <w:rFonts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29</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日</w:t>
            </w:r>
            <w:r>
              <w:rPr>
                <w:rFonts w:hint="eastAsia" w:ascii="宋体" w:hAnsi="宋体" w:eastAsia="宋体"/>
                <w:color w:val="auto"/>
                <w:sz w:val="24"/>
                <w:szCs w:val="24"/>
                <w:highlight w:val="none"/>
              </w:rPr>
              <w:t>（遇非交易日顺延至下一交易日）</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本</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产品的实际</w:t>
            </w:r>
            <w:r>
              <w:rPr>
                <w:rFonts w:hint="eastAsia" w:ascii="宋体" w:hAnsi="宋体" w:eastAsia="宋体"/>
                <w:color w:val="auto"/>
                <w:sz w:val="24"/>
                <w:szCs w:val="24"/>
                <w:highlight w:val="none"/>
              </w:rPr>
              <w:t>到期日</w:t>
            </w:r>
            <w:r>
              <w:rPr>
                <w:rFonts w:ascii="宋体" w:hAnsi="宋体" w:eastAsia="宋体"/>
                <w:color w:val="auto"/>
                <w:sz w:val="24"/>
                <w:szCs w:val="24"/>
                <w:highlight w:val="none"/>
              </w:rPr>
              <w:t>受制于本理财产品销售文件“提前</w:t>
            </w:r>
            <w:r>
              <w:rPr>
                <w:rFonts w:hint="eastAsia" w:ascii="宋体" w:hAnsi="宋体" w:eastAsia="宋体"/>
                <w:color w:val="auto"/>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实际到期日</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本理财产品预计存续期限</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757</w:t>
            </w:r>
            <w:r>
              <w:rPr>
                <w:rFonts w:ascii="宋体" w:hAnsi="宋体" w:eastAsia="宋体"/>
                <w:color w:val="auto"/>
                <w:sz w:val="24"/>
                <w:szCs w:val="24"/>
                <w:highlight w:val="none"/>
              </w:rPr>
              <w:t>】天</w:t>
            </w:r>
            <w:r>
              <w:rPr>
                <w:rFonts w:hint="eastAsia" w:ascii="宋体" w:hAnsi="宋体" w:eastAsia="宋体"/>
                <w:color w:val="auto"/>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本理财产品业绩比较基准为：</w:t>
            </w:r>
          </w:p>
          <w:p>
            <w:pPr>
              <w:numPr>
                <w:ilvl w:val="255"/>
                <w:numId w:val="0"/>
              </w:numPr>
              <w:spacing w:line="300" w:lineRule="auto"/>
              <w:rPr>
                <w:rFonts w:hint="eastAsia" w:ascii="宋体" w:hAnsi="宋体" w:eastAsia="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r>
              <w:rPr>
                <w:rFonts w:hint="eastAsia" w:ascii="宋体" w:hAnsi="宋体" w:eastAsia="宋体"/>
                <w:b/>
                <w:bCs/>
                <w:color w:val="auto"/>
                <w:sz w:val="24"/>
                <w:szCs w:val="24"/>
                <w:highlight w:val="none"/>
              </w:rPr>
              <w:t>年化【2.</w:t>
            </w:r>
            <w:r>
              <w:rPr>
                <w:rFonts w:hint="eastAsia" w:ascii="宋体" w:hAnsi="宋体" w:eastAsia="宋体"/>
                <w:b/>
                <w:bCs/>
                <w:color w:val="auto"/>
                <w:sz w:val="24"/>
                <w:szCs w:val="24"/>
                <w:highlight w:val="none"/>
                <w:lang w:val="en-US" w:eastAsia="zh-CN"/>
              </w:rPr>
              <w:t>60</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3.20</w:t>
            </w:r>
            <w:r>
              <w:rPr>
                <w:rFonts w:hint="eastAsia" w:ascii="宋体" w:hAnsi="宋体" w:eastAsia="宋体"/>
                <w:b/>
                <w:bCs/>
                <w:color w:val="auto"/>
                <w:sz w:val="24"/>
                <w:szCs w:val="24"/>
                <w:highlight w:val="none"/>
              </w:rPr>
              <w:t>%】</w:t>
            </w:r>
          </w:p>
          <w:p>
            <w:pPr>
              <w:numPr>
                <w:ilvl w:val="255"/>
                <w:numId w:val="0"/>
              </w:numPr>
              <w:spacing w:line="300" w:lineRule="auto"/>
              <w:rPr>
                <w:rFonts w:hint="eastAsia" w:ascii="宋体" w:hAnsi="宋体" w:eastAsia="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B类份额】：</w:t>
            </w:r>
            <w:r>
              <w:rPr>
                <w:rFonts w:hint="eastAsia" w:ascii="宋体" w:hAnsi="宋体" w:eastAsia="宋体"/>
                <w:b/>
                <w:bCs/>
                <w:color w:val="auto"/>
                <w:sz w:val="24"/>
                <w:szCs w:val="24"/>
                <w:highlight w:val="none"/>
              </w:rPr>
              <w:t>年化【2.</w:t>
            </w:r>
            <w:r>
              <w:rPr>
                <w:rFonts w:hint="eastAsia" w:ascii="宋体" w:hAnsi="宋体" w:eastAsia="宋体"/>
                <w:b/>
                <w:bCs/>
                <w:color w:val="auto"/>
                <w:sz w:val="24"/>
                <w:szCs w:val="24"/>
                <w:highlight w:val="none"/>
                <w:lang w:val="en-US" w:eastAsia="zh-CN"/>
              </w:rPr>
              <w:t>8</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3.</w:t>
            </w: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rPr>
              <w:t>%】</w:t>
            </w:r>
          </w:p>
          <w:p>
            <w:pPr>
              <w:numPr>
                <w:ilvl w:val="255"/>
                <w:numId w:val="0"/>
              </w:numPr>
              <w:spacing w:line="300" w:lineRule="auto"/>
              <w:rPr>
                <w:rFonts w:hint="eastAsia" w:ascii="宋体" w:hAnsi="宋体" w:eastAsia="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r>
              <w:rPr>
                <w:rFonts w:hint="eastAsia" w:ascii="宋体" w:hAnsi="宋体" w:eastAsia="宋体"/>
                <w:b/>
                <w:bCs/>
                <w:color w:val="auto"/>
                <w:sz w:val="24"/>
                <w:szCs w:val="24"/>
                <w:highlight w:val="none"/>
              </w:rPr>
              <w:t>年化【</w:t>
            </w:r>
            <w:r>
              <w:rPr>
                <w:rFonts w:hint="eastAsia" w:ascii="宋体" w:hAnsi="宋体" w:eastAsia="宋体"/>
                <w:b/>
                <w:bCs/>
                <w:color w:val="auto"/>
                <w:sz w:val="24"/>
                <w:szCs w:val="24"/>
                <w:highlight w:val="none"/>
              </w:rPr>
              <w:t>2.</w:t>
            </w:r>
            <w:r>
              <w:rPr>
                <w:rFonts w:hint="eastAsia" w:ascii="宋体" w:hAnsi="宋体" w:eastAsia="宋体"/>
                <w:b/>
                <w:bCs/>
                <w:color w:val="auto"/>
                <w:sz w:val="24"/>
                <w:szCs w:val="24"/>
                <w:highlight w:val="none"/>
                <w:lang w:val="en-US" w:eastAsia="zh-CN"/>
              </w:rPr>
              <w:t>70</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3.30</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rPr>
              <w:t>】</w:t>
            </w:r>
          </w:p>
          <w:p>
            <w:pPr>
              <w:numPr>
                <w:ilvl w:val="255"/>
                <w:numId w:val="0"/>
              </w:numPr>
              <w:spacing w:line="300" w:lineRule="auto"/>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业绩比较基准测算依据：</w:t>
            </w:r>
            <w:r>
              <w:rPr>
                <w:rFonts w:hint="eastAsia" w:ascii="宋体" w:hAnsi="宋体" w:eastAsia="宋体"/>
                <w:color w:val="auto"/>
                <w:sz w:val="24"/>
                <w:szCs w:val="24"/>
                <w:highlight w:val="none"/>
              </w:rPr>
              <w:t>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2.关于</w:t>
            </w:r>
            <w:r>
              <w:rPr>
                <w:rFonts w:ascii="宋体" w:hAnsi="宋体" w:eastAsia="宋体"/>
                <w:color w:val="auto"/>
                <w:sz w:val="24"/>
                <w:szCs w:val="24"/>
                <w:highlight w:val="none"/>
              </w:rPr>
              <w:t>业绩比较基准的</w:t>
            </w:r>
            <w:r>
              <w:rPr>
                <w:rFonts w:hint="eastAsia" w:ascii="宋体" w:hAnsi="宋体" w:eastAsia="宋体"/>
                <w:color w:val="auto"/>
                <w:sz w:val="24"/>
                <w:szCs w:val="24"/>
                <w:highlight w:val="none"/>
              </w:rPr>
              <w:t>重要</w:t>
            </w:r>
            <w:r>
              <w:rPr>
                <w:rFonts w:ascii="宋体" w:hAnsi="宋体" w:eastAsia="宋体"/>
                <w:color w:val="auto"/>
                <w:sz w:val="24"/>
                <w:szCs w:val="24"/>
                <w:highlight w:val="none"/>
              </w:rPr>
              <w:t>提示：</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b/>
                <w:bCs/>
                <w:color w:val="auto"/>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1.本理财产品</w:t>
            </w:r>
            <w:r>
              <w:rPr>
                <w:rFonts w:hint="eastAsia" w:ascii="宋体" w:hAnsi="宋体" w:eastAsia="宋体" w:cs="宋体"/>
                <w:b/>
                <w:bCs/>
                <w:color w:val="auto"/>
                <w:sz w:val="24"/>
                <w:szCs w:val="24"/>
                <w:highlight w:val="none"/>
              </w:rPr>
              <w:t>收取</w:t>
            </w:r>
            <w:r>
              <w:rPr>
                <w:rFonts w:hint="eastAsia" w:ascii="宋体" w:hAnsi="宋体" w:eastAsia="宋体"/>
                <w:b/>
                <w:bCs/>
                <w:color w:val="auto"/>
                <w:sz w:val="24"/>
                <w:szCs w:val="24"/>
                <w:highlight w:val="none"/>
              </w:rPr>
              <w:t>超额业绩报酬</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超额业绩报酬计提基准为：</w:t>
            </w:r>
          </w:p>
          <w:p>
            <w:pPr>
              <w:numPr>
                <w:ilvl w:val="255"/>
                <w:numId w:val="0"/>
              </w:numPr>
              <w:spacing w:line="300" w:lineRule="auto"/>
              <w:rPr>
                <w:rFonts w:hint="eastAsia" w:ascii="宋体" w:hAnsi="宋体" w:eastAsia="宋体"/>
                <w:color w:val="auto"/>
                <w:sz w:val="24"/>
                <w:szCs w:val="24"/>
                <w:highlight w:val="none"/>
              </w:rPr>
            </w:pPr>
            <w:r>
              <w:rPr>
                <w:rFonts w:hint="eastAsia" w:ascii="宋体" w:hAnsi="宋体" w:eastAsia="宋体" w:cs="宋体"/>
                <w:b/>
                <w:bCs/>
                <w:color w:val="auto"/>
                <w:sz w:val="24"/>
                <w:szCs w:val="24"/>
                <w:highlight w:val="none"/>
              </w:rPr>
              <w:t>★【A类份额】：</w:t>
            </w:r>
            <w:r>
              <w:rPr>
                <w:rFonts w:hint="eastAsia" w:ascii="宋体" w:hAnsi="宋体" w:eastAsia="宋体"/>
                <w:b/>
                <w:bCs/>
                <w:color w:val="auto"/>
                <w:sz w:val="24"/>
                <w:szCs w:val="24"/>
                <w:highlight w:val="none"/>
              </w:rPr>
              <w:t>年化【</w:t>
            </w: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lang w:val="en-US" w:eastAsia="zh-CN"/>
              </w:rPr>
              <w:t>9</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rPr>
              <w:t>%】</w:t>
            </w:r>
          </w:p>
          <w:p>
            <w:pPr>
              <w:spacing w:line="300" w:lineRule="auto"/>
              <w:jc w:val="left"/>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rPr>
              <w:t>★【B类份额】：</w:t>
            </w:r>
            <w:r>
              <w:rPr>
                <w:rFonts w:hint="eastAsia" w:ascii="宋体" w:hAnsi="宋体" w:eastAsia="宋体"/>
                <w:b/>
                <w:bCs/>
                <w:color w:val="auto"/>
                <w:sz w:val="24"/>
                <w:szCs w:val="24"/>
                <w:highlight w:val="none"/>
              </w:rPr>
              <w:t>年化【</w:t>
            </w:r>
            <w:r>
              <w:rPr>
                <w:rFonts w:hint="eastAsia" w:ascii="宋体" w:hAnsi="宋体" w:eastAsia="宋体"/>
                <w:b/>
                <w:bCs/>
                <w:color w:val="auto"/>
                <w:sz w:val="24"/>
                <w:szCs w:val="24"/>
                <w:highlight w:val="none"/>
                <w:lang w:val="en-US" w:eastAsia="zh-CN"/>
              </w:rPr>
              <w:t>3.10</w:t>
            </w:r>
            <w:r>
              <w:rPr>
                <w:rFonts w:hint="eastAsia" w:ascii="宋体" w:hAnsi="宋体" w:eastAsia="宋体"/>
                <w:b/>
                <w:bCs/>
                <w:color w:val="auto"/>
                <w:sz w:val="24"/>
                <w:szCs w:val="24"/>
                <w:highlight w:val="none"/>
              </w:rPr>
              <w:t>%】</w:t>
            </w:r>
          </w:p>
          <w:p>
            <w:pPr>
              <w:numPr>
                <w:ilvl w:val="255"/>
                <w:numId w:val="0"/>
              </w:numPr>
              <w:spacing w:line="300" w:lineRule="auto"/>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C</w:t>
            </w:r>
            <w:r>
              <w:rPr>
                <w:rFonts w:hint="eastAsia" w:ascii="宋体" w:hAnsi="宋体" w:eastAsia="宋体" w:cs="宋体"/>
                <w:b/>
                <w:bCs/>
                <w:color w:val="auto"/>
                <w:sz w:val="24"/>
                <w:szCs w:val="24"/>
                <w:highlight w:val="none"/>
              </w:rPr>
              <w:t>类份额】：</w:t>
            </w:r>
            <w:r>
              <w:rPr>
                <w:rFonts w:hint="eastAsia" w:ascii="宋体" w:hAnsi="宋体" w:eastAsia="宋体"/>
                <w:b/>
                <w:bCs/>
                <w:color w:val="auto"/>
                <w:sz w:val="24"/>
                <w:szCs w:val="24"/>
                <w:highlight w:val="none"/>
              </w:rPr>
              <w:t>年化【</w:t>
            </w:r>
            <w:r>
              <w:rPr>
                <w:rFonts w:hint="eastAsia" w:ascii="宋体" w:hAnsi="宋体" w:eastAsia="宋体"/>
                <w:b/>
                <w:bCs/>
                <w:color w:val="auto"/>
                <w:sz w:val="24"/>
                <w:szCs w:val="24"/>
                <w:highlight w:val="none"/>
                <w:lang w:val="en-US" w:eastAsia="zh-CN"/>
              </w:rPr>
              <w:t>3.00</w:t>
            </w:r>
            <w:r>
              <w:rPr>
                <w:rFonts w:hint="eastAsia" w:ascii="宋体" w:hAnsi="宋体" w:eastAsia="宋体"/>
                <w:b/>
                <w:bCs/>
                <w:color w:val="auto"/>
                <w:sz w:val="24"/>
                <w:szCs w:val="24"/>
                <w:highlight w:val="none"/>
              </w:rPr>
              <w:t>%】</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关于超额</w:t>
            </w:r>
            <w:r>
              <w:rPr>
                <w:rFonts w:ascii="宋体" w:hAnsi="宋体" w:eastAsia="宋体"/>
                <w:color w:val="auto"/>
                <w:sz w:val="24"/>
                <w:szCs w:val="24"/>
                <w:highlight w:val="none"/>
              </w:rPr>
              <w:t>业绩报酬计提基准的</w:t>
            </w:r>
            <w:r>
              <w:rPr>
                <w:rFonts w:hint="eastAsia" w:ascii="宋体" w:hAnsi="宋体" w:eastAsia="宋体"/>
                <w:color w:val="auto"/>
                <w:sz w:val="24"/>
                <w:szCs w:val="24"/>
                <w:highlight w:val="none"/>
              </w:rPr>
              <w:t>重点</w:t>
            </w:r>
            <w:r>
              <w:rPr>
                <w:rFonts w:ascii="宋体" w:hAnsi="宋体" w:eastAsia="宋体"/>
                <w:color w:val="auto"/>
                <w:sz w:val="24"/>
                <w:szCs w:val="24"/>
                <w:highlight w:val="none"/>
              </w:rPr>
              <w:t>提示：</w:t>
            </w:r>
          </w:p>
          <w:p>
            <w:pPr>
              <w:spacing w:line="300" w:lineRule="auto"/>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b/>
                <w:bCs/>
                <w:color w:val="auto"/>
                <w:sz w:val="24"/>
                <w:szCs w:val="24"/>
                <w:highlight w:val="none"/>
              </w:rPr>
              <w:t>超额</w:t>
            </w:r>
            <w:r>
              <w:rPr>
                <w:rFonts w:ascii="宋体" w:hAnsi="宋体" w:eastAsia="宋体"/>
                <w:b/>
                <w:bCs/>
                <w:color w:val="auto"/>
                <w:sz w:val="24"/>
                <w:szCs w:val="24"/>
                <w:highlight w:val="none"/>
              </w:rPr>
              <w:t>业绩报酬计提基准仅作为</w:t>
            </w:r>
            <w:r>
              <w:rPr>
                <w:rFonts w:hint="eastAsia" w:ascii="宋体" w:hAnsi="宋体" w:eastAsia="宋体"/>
                <w:b/>
                <w:bCs/>
                <w:color w:val="auto"/>
                <w:sz w:val="24"/>
                <w:szCs w:val="24"/>
                <w:highlight w:val="none"/>
              </w:rPr>
              <w:t>产品</w:t>
            </w:r>
            <w:r>
              <w:rPr>
                <w:rFonts w:ascii="宋体" w:hAnsi="宋体" w:eastAsia="宋体"/>
                <w:b/>
                <w:bCs/>
                <w:color w:val="auto"/>
                <w:sz w:val="24"/>
                <w:szCs w:val="24"/>
                <w:highlight w:val="none"/>
              </w:rPr>
              <w:t>管理人收取超额业绩报酬</w:t>
            </w:r>
            <w:r>
              <w:rPr>
                <w:rFonts w:hint="eastAsia" w:ascii="宋体" w:hAnsi="宋体" w:eastAsia="宋体"/>
                <w:b/>
                <w:bCs/>
                <w:color w:val="auto"/>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理财产品利益分配</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1.理财产品存续期间，产品管理人有权视理财产品收益情</w:t>
            </w:r>
            <w:r>
              <w:rPr>
                <w:rFonts w:hint="eastAsia" w:ascii="宋体" w:hAnsi="宋体" w:eastAsia="宋体"/>
                <w:color w:val="auto"/>
                <w:sz w:val="24"/>
                <w:szCs w:val="24"/>
                <w:highlight w:val="none"/>
              </w:rPr>
              <w:t>况进行主动分配，相应分配基准日、分配方案由产品管理人及时披露；</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2.理财产品利益分配</w:t>
            </w:r>
            <w:r>
              <w:rPr>
                <w:rFonts w:hint="eastAsia" w:ascii="宋体" w:hAnsi="宋体" w:eastAsia="宋体"/>
                <w:color w:val="auto"/>
                <w:sz w:val="24"/>
                <w:szCs w:val="24"/>
                <w:highlight w:val="none"/>
              </w:rPr>
              <w:t>具体内容</w:t>
            </w:r>
            <w:r>
              <w:rPr>
                <w:rFonts w:ascii="宋体" w:hAnsi="宋体" w:eastAsia="宋体"/>
                <w:color w:val="auto"/>
                <w:sz w:val="24"/>
                <w:szCs w:val="24"/>
                <w:highlight w:val="none"/>
              </w:rPr>
              <w:t>详见《理财产品说明书》“八</w:t>
            </w:r>
            <w:r>
              <w:rPr>
                <w:rFonts w:hint="eastAsia" w:ascii="宋体" w:hAnsi="宋体" w:eastAsia="宋体"/>
                <w:color w:val="auto"/>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2.销售服务费：</w:t>
            </w:r>
          </w:p>
          <w:p>
            <w:pPr>
              <w:numPr>
                <w:ilvl w:val="255"/>
                <w:numId w:val="0"/>
              </w:numPr>
              <w:spacing w:line="300" w:lineRule="auto"/>
              <w:outlineLvl w:val="0"/>
              <w:rPr>
                <w:rFonts w:hint="eastAsia" w:ascii="宋体" w:hAnsi="宋体" w:eastAsia="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24"/>
                <w:highlight w:val="none"/>
              </w:rPr>
              <w:t>A类份额】：【</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rPr>
              <w:t>】%/年，产品成立日一次性计提，按日摊销</w:t>
            </w:r>
            <w:r>
              <w:rPr>
                <w:rFonts w:hint="eastAsia" w:ascii="宋体" w:hAnsi="宋体" w:eastAsia="宋体"/>
                <w:color w:val="auto"/>
                <w:sz w:val="24"/>
                <w:szCs w:val="24"/>
                <w:highlight w:val="none"/>
              </w:rPr>
              <w:t>。</w:t>
            </w:r>
          </w:p>
          <w:p>
            <w:pPr>
              <w:numPr>
                <w:ilvl w:val="255"/>
                <w:numId w:val="0"/>
              </w:numPr>
              <w:spacing w:line="300" w:lineRule="auto"/>
              <w:outlineLvl w:val="0"/>
              <w:rPr>
                <w:rFonts w:hint="eastAsia" w:ascii="宋体" w:hAnsi="宋体" w:eastAsia="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b/>
                <w:bCs/>
                <w:color w:val="auto"/>
                <w:sz w:val="24"/>
                <w:szCs w:val="24"/>
                <w:highlight w:val="none"/>
              </w:rPr>
              <w:t>类份额】：【</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lang w:val="en-US" w:eastAsia="zh-CN"/>
              </w:rPr>
              <w:t>20</w:t>
            </w:r>
            <w:r>
              <w:rPr>
                <w:rFonts w:hint="eastAsia" w:ascii="宋体" w:hAnsi="宋体" w:eastAsia="宋体"/>
                <w:b/>
                <w:bCs/>
                <w:color w:val="auto"/>
                <w:sz w:val="24"/>
                <w:szCs w:val="24"/>
                <w:highlight w:val="none"/>
              </w:rPr>
              <w:t>】%/年</w:t>
            </w:r>
            <w:r>
              <w:rPr>
                <w:rFonts w:ascii="宋体" w:hAnsi="宋体" w:eastAsia="宋体" w:cs="宋体"/>
                <w:color w:val="auto"/>
                <w:kern w:val="0"/>
                <w:sz w:val="24"/>
                <w:szCs w:val="24"/>
                <w:highlight w:val="none"/>
                <w:lang w:bidi="ar"/>
              </w:rPr>
              <w:t>，</w:t>
            </w:r>
            <w:r>
              <w:rPr>
                <w:rFonts w:ascii="Bold" w:hAnsi="Bold" w:eastAsia="Bold" w:cs="Bold"/>
                <w:b/>
                <w:bCs/>
                <w:color w:val="auto"/>
                <w:kern w:val="0"/>
                <w:sz w:val="24"/>
                <w:szCs w:val="24"/>
                <w:highlight w:val="none"/>
                <w:lang w:bidi="ar"/>
              </w:rPr>
              <w:t>产品成立日一次性计提，</w:t>
            </w:r>
            <w:r>
              <w:rPr>
                <w:rFonts w:hint="eastAsia" w:ascii="Bold" w:hAnsi="Bold" w:eastAsia="Bold" w:cs="Bold"/>
                <w:b/>
                <w:bCs/>
                <w:color w:val="auto"/>
                <w:kern w:val="0"/>
                <w:sz w:val="24"/>
                <w:szCs w:val="24"/>
                <w:highlight w:val="none"/>
                <w:lang w:bidi="ar"/>
              </w:rPr>
              <w:t>按</w:t>
            </w:r>
            <w:r>
              <w:rPr>
                <w:rFonts w:ascii="Bold" w:hAnsi="Bold" w:eastAsia="Bold" w:cs="Bold"/>
                <w:b/>
                <w:bCs/>
                <w:color w:val="auto"/>
                <w:kern w:val="0"/>
                <w:sz w:val="24"/>
                <w:szCs w:val="24"/>
                <w:highlight w:val="none"/>
                <w:lang w:bidi="ar"/>
              </w:rPr>
              <w:t>日摊销</w:t>
            </w:r>
            <w:r>
              <w:rPr>
                <w:rFonts w:hint="eastAsia" w:ascii="宋体" w:hAnsi="宋体" w:eastAsia="宋体"/>
                <w:color w:val="auto"/>
                <w:sz w:val="24"/>
                <w:szCs w:val="24"/>
                <w:highlight w:val="none"/>
              </w:rPr>
              <w:t>。</w:t>
            </w:r>
          </w:p>
          <w:p>
            <w:pPr>
              <w:numPr>
                <w:ilvl w:val="255"/>
                <w:numId w:val="0"/>
              </w:numPr>
              <w:spacing w:line="300" w:lineRule="auto"/>
              <w:outlineLvl w:val="0"/>
              <w:rPr>
                <w:rFonts w:hint="eastAsia" w:ascii="宋体" w:hAnsi="宋体" w:eastAsia="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24"/>
                <w:highlight w:val="none"/>
                <w:lang w:val="en-US" w:eastAsia="zh-CN"/>
              </w:rPr>
              <w:t>C</w:t>
            </w:r>
            <w:r>
              <w:rPr>
                <w:rFonts w:hint="eastAsia" w:ascii="宋体" w:hAnsi="宋体" w:eastAsia="宋体"/>
                <w:b/>
                <w:bCs/>
                <w:color w:val="auto"/>
                <w:sz w:val="24"/>
                <w:szCs w:val="24"/>
                <w:highlight w:val="none"/>
              </w:rPr>
              <w:t>类份额】：【</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lang w:val="en-US" w:eastAsia="zh-CN"/>
              </w:rPr>
              <w:t>30</w:t>
            </w:r>
            <w:r>
              <w:rPr>
                <w:rFonts w:hint="eastAsia" w:ascii="宋体" w:hAnsi="宋体" w:eastAsia="宋体"/>
                <w:b/>
                <w:bCs/>
                <w:color w:val="auto"/>
                <w:sz w:val="24"/>
                <w:szCs w:val="24"/>
                <w:highlight w:val="none"/>
              </w:rPr>
              <w:t>】%/年，产品成立日一次性计提，按日摊销</w:t>
            </w:r>
            <w:r>
              <w:rPr>
                <w:rFonts w:hint="eastAsia" w:ascii="宋体" w:hAnsi="宋体" w:eastAsia="宋体"/>
                <w:color w:val="auto"/>
                <w:sz w:val="24"/>
                <w:szCs w:val="24"/>
                <w:highlight w:val="none"/>
              </w:rPr>
              <w:t>。</w:t>
            </w:r>
          </w:p>
          <w:p>
            <w:p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管理人有权根据不同销售服务机构</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销售渠道</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3.固定</w:t>
            </w:r>
            <w:r>
              <w:rPr>
                <w:rFonts w:ascii="宋体" w:hAnsi="宋体" w:eastAsia="宋体"/>
                <w:b/>
                <w:bCs/>
                <w:color w:val="auto"/>
                <w:sz w:val="24"/>
                <w:szCs w:val="24"/>
                <w:highlight w:val="none"/>
              </w:rPr>
              <w:t>管理费：</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0.60</w:t>
            </w:r>
            <w:r>
              <w:rPr>
                <w:rFonts w:hint="eastAsia" w:ascii="宋体" w:hAnsi="宋体" w:eastAsia="宋体"/>
                <w:b/>
                <w:bCs/>
                <w:color w:val="auto"/>
                <w:sz w:val="24"/>
                <w:szCs w:val="24"/>
                <w:highlight w:val="none"/>
              </w:rPr>
              <w:t>】%/年</w:t>
            </w:r>
            <w:r>
              <w:rPr>
                <w:rFonts w:hint="eastAsia" w:ascii="宋体" w:hAnsi="宋体" w:eastAsia="宋体"/>
                <w:color w:val="auto"/>
                <w:sz w:val="24"/>
                <w:szCs w:val="24"/>
                <w:highlight w:val="none"/>
              </w:rPr>
              <w:t>（自成立日起阶段性优惠至年化</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0.</w:t>
            </w:r>
            <w:r>
              <w:rPr>
                <w:rFonts w:hint="eastAsia" w:ascii="宋体" w:hAnsi="宋体" w:eastAsia="宋体"/>
                <w:b/>
                <w:bCs/>
                <w:color w:val="auto"/>
                <w:sz w:val="24"/>
                <w:szCs w:val="24"/>
                <w:highlight w:val="none"/>
                <w:lang w:val="en-US" w:eastAsia="zh-CN"/>
              </w:rPr>
              <w:t>10</w:t>
            </w:r>
            <w:r>
              <w:rPr>
                <w:rFonts w:hint="eastAsia" w:ascii="宋体" w:hAnsi="宋体" w:eastAsia="宋体"/>
                <w:b/>
                <w:bCs/>
                <w:color w:val="auto"/>
                <w:sz w:val="24"/>
                <w:szCs w:val="24"/>
                <w:highlight w:val="none"/>
              </w:rPr>
              <w:t>】%/年</w:t>
            </w:r>
            <w:r>
              <w:rPr>
                <w:rFonts w:hint="eastAsia" w:ascii="宋体" w:hAnsi="宋体" w:eastAsia="宋体"/>
                <w:color w:val="auto"/>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color w:val="auto"/>
                <w:sz w:val="24"/>
                <w:szCs w:val="24"/>
                <w:highlight w:val="none"/>
              </w:rPr>
              <w:t>；</w:t>
            </w:r>
          </w:p>
          <w:p>
            <w:pPr>
              <w:widowControl/>
              <w:numPr>
                <w:ilvl w:val="255"/>
                <w:numId w:val="0"/>
              </w:numPr>
              <w:spacing w:line="300" w:lineRule="auto"/>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4.托管费：【</w:t>
            </w:r>
            <w:r>
              <w:rPr>
                <w:rFonts w:hint="eastAsia" w:ascii="宋体" w:hAnsi="宋体" w:eastAsia="宋体"/>
                <w:b/>
                <w:bCs/>
                <w:color w:val="auto"/>
                <w:sz w:val="24"/>
                <w:szCs w:val="24"/>
                <w:highlight w:val="none"/>
                <w:lang w:val="en-US" w:eastAsia="zh-CN"/>
              </w:rPr>
              <w:t>0.02</w:t>
            </w:r>
            <w:r>
              <w:rPr>
                <w:rFonts w:hint="eastAsia" w:ascii="宋体" w:hAnsi="宋体" w:eastAsia="宋体"/>
                <w:b/>
                <w:bCs/>
                <w:color w:val="auto"/>
                <w:sz w:val="24"/>
                <w:szCs w:val="24"/>
                <w:highlight w:val="none"/>
              </w:rPr>
              <w:t>】%/年；</w:t>
            </w:r>
          </w:p>
          <w:p>
            <w:pPr>
              <w:numPr>
                <w:ilvl w:val="255"/>
                <w:numId w:val="0"/>
              </w:num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5.超额业绩报酬:</w:t>
            </w: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color w:val="auto"/>
                <w:sz w:val="24"/>
                <w:szCs w:val="24"/>
                <w:highlight w:val="none"/>
              </w:rPr>
            </w:pPr>
            <w:r>
              <w:rPr>
                <w:rFonts w:hint="eastAsia" w:ascii="宋体" w:hAnsi="宋体" w:eastAsia="宋体"/>
                <w:b/>
                <w:bCs/>
                <w:color w:val="auto"/>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color w:val="auto"/>
                <w:sz w:val="24"/>
                <w:szCs w:val="24"/>
                <w:highlight w:val="none"/>
                <w:lang w:val="en-US" w:eastAsia="zh-CN"/>
              </w:rPr>
              <w:t>50</w:t>
            </w:r>
            <w:r>
              <w:rPr>
                <w:rFonts w:hint="eastAsia" w:ascii="宋体" w:hAnsi="宋体" w:eastAsia="宋体"/>
                <w:b/>
                <w:bCs/>
                <w:color w:val="auto"/>
                <w:sz w:val="24"/>
                <w:szCs w:val="24"/>
                <w:highlight w:val="none"/>
              </w:rPr>
              <w:t>%】为超额业绩报酬。超额业绩报酬精确到小数点后2位，小数点2位以后四舍五入。</w:t>
            </w:r>
            <w:r>
              <w:rPr>
                <w:rFonts w:ascii="宋体" w:hAnsi="宋体" w:eastAsia="宋体"/>
                <w:b/>
                <w:bCs/>
                <w:color w:val="auto"/>
                <w:sz w:val="24"/>
                <w:szCs w:val="24"/>
                <w:highlight w:val="none"/>
              </w:rPr>
              <w:t>产品管理人保留变更上述理财产品费率标准的权</w:t>
            </w:r>
            <w:r>
              <w:rPr>
                <w:rFonts w:hint="eastAsia" w:ascii="宋体" w:hAnsi="宋体" w:eastAsia="宋体"/>
                <w:b/>
                <w:bCs/>
                <w:color w:val="auto"/>
                <w:sz w:val="24"/>
                <w:szCs w:val="24"/>
                <w:highlight w:val="none"/>
              </w:rPr>
              <w:t>利。</w:t>
            </w:r>
          </w:p>
          <w:p>
            <w:pPr>
              <w:spacing w:line="30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color w:val="auto"/>
                <w:sz w:val="24"/>
                <w:szCs w:val="24"/>
                <w:highlight w:val="none"/>
              </w:rPr>
            </w:pPr>
            <w:r>
              <w:rPr>
                <w:rFonts w:hint="eastAsia" w:ascii="宋体" w:hAnsi="宋体" w:cs="宋体"/>
                <w:b/>
                <w:bCs/>
                <w:color w:val="auto"/>
                <w:sz w:val="24"/>
                <w:highlight w:val="none"/>
              </w:rPr>
              <w:t>详细内容见本《理财产品说明书》之</w:t>
            </w:r>
            <w:r>
              <w:rPr>
                <w:rFonts w:hint="eastAsia" w:ascii="宋体" w:hAnsi="宋体" w:eastAsia="宋体"/>
                <w:b/>
                <w:bCs/>
                <w:color w:val="auto"/>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税款</w:t>
            </w:r>
          </w:p>
        </w:tc>
        <w:tc>
          <w:tcPr>
            <w:tcW w:w="6030"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其他约定</w:t>
            </w:r>
          </w:p>
        </w:tc>
        <w:tc>
          <w:tcPr>
            <w:tcW w:w="6030" w:type="dxa"/>
            <w:vAlign w:val="center"/>
          </w:tcPr>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1.产品</w:t>
            </w:r>
            <w:r>
              <w:rPr>
                <w:rFonts w:hint="eastAsia" w:ascii="宋体" w:hAnsi="宋体" w:eastAsia="宋体"/>
                <w:color w:val="auto"/>
                <w:sz w:val="24"/>
                <w:szCs w:val="24"/>
                <w:highlight w:val="none"/>
              </w:rPr>
              <w:t>认购期</w:t>
            </w:r>
            <w:r>
              <w:rPr>
                <w:rFonts w:ascii="宋体" w:hAnsi="宋体" w:eastAsia="宋体"/>
                <w:color w:val="auto"/>
                <w:sz w:val="24"/>
                <w:szCs w:val="24"/>
                <w:highlight w:val="none"/>
              </w:rPr>
              <w:t>、</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登记日、产品成立日、提前终止日等日期，渤银理财有权根据节假日进行调整，并以实际公布</w:t>
            </w:r>
            <w:r>
              <w:rPr>
                <w:rFonts w:hint="eastAsia" w:ascii="宋体" w:hAnsi="宋体" w:eastAsia="宋体"/>
                <w:color w:val="auto"/>
                <w:sz w:val="24"/>
                <w:szCs w:val="24"/>
                <w:highlight w:val="none"/>
              </w:rPr>
              <w:t>的结果</w:t>
            </w:r>
            <w:r>
              <w:rPr>
                <w:rFonts w:ascii="宋体" w:hAnsi="宋体" w:eastAsia="宋体"/>
                <w:color w:val="auto"/>
                <w:sz w:val="24"/>
                <w:szCs w:val="24"/>
                <w:highlight w:val="none"/>
              </w:rPr>
              <w:t>为准。</w:t>
            </w:r>
          </w:p>
          <w:p>
            <w:pPr>
              <w:spacing w:line="300" w:lineRule="auto"/>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2.认购日至扣款日（不含）之间，</w:t>
            </w:r>
            <w:r>
              <w:rPr>
                <w:rFonts w:hint="eastAsia" w:ascii="宋体" w:hAnsi="宋体" w:eastAsia="宋体"/>
                <w:b/>
                <w:bCs/>
                <w:color w:val="auto"/>
                <w:sz w:val="24"/>
                <w:szCs w:val="24"/>
                <w:highlight w:val="none"/>
              </w:rPr>
              <w:t>若销售服务机构对认购</w:t>
            </w:r>
            <w:r>
              <w:rPr>
                <w:rFonts w:ascii="宋体" w:hAnsi="宋体" w:eastAsia="宋体"/>
                <w:b/>
                <w:bCs/>
                <w:color w:val="auto"/>
                <w:sz w:val="24"/>
                <w:szCs w:val="24"/>
                <w:highlight w:val="none"/>
              </w:rPr>
              <w:t>资金按人民币活期存款利率计付利息</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利息不计入</w:t>
            </w:r>
            <w:r>
              <w:rPr>
                <w:rFonts w:hint="eastAsia" w:ascii="宋体" w:hAnsi="宋体" w:eastAsia="宋体"/>
                <w:b/>
                <w:bCs/>
                <w:color w:val="auto"/>
                <w:sz w:val="24"/>
                <w:szCs w:val="24"/>
                <w:highlight w:val="none"/>
              </w:rPr>
              <w:t>认购</w:t>
            </w:r>
            <w:r>
              <w:rPr>
                <w:rFonts w:ascii="宋体" w:hAnsi="宋体" w:eastAsia="宋体"/>
                <w:b/>
                <w:bCs/>
                <w:color w:val="auto"/>
                <w:sz w:val="24"/>
                <w:szCs w:val="24"/>
                <w:highlight w:val="none"/>
              </w:rPr>
              <w:t>本金。</w:t>
            </w:r>
          </w:p>
          <w:p>
            <w:pPr>
              <w:spacing w:line="300" w:lineRule="auto"/>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3.理财产品</w:t>
            </w:r>
            <w:r>
              <w:rPr>
                <w:rFonts w:hint="eastAsia" w:ascii="宋体" w:hAnsi="宋体" w:eastAsia="宋体"/>
                <w:b/>
                <w:bCs/>
                <w:color w:val="auto"/>
                <w:sz w:val="24"/>
                <w:szCs w:val="24"/>
                <w:highlight w:val="none"/>
              </w:rPr>
              <w:t>实际</w:t>
            </w:r>
            <w:r>
              <w:rPr>
                <w:rFonts w:ascii="宋体" w:hAnsi="宋体" w:eastAsia="宋体"/>
                <w:b/>
                <w:bCs/>
                <w:color w:val="auto"/>
                <w:sz w:val="24"/>
                <w:szCs w:val="24"/>
                <w:highlight w:val="none"/>
              </w:rPr>
              <w:t>终止日至资金到账日为终止清算期，上述清算期内均不计付</w:t>
            </w:r>
            <w:r>
              <w:rPr>
                <w:rFonts w:hint="eastAsia" w:ascii="宋体" w:hAnsi="宋体" w:eastAsia="宋体"/>
                <w:b/>
                <w:bCs/>
                <w:color w:val="auto"/>
                <w:sz w:val="24"/>
                <w:szCs w:val="24"/>
                <w:highlight w:val="none"/>
              </w:rPr>
              <w:t>利息</w:t>
            </w:r>
            <w:r>
              <w:rPr>
                <w:rFonts w:ascii="宋体" w:hAnsi="宋体" w:eastAsia="宋体"/>
                <w:b/>
                <w:bCs/>
                <w:color w:val="auto"/>
                <w:sz w:val="24"/>
                <w:szCs w:val="24"/>
                <w:highlight w:val="none"/>
              </w:rPr>
              <w:t>。</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4.投资者若购买本产品后欲办理销户或调整理财交易账户等，需</w:t>
            </w:r>
            <w:r>
              <w:rPr>
                <w:rFonts w:hint="eastAsia" w:ascii="宋体" w:hAnsi="宋体" w:eastAsia="宋体"/>
                <w:color w:val="auto"/>
                <w:sz w:val="24"/>
                <w:szCs w:val="24"/>
                <w:highlight w:val="none"/>
              </w:rPr>
              <w:t>在</w:t>
            </w:r>
            <w:r>
              <w:rPr>
                <w:rFonts w:ascii="宋体" w:hAnsi="宋体" w:eastAsia="宋体"/>
                <w:color w:val="auto"/>
                <w:sz w:val="24"/>
                <w:szCs w:val="24"/>
                <w:highlight w:val="none"/>
              </w:rPr>
              <w:t>本产品分配</w:t>
            </w:r>
            <w:r>
              <w:rPr>
                <w:rFonts w:hint="eastAsia" w:ascii="宋体" w:hAnsi="宋体" w:eastAsia="宋体"/>
                <w:color w:val="auto"/>
                <w:sz w:val="24"/>
                <w:szCs w:val="24"/>
                <w:highlight w:val="none"/>
              </w:rPr>
              <w:t>完成</w:t>
            </w:r>
            <w:r>
              <w:rPr>
                <w:rFonts w:ascii="宋体" w:hAnsi="宋体" w:eastAsia="宋体"/>
                <w:color w:val="auto"/>
                <w:sz w:val="24"/>
                <w:szCs w:val="24"/>
                <w:highlight w:val="none"/>
              </w:rPr>
              <w:t>后</w:t>
            </w:r>
            <w:r>
              <w:rPr>
                <w:rFonts w:hint="eastAsia" w:ascii="宋体" w:hAnsi="宋体" w:eastAsia="宋体"/>
                <w:color w:val="auto"/>
                <w:sz w:val="24"/>
                <w:szCs w:val="24"/>
                <w:highlight w:val="none"/>
              </w:rPr>
              <w:t>方可</w:t>
            </w:r>
            <w:r>
              <w:rPr>
                <w:rFonts w:ascii="宋体" w:hAnsi="宋体" w:eastAsia="宋体"/>
                <w:color w:val="auto"/>
                <w:sz w:val="24"/>
                <w:szCs w:val="24"/>
                <w:highlight w:val="none"/>
              </w:rPr>
              <w:t>办理。</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受理</w:t>
            </w:r>
            <w:r>
              <w:rPr>
                <w:rFonts w:hint="eastAsia" w:ascii="宋体" w:hAnsi="宋体" w:eastAsia="宋体"/>
                <w:color w:val="auto"/>
                <w:sz w:val="24"/>
                <w:szCs w:val="24"/>
                <w:highlight w:val="none"/>
              </w:rPr>
              <w:t>购买</w:t>
            </w:r>
            <w:r>
              <w:rPr>
                <w:rFonts w:ascii="宋体" w:hAnsi="宋体" w:eastAsia="宋体"/>
                <w:color w:val="auto"/>
                <w:sz w:val="24"/>
                <w:szCs w:val="24"/>
                <w:highlight w:val="none"/>
              </w:rPr>
              <w:t>申请并不表示对该申请成功的确认，而仅代表</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收到了</w:t>
            </w:r>
            <w:r>
              <w:rPr>
                <w:rFonts w:hint="eastAsia" w:ascii="宋体" w:hAnsi="宋体" w:eastAsia="宋体"/>
                <w:color w:val="auto"/>
                <w:sz w:val="24"/>
                <w:szCs w:val="24"/>
                <w:highlight w:val="none"/>
              </w:rPr>
              <w:t>购买</w:t>
            </w:r>
            <w:r>
              <w:rPr>
                <w:rFonts w:ascii="宋体" w:hAnsi="宋体" w:eastAsia="宋体"/>
                <w:color w:val="auto"/>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6.发生暂停认购，本理财产品宣布不成立等情形时，</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管理人将按照本产品说明书约定的信息披露方式进行公告。</w:t>
            </w:r>
            <w:r>
              <w:rPr>
                <w:rFonts w:ascii="宋体" w:hAnsi="宋体" w:eastAsia="宋体"/>
                <w:b/>
                <w:bCs/>
                <w:color w:val="auto"/>
                <w:sz w:val="24"/>
                <w:szCs w:val="24"/>
                <w:highlight w:val="none"/>
              </w:rPr>
              <w:t>如果因发生前述情形导致投资者的认购申请被拒绝，被拒绝的认购款项将退还给投资者，</w:t>
            </w:r>
            <w:r>
              <w:rPr>
                <w:rFonts w:hint="eastAsia" w:ascii="宋体" w:hAnsi="宋体" w:eastAsia="宋体"/>
                <w:b/>
                <w:bCs/>
                <w:color w:val="auto"/>
                <w:sz w:val="24"/>
                <w:szCs w:val="24"/>
                <w:highlight w:val="none"/>
              </w:rPr>
              <w:t>产品</w:t>
            </w:r>
            <w:r>
              <w:rPr>
                <w:rFonts w:ascii="宋体" w:hAnsi="宋体" w:eastAsia="宋体"/>
                <w:b/>
                <w:bCs/>
                <w:color w:val="auto"/>
                <w:sz w:val="24"/>
                <w:szCs w:val="24"/>
                <w:highlight w:val="none"/>
              </w:rPr>
              <w:t>管理人不负责承担投资者由此产生的利息等损失。</w:t>
            </w:r>
            <w:r>
              <w:rPr>
                <w:rFonts w:ascii="宋体" w:hAnsi="宋体" w:eastAsia="宋体"/>
                <w:color w:val="auto"/>
                <w:sz w:val="24"/>
                <w:szCs w:val="24"/>
                <w:highlight w:val="none"/>
              </w:rPr>
              <w:t>在暂停认购的情况消除时，</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管理人将及时恢复认购业务的办理。</w:t>
            </w:r>
          </w:p>
        </w:tc>
      </w:tr>
    </w:tbl>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四、投资管理</w:t>
      </w:r>
    </w:p>
    <w:p>
      <w:pPr>
        <w:spacing w:line="300" w:lineRule="auto"/>
        <w:outlineLvl w:val="1"/>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（一）投资目标</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（二）投资范围和投资比例</w:t>
      </w:r>
    </w:p>
    <w:p>
      <w:pPr>
        <w:spacing w:line="300" w:lineRule="auto"/>
        <w:ind w:firstLine="480" w:firstLineChars="200"/>
        <w:jc w:val="left"/>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1.投资范围</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（1）固定收益类资产</w:t>
      </w:r>
    </w:p>
    <w:p>
      <w:pPr>
        <w:spacing w:line="300" w:lineRule="auto"/>
        <w:ind w:firstLine="480" w:firstLineChars="20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color w:val="auto"/>
          <w:sz w:val="24"/>
          <w:szCs w:val="24"/>
          <w:highlight w:val="none"/>
        </w:rPr>
        <w:t>，及其他符合监管要求的债权类资产</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包括符合监管要求的各类QDII资产管理产品</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（2）权益类资产</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（3）商品及衍生品类资产</w:t>
      </w:r>
    </w:p>
    <w:p>
      <w:pPr>
        <w:numPr>
          <w:ilvl w:val="255"/>
          <w:numId w:val="0"/>
        </w:num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color w:val="auto"/>
          <w:sz w:val="24"/>
          <w:szCs w:val="24"/>
          <w:highlight w:val="none"/>
        </w:rPr>
        <w:t>前2个工作日</w:t>
      </w:r>
      <w:r>
        <w:rPr>
          <w:rFonts w:hint="eastAsia" w:ascii="宋体" w:hAnsi="宋体" w:eastAsia="宋体"/>
          <w:color w:val="auto"/>
          <w:sz w:val="24"/>
          <w:szCs w:val="24"/>
          <w:highlight w:val="none"/>
        </w:rPr>
        <w:t>公告。</w:t>
      </w:r>
      <w:r>
        <w:rPr>
          <w:rFonts w:hint="eastAsia" w:ascii="宋体" w:hAnsi="宋体" w:eastAsia="宋体"/>
          <w:b/>
          <w:bCs/>
          <w:color w:val="auto"/>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2.投资比例</w:t>
      </w:r>
    </w:p>
    <w:p>
      <w:pPr>
        <w:ind w:firstLine="480" w:firstLineChars="200"/>
        <w:jc w:val="left"/>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本产品各投资种类的投资比例如下</w:t>
      </w:r>
      <w:r>
        <w:rPr>
          <w:rFonts w:ascii="宋体" w:hAnsi="宋体" w:eastAsia="宋体"/>
          <w:color w:val="auto"/>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资产类别</w:t>
            </w:r>
          </w:p>
        </w:tc>
        <w:tc>
          <w:tcPr>
            <w:tcW w:w="4261" w:type="dxa"/>
          </w:tcPr>
          <w:p>
            <w:pPr>
              <w:spacing w:line="300" w:lineRule="auto"/>
              <w:jc w:val="center"/>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color w:val="auto"/>
                <w:sz w:val="24"/>
                <w:szCs w:val="24"/>
                <w:highlight w:val="none"/>
                <w:lang w:bidi="ar"/>
              </w:rPr>
            </w:pPr>
            <w:r>
              <w:rPr>
                <w:rFonts w:hint="eastAsia" w:ascii="宋体" w:hAnsi="宋体" w:eastAsia="宋体" w:cstheme="minorBidi"/>
                <w:color w:val="auto"/>
                <w:sz w:val="24"/>
                <w:szCs w:val="24"/>
                <w:highlight w:val="none"/>
                <w:vertAlign w:val="baseline"/>
                <w:lang w:val="en-US" w:eastAsia="zh-CN" w:bidi="ar"/>
              </w:rPr>
              <w:t>固定收益</w:t>
            </w:r>
            <w:r>
              <w:rPr>
                <w:rFonts w:hint="eastAsia" w:ascii="宋体" w:hAnsi="宋体" w:eastAsia="宋体"/>
                <w:color w:val="auto"/>
                <w:sz w:val="24"/>
                <w:szCs w:val="24"/>
                <w:highlight w:val="none"/>
                <w:lang w:bidi="ar"/>
              </w:rPr>
              <w:t>类资产</w:t>
            </w:r>
          </w:p>
        </w:tc>
        <w:tc>
          <w:tcPr>
            <w:tcW w:w="4261" w:type="dxa"/>
          </w:tcPr>
          <w:p>
            <w:pPr>
              <w:spacing w:line="300" w:lineRule="auto"/>
              <w:jc w:val="center"/>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其中：非标准化债权类资产</w:t>
            </w:r>
          </w:p>
        </w:tc>
        <w:tc>
          <w:tcPr>
            <w:tcW w:w="4261" w:type="dxa"/>
          </w:tcPr>
          <w:p>
            <w:pPr>
              <w:spacing w:line="300" w:lineRule="auto"/>
              <w:jc w:val="center"/>
              <w:rPr>
                <w:rFonts w:hint="eastAsia" w:ascii="宋体" w:hAnsi="宋体" w:eastAsia="宋体"/>
                <w:color w:val="auto"/>
                <w:sz w:val="24"/>
                <w:szCs w:val="24"/>
                <w:highlight w:val="none"/>
              </w:rPr>
            </w:pPr>
            <w:r>
              <w:rPr>
                <w:rFonts w:hint="eastAsia" w:ascii="宋体" w:hAnsi="宋体" w:eastAsia="宋体" w:cstheme="minorBidi"/>
                <w:color w:val="auto"/>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color w:val="auto"/>
                <w:sz w:val="24"/>
                <w:szCs w:val="24"/>
                <w:highlight w:val="none"/>
                <w:lang w:bidi="ar"/>
              </w:rPr>
            </w:pPr>
            <w:r>
              <w:rPr>
                <w:rFonts w:hint="eastAsia" w:ascii="宋体" w:hAnsi="宋体" w:eastAsia="宋体"/>
                <w:color w:val="auto"/>
                <w:sz w:val="24"/>
                <w:szCs w:val="24"/>
                <w:highlight w:val="none"/>
              </w:rPr>
              <w:t>权益类</w:t>
            </w:r>
            <w:r>
              <w:rPr>
                <w:rFonts w:hint="eastAsia" w:ascii="宋体" w:hAnsi="宋体" w:eastAsia="宋体"/>
                <w:color w:val="auto"/>
                <w:sz w:val="24"/>
                <w:szCs w:val="24"/>
                <w:highlight w:val="none"/>
                <w:lang w:bidi="ar"/>
              </w:rPr>
              <w:t>资产</w:t>
            </w:r>
          </w:p>
        </w:tc>
        <w:tc>
          <w:tcPr>
            <w:tcW w:w="4261" w:type="dxa"/>
          </w:tcPr>
          <w:p>
            <w:pPr>
              <w:spacing w:line="300" w:lineRule="auto"/>
              <w:jc w:val="center"/>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20</w:t>
            </w:r>
            <w:r>
              <w:rPr>
                <w:rFonts w:hint="eastAsia" w:ascii="宋体" w:hAnsi="宋体" w:eastAsia="宋体"/>
                <w:color w:val="auto"/>
                <w:sz w:val="24"/>
                <w:szCs w:val="24"/>
                <w:highlight w:val="none"/>
              </w:rPr>
              <w:t>%</w:t>
            </w:r>
            <w:r>
              <w:rPr>
                <w:rFonts w:hint="eastAsia" w:ascii="宋体" w:hAnsi="宋体" w:eastAsia="宋体" w:cstheme="minorBidi"/>
                <w:color w:val="auto"/>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color w:val="auto"/>
                <w:highlight w:val="none"/>
                <w:lang w:val="en-US" w:eastAsia="zh-CN"/>
              </w:rPr>
            </w:pPr>
            <w:r>
              <w:rPr>
                <w:rFonts w:hint="eastAsia" w:ascii="宋体" w:hAnsi="宋体" w:eastAsia="宋体"/>
                <w:color w:val="auto"/>
                <w:sz w:val="24"/>
                <w:szCs w:val="24"/>
                <w:highlight w:val="none"/>
              </w:rPr>
              <w:t>商品及金融衍生品类</w:t>
            </w:r>
            <w:r>
              <w:rPr>
                <w:rFonts w:hint="eastAsia" w:ascii="宋体" w:hAnsi="宋体" w:eastAsia="宋体"/>
                <w:color w:val="auto"/>
                <w:sz w:val="24"/>
                <w:szCs w:val="24"/>
                <w:highlight w:val="none"/>
                <w:lang w:val="en-US" w:eastAsia="zh-CN"/>
              </w:rPr>
              <w:t>资产</w:t>
            </w:r>
          </w:p>
        </w:tc>
        <w:tc>
          <w:tcPr>
            <w:tcW w:w="4261" w:type="dxa"/>
          </w:tcPr>
          <w:p>
            <w:pPr>
              <w:spacing w:line="30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20</w:t>
            </w:r>
            <w:r>
              <w:rPr>
                <w:rFonts w:hint="eastAsia" w:ascii="宋体" w:hAnsi="宋体" w:eastAsia="宋体"/>
                <w:color w:val="auto"/>
                <w:sz w:val="24"/>
                <w:szCs w:val="24"/>
                <w:highlight w:val="none"/>
              </w:rPr>
              <w:t>%</w:t>
            </w:r>
            <w:r>
              <w:rPr>
                <w:rFonts w:hint="eastAsia" w:ascii="宋体" w:hAnsi="宋体" w:eastAsia="宋体" w:cstheme="minorBidi"/>
                <w:color w:val="auto"/>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color w:val="auto"/>
          <w:sz w:val="24"/>
          <w:szCs w:val="24"/>
          <w:highlight w:val="none"/>
        </w:rPr>
      </w:pP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本理财产品建仓期为【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color w:val="auto"/>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color w:val="auto"/>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color w:val="auto"/>
          <w:sz w:val="24"/>
          <w:szCs w:val="24"/>
          <w:highlight w:val="none"/>
        </w:rPr>
        <w:t>15</w:t>
      </w:r>
      <w:r>
        <w:rPr>
          <w:rFonts w:hint="eastAsia" w:ascii="宋体" w:hAnsi="宋体" w:eastAsia="宋体"/>
          <w:color w:val="auto"/>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息差策略：</w:t>
      </w:r>
    </w:p>
    <w:p>
      <w:pPr>
        <w:numPr>
          <w:ilvl w:val="-1"/>
          <w:numId w:val="0"/>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（四）投资限制</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1.本理财产品的杠杆水平不超过200%。</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2.本理财产品投资于单只证券、单只公募证券投资基金的市值不超过本产品净资产</w:t>
      </w:r>
      <w:r>
        <w:rPr>
          <w:rFonts w:hint="eastAsia" w:ascii="宋体" w:hAnsi="宋体" w:eastAsia="宋体"/>
          <w:color w:val="auto"/>
          <w:sz w:val="24"/>
          <w:szCs w:val="24"/>
          <w:highlight w:val="none"/>
        </w:rPr>
        <w:t>的</w:t>
      </w:r>
      <w:r>
        <w:rPr>
          <w:rFonts w:ascii="宋体" w:hAnsi="宋体" w:eastAsia="宋体"/>
          <w:color w:val="auto"/>
          <w:sz w:val="24"/>
          <w:szCs w:val="24"/>
          <w:highlight w:val="none"/>
        </w:rPr>
        <w:t>10%</w:t>
      </w:r>
      <w:r>
        <w:rPr>
          <w:rFonts w:hint="eastAsia" w:ascii="宋体" w:hAnsi="宋体" w:eastAsia="宋体"/>
          <w:color w:val="auto"/>
          <w:sz w:val="24"/>
          <w:szCs w:val="24"/>
          <w:highlight w:val="none"/>
        </w:rPr>
        <w:t>，</w:t>
      </w:r>
      <w:r>
        <w:rPr>
          <w:rFonts w:ascii="宋体" w:hAnsi="宋体" w:eastAsia="宋体"/>
          <w:color w:val="auto"/>
          <w:sz w:val="24"/>
          <w:szCs w:val="24"/>
          <w:highlight w:val="none"/>
        </w:rPr>
        <w:t>国债、地方政府债券、中央银行票据、政府机构债券、政策性</w:t>
      </w:r>
      <w:r>
        <w:rPr>
          <w:rFonts w:hint="eastAsia" w:ascii="宋体" w:hAnsi="宋体" w:eastAsia="宋体"/>
          <w:color w:val="auto"/>
          <w:sz w:val="24"/>
          <w:szCs w:val="24"/>
          <w:highlight w:val="none"/>
        </w:rPr>
        <w:t>金融债券除外。</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color w:val="auto"/>
          <w:sz w:val="24"/>
          <w:szCs w:val="24"/>
          <w:highlight w:val="none"/>
        </w:rPr>
      </w:pPr>
      <w:bookmarkStart w:id="0" w:name="_Hlk134609573"/>
      <w:r>
        <w:rPr>
          <w:rFonts w:hint="eastAsia" w:ascii="宋体" w:hAnsi="宋体" w:eastAsia="宋体"/>
          <w:color w:val="auto"/>
          <w:sz w:val="24"/>
          <w:szCs w:val="24"/>
          <w:highlight w:val="none"/>
        </w:rPr>
        <w:t>非因产品管理人主观因素导致不符合前述第</w:t>
      </w:r>
      <w:r>
        <w:rPr>
          <w:rFonts w:ascii="宋体" w:hAnsi="宋体" w:eastAsia="宋体"/>
          <w:color w:val="auto"/>
          <w:sz w:val="24"/>
          <w:szCs w:val="24"/>
          <w:highlight w:val="none"/>
        </w:rPr>
        <w:t>2条比例限制的，</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管理人将在流动性受限资产</w:t>
      </w:r>
      <w:r>
        <w:rPr>
          <w:rFonts w:hint="eastAsia" w:ascii="宋体" w:hAnsi="宋体" w:eastAsia="宋体"/>
          <w:color w:val="auto"/>
          <w:sz w:val="24"/>
          <w:szCs w:val="24"/>
          <w:highlight w:val="none"/>
        </w:rPr>
        <w:t>可出售、可转让或者恢复交易的</w:t>
      </w:r>
      <w:r>
        <w:rPr>
          <w:rFonts w:ascii="宋体" w:hAnsi="宋体" w:eastAsia="宋体"/>
          <w:color w:val="auto"/>
          <w:sz w:val="24"/>
          <w:szCs w:val="24"/>
          <w:highlight w:val="none"/>
        </w:rPr>
        <w:t>1</w:t>
      </w:r>
      <w:r>
        <w:rPr>
          <w:rFonts w:hint="eastAsia" w:ascii="宋体" w:hAnsi="宋体" w:eastAsia="宋体"/>
          <w:color w:val="auto"/>
          <w:sz w:val="24"/>
          <w:szCs w:val="24"/>
          <w:highlight w:val="none"/>
        </w:rPr>
        <w:t>0</w:t>
      </w:r>
      <w:r>
        <w:rPr>
          <w:rFonts w:ascii="宋体" w:hAnsi="宋体" w:eastAsia="宋体"/>
          <w:color w:val="auto"/>
          <w:sz w:val="24"/>
          <w:szCs w:val="24"/>
          <w:highlight w:val="none"/>
        </w:rPr>
        <w:t>个交易日内调整至符合相关要求，国务院银行业监督管</w:t>
      </w:r>
      <w:r>
        <w:rPr>
          <w:rFonts w:hint="eastAsia" w:ascii="宋体" w:hAnsi="宋体" w:eastAsia="宋体"/>
          <w:color w:val="auto"/>
          <w:sz w:val="24"/>
          <w:szCs w:val="24"/>
          <w:highlight w:val="none"/>
        </w:rPr>
        <w:t>理机构规定的特殊情形除外。</w:t>
      </w:r>
      <w:bookmarkEnd w:id="0"/>
    </w:p>
    <w:p>
      <w:pPr>
        <w:spacing w:line="300" w:lineRule="auto"/>
        <w:ind w:firstLine="480" w:firstLineChars="200"/>
        <w:jc w:val="left"/>
        <w:rPr>
          <w:rFonts w:hint="eastAsia" w:ascii="宋体" w:hAnsi="宋体" w:eastAsia="宋体"/>
          <w:color w:val="auto"/>
          <w:sz w:val="24"/>
          <w:szCs w:val="24"/>
          <w:highlight w:val="none"/>
        </w:rPr>
      </w:pPr>
    </w:p>
    <w:p>
      <w:pPr>
        <w:spacing w:line="300" w:lineRule="auto"/>
        <w:jc w:val="left"/>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五、交易规则</w:t>
      </w:r>
    </w:p>
    <w:p>
      <w:pPr>
        <w:spacing w:line="300" w:lineRule="auto"/>
        <w:ind w:firstLine="480" w:firstLineChars="200"/>
        <w:jc w:val="left"/>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（一）产品发行规模及份额类别</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1.在本产品</w:t>
      </w:r>
      <w:r>
        <w:rPr>
          <w:rFonts w:hint="eastAsia" w:ascii="宋体" w:hAnsi="宋体" w:eastAsia="宋体"/>
          <w:color w:val="auto"/>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2.若</w:t>
      </w:r>
      <w:r>
        <w:rPr>
          <w:rFonts w:hint="eastAsia" w:ascii="宋体" w:hAnsi="宋体" w:eastAsia="宋体"/>
          <w:color w:val="auto"/>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color w:val="auto"/>
          <w:sz w:val="24"/>
          <w:szCs w:val="24"/>
          <w:highlight w:val="none"/>
        </w:rPr>
        <w:t>可单独设置的内容包括但不限于</w:t>
      </w:r>
      <w:r>
        <w:rPr>
          <w:rFonts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（1）产品销售名称</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（2）产品销售代码</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销售服务机构；</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销售对象；</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（5）销售</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费率</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（6）业绩比较基准</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（7）认购投资起点金额及递增金额</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（8）单笔</w:t>
      </w:r>
      <w:r>
        <w:rPr>
          <w:rFonts w:hint="eastAsia" w:ascii="宋体" w:hAnsi="宋体" w:eastAsia="宋体"/>
          <w:color w:val="auto"/>
          <w:sz w:val="24"/>
          <w:szCs w:val="24"/>
          <w:highlight w:val="none"/>
        </w:rPr>
        <w:t>认购上限、单笔</w:t>
      </w:r>
      <w:r>
        <w:rPr>
          <w:rFonts w:ascii="宋体" w:hAnsi="宋体" w:eastAsia="宋体"/>
          <w:color w:val="auto"/>
          <w:sz w:val="24"/>
          <w:szCs w:val="24"/>
          <w:highlight w:val="none"/>
        </w:rPr>
        <w:t>最大购买金额、累计购买金额等</w:t>
      </w:r>
      <w:r>
        <w:rPr>
          <w:rFonts w:hint="eastAsia" w:ascii="宋体" w:hAnsi="宋体" w:eastAsia="宋体"/>
          <w:color w:val="auto"/>
          <w:sz w:val="24"/>
          <w:szCs w:val="24"/>
          <w:highlight w:val="none"/>
        </w:rPr>
        <w:t>认</w:t>
      </w:r>
      <w:r>
        <w:rPr>
          <w:rFonts w:ascii="宋体" w:hAnsi="宋体" w:eastAsia="宋体"/>
          <w:color w:val="auto"/>
          <w:sz w:val="24"/>
          <w:szCs w:val="24"/>
          <w:highlight w:val="none"/>
        </w:rPr>
        <w:t>购限制</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（9）单一投资者持有上限</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（10）可单独设置的其他内容</w:t>
      </w:r>
      <w:r>
        <w:rPr>
          <w:rFonts w:hint="eastAsia" w:ascii="宋体" w:hAnsi="宋体" w:eastAsia="宋体"/>
          <w:color w:val="auto"/>
          <w:sz w:val="24"/>
          <w:szCs w:val="24"/>
          <w:highlight w:val="none"/>
        </w:rPr>
        <w:t>（如有）。</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如理财产品设置不同的产品份额，各产品份额</w:t>
      </w:r>
      <w:r>
        <w:rPr>
          <w:rFonts w:hint="eastAsia" w:ascii="宋体" w:hAnsi="宋体" w:eastAsia="宋体"/>
          <w:color w:val="auto"/>
          <w:sz w:val="24"/>
          <w:szCs w:val="24"/>
          <w:highlight w:val="none"/>
        </w:rPr>
        <w:t>净值</w:t>
      </w:r>
      <w:r>
        <w:rPr>
          <w:rFonts w:ascii="宋体" w:hAnsi="宋体" w:eastAsia="宋体"/>
          <w:color w:val="auto"/>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（二）产品的认购与费用</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eastAsia="zh-CN"/>
        </w:rPr>
        <w:t>6</w:t>
      </w:r>
      <w:r>
        <w:rPr>
          <w:rFonts w:hint="eastAsia" w:ascii="宋体" w:hAnsi="宋体" w:eastAsia="宋体"/>
          <w:color w:val="auto"/>
          <w:sz w:val="24"/>
          <w:szCs w:val="24"/>
          <w:highlight w:val="none"/>
          <w:lang w:eastAsia="zh-CN"/>
        </w:rPr>
        <w:t>】年【</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】月【</w:t>
      </w:r>
      <w:r>
        <w:rPr>
          <w:rFonts w:hint="eastAsia" w:ascii="宋体" w:hAnsi="宋体" w:eastAsia="宋体"/>
          <w:color w:val="auto"/>
          <w:sz w:val="24"/>
          <w:szCs w:val="24"/>
          <w:highlight w:val="none"/>
          <w:lang w:val="en-US" w:eastAsia="zh-CN"/>
        </w:rPr>
        <w:t>24</w:t>
      </w:r>
      <w:r>
        <w:rPr>
          <w:rFonts w:hint="eastAsia" w:ascii="宋体" w:hAnsi="宋体" w:eastAsia="宋体"/>
          <w:color w:val="auto"/>
          <w:sz w:val="24"/>
          <w:szCs w:val="24"/>
          <w:highlight w:val="none"/>
          <w:lang w:eastAsia="zh-CN"/>
        </w:rPr>
        <w:t>】日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00</w:t>
      </w:r>
      <w:r>
        <w:rPr>
          <w:rFonts w:ascii="宋体" w:hAnsi="宋体" w:eastAsia="宋体"/>
          <w:color w:val="auto"/>
          <w:sz w:val="24"/>
          <w:szCs w:val="24"/>
          <w:highlight w:val="none"/>
        </w:rPr>
        <w:t>】到</w:t>
      </w:r>
      <w:r>
        <w:rPr>
          <w:rFonts w:hint="eastAsia" w:ascii="宋体" w:hAnsi="宋体" w:eastAsia="宋体"/>
          <w:color w:val="auto"/>
          <w:sz w:val="24"/>
          <w:szCs w:val="24"/>
          <w:highlight w:val="none"/>
          <w:lang w:eastAsia="zh-CN"/>
        </w:rPr>
        <w:t>【202</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eastAsia="zh-CN"/>
        </w:rPr>
        <w:t>】年【</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】月【</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17</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00</w:t>
      </w:r>
      <w:r>
        <w:rPr>
          <w:rFonts w:ascii="宋体" w:hAnsi="宋体" w:eastAsia="宋体"/>
          <w:color w:val="auto"/>
          <w:sz w:val="24"/>
          <w:szCs w:val="24"/>
          <w:highlight w:val="none"/>
        </w:rPr>
        <w:t>】,</w:t>
      </w:r>
      <w:r>
        <w:rPr>
          <w:rFonts w:hint="eastAsia" w:ascii="宋体" w:hAnsi="宋体" w:eastAsia="宋体"/>
          <w:color w:val="auto"/>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color w:val="auto"/>
          <w:sz w:val="24"/>
          <w:szCs w:val="24"/>
          <w:highlight w:val="none"/>
        </w:rPr>
        <w:tab/>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本产品不收取认购费</w:t>
      </w:r>
      <w:r>
        <w:rPr>
          <w:rFonts w:ascii="宋体" w:hAnsi="宋体" w:eastAsia="宋体"/>
          <w:color w:val="auto"/>
          <w:sz w:val="24"/>
          <w:szCs w:val="24"/>
          <w:highlight w:val="none"/>
        </w:rPr>
        <w:t>。</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3.初始份额面值为1元/份。</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color w:val="auto"/>
          <w:sz w:val="24"/>
          <w:szCs w:val="24"/>
          <w:highlight w:val="none"/>
        </w:rPr>
        <w:t>2</w:t>
      </w:r>
      <w:r>
        <w:rPr>
          <w:rFonts w:ascii="宋体" w:hAnsi="宋体" w:eastAsia="宋体"/>
          <w:color w:val="auto"/>
          <w:sz w:val="24"/>
          <w:szCs w:val="24"/>
          <w:highlight w:val="none"/>
        </w:rPr>
        <w:t>】位，由此误差产生的损失由理财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财产承担，产生的收益归理财</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财产所有）。</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5.认购撤单：</w:t>
      </w:r>
      <w:r>
        <w:rPr>
          <w:rFonts w:hint="eastAsia" w:ascii="宋体" w:hAnsi="宋体" w:eastAsia="宋体"/>
          <w:color w:val="auto"/>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6.认购金额：</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A类份额】：在认购期内，首次认购起点金额为【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元整数倍递增。追加认</w:t>
      </w:r>
      <w:r>
        <w:rPr>
          <w:rFonts w:hint="eastAsia" w:ascii="宋体" w:hAnsi="宋体" w:eastAsia="宋体"/>
          <w:color w:val="auto"/>
          <w:sz w:val="24"/>
          <w:szCs w:val="24"/>
          <w:highlight w:val="none"/>
        </w:rPr>
        <w:t>购起点金额为【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元整数倍递增</w:t>
      </w:r>
      <w:r>
        <w:rPr>
          <w:rFonts w:hint="eastAsia" w:ascii="宋体" w:hAnsi="宋体" w:eastAsia="宋体"/>
          <w:color w:val="auto"/>
          <w:sz w:val="24"/>
          <w:szCs w:val="24"/>
          <w:highlight w:val="none"/>
        </w:rPr>
        <w:t>。</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olor w:val="auto"/>
          <w:sz w:val="24"/>
          <w:szCs w:val="24"/>
          <w:highlight w:val="none"/>
        </w:rPr>
        <w:t>类份额】：在认购期内，首次认购起点金额为【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元整数倍递增。追加认</w:t>
      </w:r>
      <w:r>
        <w:rPr>
          <w:rFonts w:hint="eastAsia" w:ascii="宋体" w:hAnsi="宋体" w:eastAsia="宋体"/>
          <w:color w:val="auto"/>
          <w:sz w:val="24"/>
          <w:szCs w:val="24"/>
          <w:highlight w:val="none"/>
        </w:rPr>
        <w:t>购起点金额为【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元整数倍递增</w:t>
      </w:r>
      <w:r>
        <w:rPr>
          <w:rFonts w:hint="eastAsia" w:ascii="宋体" w:hAnsi="宋体" w:eastAsia="宋体"/>
          <w:color w:val="auto"/>
          <w:sz w:val="24"/>
          <w:szCs w:val="24"/>
          <w:highlight w:val="none"/>
        </w:rPr>
        <w:t>。</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类份额】：在认购期内，首次认购起点金额为【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元整数倍递增。追加认</w:t>
      </w:r>
      <w:r>
        <w:rPr>
          <w:rFonts w:hint="eastAsia" w:ascii="宋体" w:hAnsi="宋体" w:eastAsia="宋体"/>
          <w:color w:val="auto"/>
          <w:sz w:val="24"/>
          <w:szCs w:val="24"/>
          <w:highlight w:val="none"/>
        </w:rPr>
        <w:t>购起点金额为【</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元；超出部分，需以</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元整数倍递增</w:t>
      </w:r>
      <w:r>
        <w:rPr>
          <w:rFonts w:hint="eastAsia" w:ascii="宋体" w:hAnsi="宋体" w:eastAsia="宋体"/>
          <w:color w:val="auto"/>
          <w:sz w:val="24"/>
          <w:szCs w:val="24"/>
          <w:highlight w:val="none"/>
        </w:rPr>
        <w:t>。</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管理人有权以公告形式调整上述规则。</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7.单笔认购上限：</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r>
        <w:rPr>
          <w:rFonts w:hint="eastAsia" w:ascii="宋体" w:hAnsi="宋体" w:eastAsia="宋体" w:cs="宋体"/>
          <w:color w:val="auto"/>
          <w:sz w:val="24"/>
          <w:szCs w:val="24"/>
          <w:highlight w:val="none"/>
        </w:rPr>
        <w:t>：在</w:t>
      </w:r>
      <w:r>
        <w:rPr>
          <w:rFonts w:hint="eastAsia" w:ascii="宋体" w:hAnsi="宋体" w:eastAsia="宋体"/>
          <w:color w:val="auto"/>
          <w:sz w:val="24"/>
          <w:szCs w:val="24"/>
          <w:highlight w:val="none"/>
        </w:rPr>
        <w:t>认购期内，个人</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，机构</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B类份额】</w:t>
      </w:r>
      <w:r>
        <w:rPr>
          <w:rFonts w:hint="eastAsia" w:ascii="宋体" w:hAnsi="宋体" w:eastAsia="宋体" w:cs="宋体"/>
          <w:color w:val="auto"/>
          <w:sz w:val="24"/>
          <w:szCs w:val="24"/>
          <w:highlight w:val="none"/>
        </w:rPr>
        <w:t>：在</w:t>
      </w:r>
      <w:r>
        <w:rPr>
          <w:rFonts w:hint="eastAsia" w:ascii="宋体" w:hAnsi="宋体" w:eastAsia="宋体"/>
          <w:color w:val="auto"/>
          <w:sz w:val="24"/>
          <w:szCs w:val="24"/>
          <w:highlight w:val="none"/>
        </w:rPr>
        <w:t>认购期内，个人</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，机构</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r>
        <w:rPr>
          <w:rFonts w:hint="eastAsia" w:ascii="宋体" w:hAnsi="宋体" w:eastAsia="宋体" w:cs="宋体"/>
          <w:color w:val="auto"/>
          <w:sz w:val="24"/>
          <w:szCs w:val="24"/>
          <w:highlight w:val="none"/>
        </w:rPr>
        <w:t>：在</w:t>
      </w:r>
      <w:r>
        <w:rPr>
          <w:rFonts w:hint="eastAsia" w:ascii="宋体" w:hAnsi="宋体" w:eastAsia="宋体"/>
          <w:color w:val="auto"/>
          <w:sz w:val="24"/>
          <w:szCs w:val="24"/>
          <w:highlight w:val="none"/>
        </w:rPr>
        <w:t>认购期内，个人</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，机构</w:t>
      </w:r>
      <w:r>
        <w:rPr>
          <w:rFonts w:ascii="宋体" w:hAnsi="宋体" w:eastAsia="宋体"/>
          <w:color w:val="auto"/>
          <w:sz w:val="24"/>
          <w:szCs w:val="24"/>
          <w:highlight w:val="none"/>
        </w:rPr>
        <w:t>投资者单笔认购上限为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单一投资者持有上限：</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单一</w:t>
      </w:r>
      <w:r>
        <w:rPr>
          <w:rFonts w:hint="eastAsia" w:ascii="宋体" w:hAnsi="宋体" w:eastAsia="宋体"/>
          <w:color w:val="auto"/>
          <w:sz w:val="24"/>
          <w:szCs w:val="24"/>
          <w:highlight w:val="none"/>
        </w:rPr>
        <w:t>个人</w:t>
      </w:r>
      <w:r>
        <w:rPr>
          <w:rFonts w:ascii="宋体" w:hAnsi="宋体" w:eastAsia="宋体"/>
          <w:color w:val="auto"/>
          <w:sz w:val="24"/>
          <w:szCs w:val="24"/>
          <w:highlight w:val="none"/>
        </w:rPr>
        <w:t>投资者持有上限为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，单一机构投资者持有上限【</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】元。</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B类份额】</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单一</w:t>
      </w:r>
      <w:r>
        <w:rPr>
          <w:rFonts w:hint="eastAsia" w:ascii="宋体" w:hAnsi="宋体" w:eastAsia="宋体"/>
          <w:color w:val="auto"/>
          <w:sz w:val="24"/>
          <w:szCs w:val="24"/>
          <w:highlight w:val="none"/>
        </w:rPr>
        <w:t>个人</w:t>
      </w:r>
      <w:r>
        <w:rPr>
          <w:rFonts w:ascii="宋体" w:hAnsi="宋体" w:eastAsia="宋体"/>
          <w:color w:val="auto"/>
          <w:sz w:val="24"/>
          <w:szCs w:val="24"/>
          <w:highlight w:val="none"/>
        </w:rPr>
        <w:t>投资者持有上限为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，单一机构投资者持有上限【</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】元。</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r>
        <w:rPr>
          <w:rFonts w:hint="eastAsia" w:ascii="宋体" w:hAnsi="宋体" w:eastAsia="宋体" w:cs="宋体"/>
          <w:color w:val="auto"/>
          <w:sz w:val="24"/>
          <w:szCs w:val="24"/>
          <w:highlight w:val="none"/>
        </w:rPr>
        <w:t>：</w:t>
      </w:r>
      <w:r>
        <w:rPr>
          <w:rFonts w:ascii="宋体" w:hAnsi="宋体" w:eastAsia="宋体"/>
          <w:color w:val="auto"/>
          <w:sz w:val="24"/>
          <w:szCs w:val="24"/>
          <w:highlight w:val="none"/>
        </w:rPr>
        <w:t>单一</w:t>
      </w:r>
      <w:r>
        <w:rPr>
          <w:rFonts w:hint="eastAsia" w:ascii="宋体" w:hAnsi="宋体" w:eastAsia="宋体"/>
          <w:color w:val="auto"/>
          <w:sz w:val="24"/>
          <w:szCs w:val="24"/>
          <w:highlight w:val="none"/>
        </w:rPr>
        <w:t>个人</w:t>
      </w:r>
      <w:r>
        <w:rPr>
          <w:rFonts w:ascii="宋体" w:hAnsi="宋体" w:eastAsia="宋体"/>
          <w:color w:val="auto"/>
          <w:sz w:val="24"/>
          <w:szCs w:val="24"/>
          <w:highlight w:val="none"/>
        </w:rPr>
        <w:t>投资者持有上限为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1亿</w:t>
      </w:r>
      <w:r>
        <w:rPr>
          <w:rFonts w:hint="eastAsia" w:ascii="宋体" w:hAnsi="宋体" w:eastAsia="宋体"/>
          <w:color w:val="auto"/>
          <w:sz w:val="24"/>
          <w:szCs w:val="24"/>
          <w:highlight w:val="none"/>
        </w:rPr>
        <w:t>】</w:t>
      </w:r>
      <w:r>
        <w:rPr>
          <w:rFonts w:ascii="宋体" w:hAnsi="宋体" w:eastAsia="宋体"/>
          <w:color w:val="auto"/>
          <w:sz w:val="24"/>
          <w:szCs w:val="24"/>
          <w:highlight w:val="none"/>
        </w:rPr>
        <w:t>元</w:t>
      </w:r>
      <w:r>
        <w:rPr>
          <w:rFonts w:hint="eastAsia" w:ascii="宋体" w:hAnsi="宋体" w:eastAsia="宋体"/>
          <w:color w:val="auto"/>
          <w:sz w:val="24"/>
          <w:szCs w:val="24"/>
          <w:highlight w:val="none"/>
        </w:rPr>
        <w:t>，单一机构投资者持有上限【</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】元。</w:t>
      </w:r>
    </w:p>
    <w:p>
      <w:pPr>
        <w:spacing w:line="30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9.产品成立日为认购确认日，认购确认日后投资者可向产品</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查询认购是否成功。投资者通过</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购买理财产品的，</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受理认购申请并不表示对该申请成功的确认，而仅代表收到了认购申请，申请是否成功应以</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管理人的最终确认为准。</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管理人会将认购申请及认购份额的确认结果及时反馈给</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认购期</w:t>
            </w:r>
          </w:p>
        </w:tc>
        <w:tc>
          <w:tcPr>
            <w:tcW w:w="1860" w:type="dxa"/>
          </w:tcPr>
          <w:p>
            <w:pPr>
              <w:spacing w:line="30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产品成立日</w:t>
            </w:r>
          </w:p>
        </w:tc>
        <w:tc>
          <w:tcPr>
            <w:tcW w:w="3345" w:type="dxa"/>
            <w:vAlign w:val="center"/>
          </w:tcPr>
          <w:p>
            <w:pPr>
              <w:spacing w:line="30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（三）拒绝或暂停接受认购申请的情形及处理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2.证券交易场所或银行间债券市场依法决定停市等情形；</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3.当</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4.当投资者认购金额将导致单笔认购金额上限、单个投资者持仓上限、计划募集金额上限、产品规模上限等各指标超限时，</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管理人有权拒绝投资者的认购申请；</w:t>
      </w:r>
    </w:p>
    <w:p>
      <w:pPr>
        <w:spacing w:line="300" w:lineRule="auto"/>
        <w:ind w:firstLine="480" w:firstLineChars="200"/>
        <w:rPr>
          <w:rFonts w:hint="eastAsia" w:ascii="宋体" w:hAnsi="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cs="宋体"/>
          <w:color w:val="auto"/>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.法律法规规定或</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管理人基于审慎考虑认定的其他情形。</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color w:val="auto"/>
          <w:sz w:val="24"/>
          <w:szCs w:val="24"/>
          <w:highlight w:val="none"/>
        </w:rPr>
      </w:pPr>
      <w:r>
        <w:rPr>
          <w:rFonts w:hint="eastAsia" w:ascii="宋体" w:hAnsi="宋体" w:cs="宋体"/>
          <w:color w:val="auto"/>
          <w:sz w:val="24"/>
          <w:highlight w:val="none"/>
        </w:rPr>
        <w:t>（</w:t>
      </w:r>
      <w:r>
        <w:rPr>
          <w:rFonts w:ascii="宋体" w:hAnsi="宋体" w:eastAsia="宋体"/>
          <w:color w:val="auto"/>
          <w:sz w:val="24"/>
          <w:szCs w:val="24"/>
          <w:highlight w:val="none"/>
        </w:rPr>
        <w:t>四</w:t>
      </w:r>
      <w:r>
        <w:rPr>
          <w:rFonts w:hint="eastAsia" w:ascii="宋体" w:hAnsi="宋体" w:cs="宋体"/>
          <w:color w:val="auto"/>
          <w:sz w:val="24"/>
          <w:highlight w:val="none"/>
        </w:rPr>
        <w:t>）</w:t>
      </w:r>
      <w:r>
        <w:rPr>
          <w:rFonts w:ascii="宋体" w:hAnsi="宋体" w:eastAsia="宋体"/>
          <w:color w:val="auto"/>
          <w:sz w:val="24"/>
          <w:szCs w:val="24"/>
          <w:highlight w:val="none"/>
        </w:rPr>
        <w:t>产品成立</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1.本产品管理人有权根据市场情况缩短或延长</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期，根据</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期调整成立日。</w:t>
      </w:r>
    </w:p>
    <w:p>
      <w:pPr>
        <w:spacing w:line="300" w:lineRule="auto"/>
        <w:ind w:left="479" w:leftChars="228"/>
        <w:jc w:val="left"/>
        <w:rPr>
          <w:rFonts w:hint="eastAsia" w:ascii="宋体" w:hAnsi="宋体" w:eastAsia="宋体"/>
          <w:color w:val="auto"/>
          <w:sz w:val="24"/>
          <w:szCs w:val="24"/>
          <w:highlight w:val="none"/>
        </w:rPr>
      </w:pPr>
      <w:r>
        <w:rPr>
          <w:rFonts w:ascii="宋体" w:hAnsi="宋体" w:eastAsia="宋体"/>
          <w:color w:val="auto"/>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（2）相关法律法规或监管规定或政策发生变化；</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（3）可能影响产品正常成立或运作的其他情况；</w:t>
      </w:r>
    </w:p>
    <w:p>
      <w:pPr>
        <w:spacing w:line="30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（4）本产品管理人根据实际情况合理判断不适宜产品成立或运作的</w:t>
      </w:r>
      <w:r>
        <w:rPr>
          <w:rFonts w:hint="eastAsia" w:ascii="宋体" w:hAnsi="宋体" w:eastAsia="宋体"/>
          <w:color w:val="auto"/>
          <w:sz w:val="24"/>
          <w:szCs w:val="24"/>
          <w:highlight w:val="none"/>
        </w:rPr>
        <w:t>。</w:t>
      </w:r>
    </w:p>
    <w:p>
      <w:pPr>
        <w:spacing w:line="300" w:lineRule="auto"/>
        <w:ind w:firstLine="480" w:firstLineChars="200"/>
        <w:jc w:val="left"/>
        <w:rPr>
          <w:rFonts w:hint="eastAsia" w:ascii="宋体" w:hAnsi="宋体" w:eastAsia="宋体"/>
          <w:b/>
          <w:bCs/>
          <w:color w:val="auto"/>
          <w:sz w:val="24"/>
          <w:szCs w:val="24"/>
          <w:highlight w:val="none"/>
        </w:rPr>
      </w:pPr>
      <w:r>
        <w:rPr>
          <w:rFonts w:ascii="宋体" w:hAnsi="宋体" w:eastAsia="宋体"/>
          <w:color w:val="auto"/>
          <w:sz w:val="24"/>
          <w:szCs w:val="24"/>
          <w:highlight w:val="none"/>
        </w:rPr>
        <w:t>若有投资者购买了本产品且本产品不成立，本产品管理人</w:t>
      </w:r>
      <w:r>
        <w:rPr>
          <w:rFonts w:hint="eastAsia" w:ascii="宋体" w:hAnsi="宋体" w:eastAsia="宋体"/>
          <w:color w:val="auto"/>
          <w:sz w:val="24"/>
          <w:szCs w:val="24"/>
          <w:highlight w:val="none"/>
        </w:rPr>
        <w:t>将不</w:t>
      </w:r>
      <w:r>
        <w:rPr>
          <w:rFonts w:ascii="宋体" w:hAnsi="宋体" w:eastAsia="宋体"/>
          <w:color w:val="auto"/>
          <w:sz w:val="24"/>
          <w:szCs w:val="24"/>
          <w:highlight w:val="none"/>
        </w:rPr>
        <w:t>晚于产品</w:t>
      </w:r>
      <w:r>
        <w:rPr>
          <w:rFonts w:hint="eastAsia" w:ascii="宋体" w:hAnsi="宋体" w:eastAsia="宋体"/>
          <w:color w:val="auto"/>
          <w:sz w:val="24"/>
          <w:szCs w:val="24"/>
          <w:highlight w:val="none"/>
        </w:rPr>
        <w:t>计划成立日</w:t>
      </w:r>
      <w:r>
        <w:rPr>
          <w:rFonts w:ascii="宋体" w:hAnsi="宋体" w:eastAsia="宋体"/>
          <w:color w:val="auto"/>
          <w:sz w:val="24"/>
          <w:szCs w:val="24"/>
          <w:highlight w:val="none"/>
        </w:rPr>
        <w:t>对产品不成立进行信息披露，在</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期结束后5个工作日内，投资者认购资金（如已扣款至产品募集账户）将返还至投资者约定交易账户，</w:t>
      </w:r>
      <w:r>
        <w:rPr>
          <w:rFonts w:ascii="宋体" w:hAnsi="宋体" w:eastAsia="宋体"/>
          <w:b/>
          <w:bCs/>
          <w:color w:val="auto"/>
          <w:sz w:val="24"/>
          <w:szCs w:val="24"/>
          <w:highlight w:val="none"/>
        </w:rPr>
        <w:t>在途期间投资者认购资金</w:t>
      </w:r>
      <w:r>
        <w:rPr>
          <w:rFonts w:hint="eastAsia" w:ascii="宋体" w:hAnsi="宋体" w:eastAsia="宋体"/>
          <w:b/>
          <w:bCs/>
          <w:color w:val="auto"/>
          <w:sz w:val="24"/>
          <w:szCs w:val="24"/>
          <w:highlight w:val="none"/>
        </w:rPr>
        <w:t>管理人</w:t>
      </w:r>
      <w:r>
        <w:rPr>
          <w:rFonts w:ascii="宋体" w:hAnsi="宋体" w:eastAsia="宋体"/>
          <w:b/>
          <w:bCs/>
          <w:color w:val="auto"/>
          <w:sz w:val="24"/>
          <w:szCs w:val="24"/>
          <w:highlight w:val="none"/>
        </w:rPr>
        <w:t>不计付利息。</w:t>
      </w:r>
    </w:p>
    <w:p>
      <w:pPr>
        <w:spacing w:line="300" w:lineRule="auto"/>
        <w:ind w:firstLine="482" w:firstLineChars="200"/>
        <w:jc w:val="left"/>
        <w:rPr>
          <w:rFonts w:hint="eastAsia" w:ascii="宋体" w:hAnsi="宋体" w:eastAsia="宋体"/>
          <w:b/>
          <w:bCs/>
          <w:color w:val="auto"/>
          <w:sz w:val="24"/>
          <w:szCs w:val="24"/>
          <w:highlight w:val="none"/>
        </w:rPr>
      </w:pPr>
    </w:p>
    <w:p>
      <w:pPr>
        <w:spacing w:line="300" w:lineRule="auto"/>
        <w:jc w:val="left"/>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六、产品估值</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估值原则</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（二）估值对象</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（三）估值日</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本产品估值日为</w:t>
      </w:r>
      <w:r>
        <w:rPr>
          <w:rFonts w:ascii="宋体" w:hAnsi="宋体" w:eastAsia="宋体"/>
          <w:color w:val="auto"/>
          <w:sz w:val="24"/>
          <w:szCs w:val="24"/>
          <w:highlight w:val="none"/>
        </w:rPr>
        <w:t>自产品成立日</w:t>
      </w:r>
      <w:r>
        <w:rPr>
          <w:rFonts w:hint="eastAsia" w:ascii="宋体" w:hAnsi="宋体" w:eastAsia="宋体"/>
          <w:color w:val="auto"/>
          <w:sz w:val="24"/>
          <w:szCs w:val="24"/>
          <w:highlight w:val="none"/>
        </w:rPr>
        <w:t>至到期日（不含）期间</w:t>
      </w:r>
      <w:r>
        <w:rPr>
          <w:rFonts w:ascii="宋体" w:hAnsi="宋体" w:eastAsia="宋体"/>
          <w:color w:val="auto"/>
          <w:sz w:val="24"/>
          <w:szCs w:val="24"/>
          <w:highlight w:val="none"/>
        </w:rPr>
        <w:t>的每个</w:t>
      </w:r>
      <w:r>
        <w:rPr>
          <w:rFonts w:hint="eastAsia" w:ascii="宋体" w:hAnsi="宋体" w:eastAsia="宋体"/>
          <w:color w:val="auto"/>
          <w:sz w:val="24"/>
          <w:szCs w:val="24"/>
          <w:highlight w:val="none"/>
        </w:rPr>
        <w:t>周五</w:t>
      </w:r>
      <w:r>
        <w:rPr>
          <w:rFonts w:ascii="宋体" w:hAnsi="宋体" w:eastAsia="宋体"/>
          <w:color w:val="auto"/>
          <w:sz w:val="24"/>
          <w:szCs w:val="24"/>
          <w:highlight w:val="none"/>
        </w:rPr>
        <w:t>（如遇非交易日则</w:t>
      </w:r>
      <w:r>
        <w:rPr>
          <w:rFonts w:hint="eastAsia" w:ascii="宋体" w:hAnsi="宋体" w:eastAsia="宋体"/>
          <w:color w:val="auto"/>
          <w:sz w:val="24"/>
          <w:szCs w:val="24"/>
          <w:highlight w:val="none"/>
        </w:rPr>
        <w:t>提前至上一交易日</w:t>
      </w:r>
      <w:r>
        <w:rPr>
          <w:rFonts w:ascii="宋体" w:hAnsi="宋体" w:eastAsia="宋体"/>
          <w:color w:val="auto"/>
          <w:sz w:val="24"/>
          <w:szCs w:val="24"/>
          <w:highlight w:val="none"/>
        </w:rPr>
        <w:t>）</w:t>
      </w:r>
      <w:r>
        <w:rPr>
          <w:rFonts w:hint="eastAsia" w:ascii="宋体" w:hAnsi="宋体" w:eastAsia="宋体"/>
          <w:color w:val="auto"/>
          <w:sz w:val="24"/>
          <w:szCs w:val="24"/>
          <w:highlight w:val="none"/>
        </w:rPr>
        <w:t>，根据产品持有的资产价格变化对估值日产品进行估值并于</w:t>
      </w:r>
      <w:r>
        <w:rPr>
          <w:rFonts w:ascii="宋体" w:hAnsi="宋体" w:eastAsia="宋体"/>
          <w:color w:val="auto"/>
          <w:sz w:val="24"/>
          <w:szCs w:val="24"/>
          <w:highlight w:val="none"/>
        </w:rPr>
        <w:t>估值日的后2个</w:t>
      </w:r>
      <w:r>
        <w:rPr>
          <w:rFonts w:hint="eastAsia" w:ascii="宋体" w:hAnsi="宋体" w:eastAsia="宋体"/>
          <w:color w:val="auto"/>
          <w:sz w:val="24"/>
          <w:szCs w:val="24"/>
          <w:highlight w:val="none"/>
        </w:rPr>
        <w:t>交易日</w:t>
      </w:r>
      <w:r>
        <w:rPr>
          <w:rFonts w:ascii="宋体" w:hAnsi="宋体" w:eastAsia="宋体"/>
          <w:color w:val="auto"/>
          <w:sz w:val="24"/>
          <w:szCs w:val="24"/>
          <w:highlight w:val="none"/>
        </w:rPr>
        <w:t>内进行披露</w:t>
      </w:r>
      <w:r>
        <w:rPr>
          <w:rFonts w:hint="eastAsia" w:ascii="宋体" w:hAnsi="宋体" w:eastAsia="宋体"/>
          <w:color w:val="auto"/>
          <w:sz w:val="24"/>
          <w:szCs w:val="24"/>
          <w:highlight w:val="none"/>
        </w:rPr>
        <w:t>，如有临时调整或其他特殊安排，以管理人披露的结果为准</w:t>
      </w:r>
      <w:r>
        <w:rPr>
          <w:rFonts w:ascii="宋体" w:hAnsi="宋体" w:eastAsia="宋体"/>
          <w:color w:val="auto"/>
          <w:sz w:val="24"/>
          <w:szCs w:val="24"/>
          <w:highlight w:val="none"/>
        </w:rPr>
        <w:t>。份额</w:t>
      </w:r>
      <w:r>
        <w:rPr>
          <w:rFonts w:hint="eastAsia" w:ascii="宋体" w:hAnsi="宋体" w:eastAsia="宋体"/>
          <w:color w:val="auto"/>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color w:val="auto"/>
          <w:sz w:val="24"/>
          <w:szCs w:val="24"/>
          <w:highlight w:val="none"/>
        </w:rPr>
        <w:t>6位，小数点6位以后四舍五入</w:t>
      </w:r>
      <w:r>
        <w:rPr>
          <w:rFonts w:hint="eastAsia" w:ascii="宋体" w:hAnsi="宋体" w:eastAsia="宋体"/>
          <w:color w:val="auto"/>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（四）估值方法</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4.未上市期间的有价证券应区分如下情况处理：</w:t>
      </w:r>
      <w:r>
        <w:rPr>
          <w:rFonts w:ascii="宋体" w:hAnsi="宋体" w:eastAsia="宋体"/>
          <w:color w:val="auto"/>
          <w:sz w:val="24"/>
          <w:szCs w:val="24"/>
          <w:highlight w:val="none"/>
        </w:rPr>
        <w:t>A、送股、转增股、配股和公</w:t>
      </w:r>
      <w:r>
        <w:rPr>
          <w:rFonts w:hint="eastAsia" w:ascii="宋体" w:hAnsi="宋体" w:eastAsia="宋体"/>
          <w:color w:val="auto"/>
          <w:sz w:val="24"/>
          <w:szCs w:val="24"/>
          <w:highlight w:val="none"/>
        </w:rPr>
        <w:t>开增发新股（如有），按估值日在证券交易所挂牌的同一股票的市价（收盘价）估值；该日无交易的，以最近交易日的市价（收盘价）估值；</w:t>
      </w:r>
      <w:r>
        <w:rPr>
          <w:rFonts w:ascii="宋体" w:hAnsi="宋体" w:eastAsia="宋体"/>
          <w:color w:val="auto"/>
          <w:sz w:val="24"/>
          <w:szCs w:val="24"/>
          <w:highlight w:val="none"/>
        </w:rPr>
        <w:t>B、首次公开发行</w:t>
      </w:r>
      <w:r>
        <w:rPr>
          <w:rFonts w:hint="eastAsia" w:ascii="宋体" w:hAnsi="宋体" w:eastAsia="宋体"/>
          <w:color w:val="auto"/>
          <w:sz w:val="24"/>
          <w:szCs w:val="24"/>
          <w:highlight w:val="none"/>
        </w:rPr>
        <w:t>未上市或未挂牌转让的股票（如有）、债券，采用估值技术确定公允价值，在估值技术难以可靠计量公允价值的情况下，按成本估值；</w:t>
      </w:r>
      <w:r>
        <w:rPr>
          <w:rFonts w:ascii="宋体" w:hAnsi="宋体" w:eastAsia="宋体"/>
          <w:color w:val="auto"/>
          <w:sz w:val="24"/>
          <w:szCs w:val="24"/>
          <w:highlight w:val="none"/>
        </w:rPr>
        <w:t>C、发行时明确一定期限</w:t>
      </w:r>
      <w:r>
        <w:rPr>
          <w:rFonts w:hint="eastAsia" w:ascii="宋体" w:hAnsi="宋体" w:eastAsia="宋体"/>
          <w:color w:val="auto"/>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7.证券投资基金的估值：</w:t>
      </w:r>
    </w:p>
    <w:p>
      <w:pPr>
        <w:spacing w:line="300" w:lineRule="auto"/>
        <w:ind w:firstLine="480" w:firstLineChars="200"/>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（1）投资于非上市基金</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A.境内非货币市场基金，按所投资基金估值日的份额净值估值。估值日未披</w:t>
      </w:r>
      <w:r>
        <w:rPr>
          <w:rFonts w:hint="eastAsia" w:ascii="宋体" w:hAnsi="宋体" w:eastAsia="宋体"/>
          <w:color w:val="auto"/>
          <w:sz w:val="24"/>
          <w:szCs w:val="24"/>
          <w:highlight w:val="none"/>
        </w:rPr>
        <w:t>露净值，以其最近公布的基金份额净值为基础估值。</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B.境内货币市场基金，按所投资基金前一估值日后至估值日期间（含节假日）</w:t>
      </w:r>
      <w:r>
        <w:rPr>
          <w:rFonts w:hint="eastAsia" w:ascii="宋体" w:hAnsi="宋体" w:eastAsia="宋体"/>
          <w:color w:val="auto"/>
          <w:sz w:val="24"/>
          <w:szCs w:val="24"/>
          <w:highlight w:val="none"/>
        </w:rPr>
        <w:t>的万份收益计提估值日基金收益。</w:t>
      </w:r>
    </w:p>
    <w:p>
      <w:pPr>
        <w:spacing w:line="300" w:lineRule="auto"/>
        <w:ind w:firstLine="480" w:firstLineChars="200"/>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（2）投资于交易所上市基金</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A.ETF基金、境内上市开放式基金（LOF）、境内上市定期开放式基金、封闭</w:t>
      </w:r>
      <w:r>
        <w:rPr>
          <w:rFonts w:hint="eastAsia" w:ascii="宋体" w:hAnsi="宋体" w:eastAsia="宋体"/>
          <w:color w:val="auto"/>
          <w:sz w:val="24"/>
          <w:szCs w:val="24"/>
          <w:highlight w:val="none"/>
        </w:rPr>
        <w:t>式基金，按所投资基金估值日的收盘价估值。</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B.境内上市交易型货币市场基金，如所投资基金披露份额净值，则按所投资</w:t>
      </w:r>
      <w:r>
        <w:rPr>
          <w:rFonts w:hint="eastAsia" w:ascii="宋体" w:hAnsi="宋体" w:eastAsia="宋体"/>
          <w:color w:val="auto"/>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C.如遇所投资基金不公布基金份额净值、进行折算或拆分、估值日无交易等</w:t>
      </w:r>
      <w:r>
        <w:rPr>
          <w:rFonts w:hint="eastAsia" w:ascii="宋体" w:hAnsi="宋体" w:eastAsia="宋体"/>
          <w:color w:val="auto"/>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（五）暂停估值情形</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当资产估值因不可抗力或其他情形导致本产品管理人和托管人无法准</w:t>
      </w:r>
      <w:r>
        <w:rPr>
          <w:rFonts w:hint="eastAsia" w:ascii="宋体" w:hAnsi="宋体" w:eastAsia="宋体"/>
          <w:color w:val="auto"/>
          <w:sz w:val="24"/>
          <w:szCs w:val="24"/>
          <w:highlight w:val="none"/>
        </w:rPr>
        <w:t>确评估资产价值时；</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理财产品投资所涉及的交易市场遇法定节假日或因其他原因暂停营业</w:t>
      </w:r>
      <w:r>
        <w:rPr>
          <w:rFonts w:hint="eastAsia" w:ascii="宋体" w:hAnsi="宋体" w:eastAsia="宋体"/>
          <w:color w:val="auto"/>
          <w:sz w:val="24"/>
          <w:szCs w:val="24"/>
          <w:highlight w:val="none"/>
        </w:rPr>
        <w:t>时；</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理财产品投资的其他资产产品合同约定暂停估值或无法估值的情形发</w:t>
      </w:r>
      <w:r>
        <w:rPr>
          <w:rFonts w:hint="eastAsia" w:ascii="宋体" w:hAnsi="宋体" w:eastAsia="宋体"/>
          <w:color w:val="auto"/>
          <w:sz w:val="24"/>
          <w:szCs w:val="24"/>
          <w:highlight w:val="none"/>
        </w:rPr>
        <w:t>生，导致理财产品无法估值时；</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产品在前一估值日内，产品资产净值50%以上的资产不具备活跃交易</w:t>
      </w:r>
      <w:r>
        <w:rPr>
          <w:rFonts w:hint="eastAsia" w:ascii="宋体" w:hAnsi="宋体" w:eastAsia="宋体"/>
          <w:color w:val="auto"/>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5.法律法规或监管机构</w:t>
      </w:r>
      <w:r>
        <w:rPr>
          <w:rFonts w:ascii="宋体" w:hAnsi="宋体" w:eastAsia="宋体"/>
          <w:color w:val="auto"/>
          <w:sz w:val="24"/>
          <w:szCs w:val="24"/>
          <w:highlight w:val="none"/>
        </w:rPr>
        <w:t>认定的其他情形或管理人、托管人有合理理由认为将影</w:t>
      </w:r>
      <w:r>
        <w:rPr>
          <w:rFonts w:hint="eastAsia" w:ascii="宋体" w:hAnsi="宋体" w:eastAsia="宋体"/>
          <w:color w:val="auto"/>
          <w:sz w:val="24"/>
          <w:szCs w:val="24"/>
          <w:highlight w:val="none"/>
        </w:rPr>
        <w:t>响本理财产品估值的其他情形。</w:t>
      </w:r>
    </w:p>
    <w:p>
      <w:pPr>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（六）其它</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估值错误的处理。管理人和托管人应采取必要、适当、合理的措施确保理</w:t>
      </w:r>
      <w:r>
        <w:rPr>
          <w:rFonts w:hint="eastAsia" w:ascii="宋体" w:hAnsi="宋体" w:eastAsia="宋体"/>
          <w:color w:val="auto"/>
          <w:sz w:val="24"/>
          <w:szCs w:val="24"/>
          <w:highlight w:val="none"/>
        </w:rPr>
        <w:t>财产品估值的准确性、及时性。估值错误被发现后，管理人和托管人应当及时进行处理，处理的程序如下：（</w:t>
      </w:r>
      <w:r>
        <w:rPr>
          <w:rFonts w:ascii="宋体" w:hAnsi="宋体" w:eastAsia="宋体"/>
          <w:color w:val="auto"/>
          <w:sz w:val="24"/>
          <w:szCs w:val="24"/>
          <w:highlight w:val="none"/>
        </w:rPr>
        <w:t>1）查明估值错误发生的原因，列明所有的管理人和</w:t>
      </w:r>
      <w:r>
        <w:rPr>
          <w:rFonts w:hint="eastAsia" w:ascii="宋体" w:hAnsi="宋体" w:eastAsia="宋体"/>
          <w:color w:val="auto"/>
          <w:sz w:val="24"/>
          <w:szCs w:val="24"/>
          <w:highlight w:val="none"/>
        </w:rPr>
        <w:t>托管人并根据估值错误发生的原因确定估值错误的责任方；（</w:t>
      </w:r>
      <w:r>
        <w:rPr>
          <w:rFonts w:ascii="宋体" w:hAnsi="宋体" w:eastAsia="宋体"/>
          <w:color w:val="auto"/>
          <w:sz w:val="24"/>
          <w:szCs w:val="24"/>
          <w:highlight w:val="none"/>
        </w:rPr>
        <w:t>2）根据适当的估值</w:t>
      </w:r>
      <w:r>
        <w:rPr>
          <w:rFonts w:hint="eastAsia" w:ascii="宋体" w:hAnsi="宋体" w:eastAsia="宋体"/>
          <w:color w:val="auto"/>
          <w:sz w:val="24"/>
          <w:szCs w:val="24"/>
          <w:highlight w:val="none"/>
        </w:rPr>
        <w:t>错误处理原则对因估值错误造成的损失进行评估；（</w:t>
      </w:r>
      <w:r>
        <w:rPr>
          <w:rFonts w:ascii="宋体" w:hAnsi="宋体" w:eastAsia="宋体"/>
          <w:color w:val="auto"/>
          <w:sz w:val="24"/>
          <w:szCs w:val="24"/>
          <w:highlight w:val="none"/>
        </w:rPr>
        <w:t>3）根据管理人和托管人协商</w:t>
      </w:r>
      <w:r>
        <w:rPr>
          <w:rFonts w:hint="eastAsia" w:ascii="宋体" w:hAnsi="宋体" w:eastAsia="宋体"/>
          <w:color w:val="auto"/>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特殊情况的处理</w:t>
      </w: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产品</w:t>
      </w:r>
      <w:r>
        <w:rPr>
          <w:rFonts w:ascii="宋体" w:hAnsi="宋体" w:eastAsia="宋体"/>
          <w:color w:val="auto"/>
          <w:sz w:val="24"/>
          <w:szCs w:val="24"/>
          <w:highlight w:val="none"/>
        </w:rPr>
        <w:t>管理人、托管人按本说明书估值方法进行估值时，</w:t>
      </w:r>
      <w:r>
        <w:rPr>
          <w:rFonts w:hint="eastAsia" w:ascii="宋体" w:hAnsi="宋体" w:eastAsia="宋体"/>
          <w:color w:val="auto"/>
          <w:sz w:val="24"/>
          <w:szCs w:val="24"/>
          <w:highlight w:val="none"/>
        </w:rPr>
        <w:t>所造成的误差不作为估值错误处理。</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2）由于不可抗力原因，或由于证券交易所、</w:t>
      </w:r>
      <w:r>
        <w:rPr>
          <w:rFonts w:hint="eastAsia" w:ascii="宋体" w:hAnsi="宋体" w:eastAsia="宋体"/>
          <w:b/>
          <w:bCs/>
          <w:color w:val="auto"/>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color w:val="auto"/>
          <w:sz w:val="24"/>
          <w:szCs w:val="24"/>
          <w:highlight w:val="none"/>
        </w:rPr>
        <w:t>（</w:t>
      </w:r>
      <w:r>
        <w:rPr>
          <w:rFonts w:ascii="宋体" w:hAnsi="宋体" w:eastAsia="宋体"/>
          <w:color w:val="auto"/>
          <w:sz w:val="24"/>
          <w:szCs w:val="24"/>
          <w:highlight w:val="none"/>
        </w:rPr>
        <w:t>3）前述内</w:t>
      </w:r>
      <w:r>
        <w:rPr>
          <w:rFonts w:hint="eastAsia" w:ascii="宋体" w:hAnsi="宋体" w:eastAsia="宋体"/>
          <w:color w:val="auto"/>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color w:val="auto"/>
          <w:sz w:val="24"/>
          <w:szCs w:val="24"/>
          <w:highlight w:val="none"/>
        </w:rPr>
      </w:pP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七、理财产品的费用与税收</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（一）理财产品的费用</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1</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理财产品费用指投资管理人为成立理财产品及处理理财产品事务目的而</w:t>
      </w:r>
      <w:r>
        <w:rPr>
          <w:rFonts w:hint="eastAsia" w:ascii="宋体" w:hAnsi="宋体" w:eastAsia="宋体"/>
          <w:b/>
          <w:bCs/>
          <w:color w:val="auto"/>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color w:val="auto"/>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w:t>
      </w:r>
      <w:r>
        <w:rPr>
          <w:rFonts w:ascii="宋体" w:hAnsi="宋体" w:eastAsia="宋体"/>
          <w:b/>
          <w:bCs/>
          <w:color w:val="auto"/>
          <w:sz w:val="24"/>
          <w:szCs w:val="24"/>
          <w:highlight w:val="none"/>
        </w:rPr>
        <w:t>理财产品费用按本产品说明书及管理人与费用收取方之间的协议约定从</w:t>
      </w:r>
      <w:r>
        <w:rPr>
          <w:rFonts w:hint="eastAsia" w:ascii="宋体" w:hAnsi="宋体" w:eastAsia="宋体"/>
          <w:b/>
          <w:bCs/>
          <w:color w:val="auto"/>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3.</w:t>
      </w:r>
      <w:r>
        <w:rPr>
          <w:rFonts w:hint="eastAsia" w:ascii="宋体" w:hAnsi="宋体" w:eastAsia="宋体"/>
          <w:b/>
          <w:bCs/>
          <w:color w:val="auto"/>
          <w:sz w:val="24"/>
          <w:szCs w:val="24"/>
          <w:highlight w:val="none"/>
        </w:rPr>
        <w:t>固定管理费：</w:t>
      </w:r>
      <w:r>
        <w:rPr>
          <w:rFonts w:hint="eastAsia" w:ascii="宋体" w:hAnsi="宋体" w:eastAsia="宋体"/>
          <w:b/>
          <w:bCs/>
          <w:color w:val="auto"/>
          <w:sz w:val="24"/>
          <w:szCs w:val="24"/>
          <w:highlight w:val="none"/>
          <w:lang w:bidi="ar"/>
        </w:rPr>
        <w:t>管理人收取理财产品固定管理费，每个自然日计提，按季收取，</w:t>
      </w:r>
      <w:r>
        <w:rPr>
          <w:rFonts w:hint="eastAsia" w:ascii="宋体" w:hAnsi="宋体" w:eastAsia="宋体" w:cs="宋体"/>
          <w:b/>
          <w:bCs/>
          <w:color w:val="auto"/>
          <w:sz w:val="24"/>
          <w:szCs w:val="24"/>
          <w:highlight w:val="none"/>
        </w:rPr>
        <w:t>同时管理人有权根据实际情况延后</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提前支付上述费用。产品到期或提前终止情况下，在产品到期日或提前终止日后支付剩余应付未付的费用。</w:t>
      </w:r>
      <w:r>
        <w:rPr>
          <w:rFonts w:hint="eastAsia" w:ascii="宋体" w:hAnsi="宋体" w:eastAsia="宋体"/>
          <w:b/>
          <w:bCs/>
          <w:color w:val="auto"/>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各类份额</w:t>
      </w:r>
      <w:r>
        <w:rPr>
          <w:rFonts w:hint="eastAsia" w:ascii="宋体" w:hAnsi="宋体" w:eastAsia="宋体"/>
          <w:b/>
          <w:bCs/>
          <w:color w:val="auto"/>
          <w:sz w:val="24"/>
          <w:szCs w:val="24"/>
          <w:highlight w:val="none"/>
        </w:rPr>
        <w:t>每个自然日计提的固定管理费</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上一自然日</w:t>
      </w:r>
      <w:r>
        <w:rPr>
          <w:rFonts w:hint="eastAsia" w:ascii="宋体" w:hAnsi="宋体" w:eastAsia="宋体"/>
          <w:b/>
          <w:bCs/>
          <w:color w:val="auto"/>
          <w:sz w:val="24"/>
          <w:szCs w:val="24"/>
          <w:highlight w:val="none"/>
          <w:lang w:bidi="ar"/>
        </w:rPr>
        <w:t>相应份额</w:t>
      </w:r>
      <w:r>
        <w:rPr>
          <w:rFonts w:hint="eastAsia" w:ascii="宋体" w:hAnsi="宋体" w:eastAsia="宋体"/>
          <w:b/>
          <w:bCs/>
          <w:color w:val="auto"/>
          <w:sz w:val="24"/>
          <w:szCs w:val="24"/>
          <w:highlight w:val="none"/>
        </w:rPr>
        <w:t>净资产×当前执行的固定管理费率÷</w:t>
      </w:r>
      <w:r>
        <w:rPr>
          <w:rFonts w:ascii="宋体" w:hAnsi="宋体" w:eastAsia="宋体"/>
          <w:b/>
          <w:bCs/>
          <w:color w:val="auto"/>
          <w:sz w:val="24"/>
          <w:szCs w:val="24"/>
          <w:highlight w:val="none"/>
        </w:rPr>
        <w:t>365</w:t>
      </w:r>
      <w:r>
        <w:rPr>
          <w:rFonts w:hint="eastAsia" w:ascii="宋体" w:hAnsi="宋体" w:eastAsia="宋体"/>
          <w:b/>
          <w:bCs/>
          <w:color w:val="auto"/>
          <w:sz w:val="24"/>
          <w:szCs w:val="24"/>
          <w:highlight w:val="none"/>
        </w:rPr>
        <w:t>。</w:t>
      </w:r>
    </w:p>
    <w:p>
      <w:pPr>
        <w:widowControl/>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各类份额</w:t>
      </w:r>
      <w:r>
        <w:rPr>
          <w:rFonts w:hint="eastAsia" w:ascii="宋体" w:hAnsi="宋体" w:eastAsia="宋体"/>
          <w:b/>
          <w:bCs/>
          <w:color w:val="auto"/>
          <w:sz w:val="24"/>
          <w:szCs w:val="24"/>
          <w:highlight w:val="none"/>
        </w:rPr>
        <w:t>固定管理费精确到小数点后</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位，小数点</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位以后</w:t>
      </w:r>
      <w:r>
        <w:rPr>
          <w:rFonts w:hint="eastAsia" w:ascii="宋体" w:hAnsi="宋体" w:eastAsia="宋体"/>
          <w:b/>
          <w:bCs/>
          <w:color w:val="auto"/>
          <w:sz w:val="24"/>
          <w:szCs w:val="24"/>
          <w:highlight w:val="none"/>
          <w:lang w:bidi="ar"/>
        </w:rPr>
        <w:t>四舍五入</w:t>
      </w:r>
      <w:r>
        <w:rPr>
          <w:rFonts w:hint="eastAsia" w:ascii="宋体" w:hAnsi="宋体" w:eastAsia="宋体"/>
          <w:b/>
          <w:bCs/>
          <w:color w:val="auto"/>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销售服务费：销售服务机构收取理财产品销售服务费，产品成立日一次性计提，按日摊销</w:t>
      </w: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各类份额</w:t>
      </w:r>
      <w:r>
        <w:rPr>
          <w:rFonts w:hint="eastAsia" w:ascii="宋体" w:hAnsi="宋体" w:eastAsia="宋体"/>
          <w:b/>
          <w:bCs/>
          <w:color w:val="auto"/>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各类份额</w:t>
      </w:r>
      <w:r>
        <w:rPr>
          <w:rFonts w:hint="eastAsia" w:ascii="宋体" w:hAnsi="宋体" w:eastAsia="宋体"/>
          <w:b/>
          <w:bCs/>
          <w:color w:val="auto"/>
          <w:sz w:val="24"/>
          <w:szCs w:val="24"/>
          <w:highlight w:val="none"/>
        </w:rPr>
        <w:t>销售服务费精确到小数点后</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位，小数点</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位以后</w:t>
      </w:r>
      <w:r>
        <w:rPr>
          <w:rFonts w:hint="eastAsia" w:ascii="宋体" w:hAnsi="宋体" w:eastAsia="宋体"/>
          <w:b/>
          <w:bCs/>
          <w:color w:val="auto"/>
          <w:sz w:val="24"/>
          <w:szCs w:val="24"/>
          <w:highlight w:val="none"/>
          <w:lang w:bidi="ar"/>
        </w:rPr>
        <w:t>四舍五入</w:t>
      </w:r>
      <w:r>
        <w:rPr>
          <w:rFonts w:hint="eastAsia" w:ascii="宋体" w:hAnsi="宋体" w:eastAsia="宋体"/>
          <w:b/>
          <w:bCs/>
          <w:color w:val="auto"/>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确认的</w:t>
      </w:r>
      <w:r>
        <w:rPr>
          <w:rFonts w:ascii="宋体" w:hAnsi="宋体" w:eastAsia="宋体"/>
          <w:b/>
          <w:bCs/>
          <w:color w:val="auto"/>
          <w:sz w:val="24"/>
          <w:szCs w:val="24"/>
          <w:highlight w:val="none"/>
        </w:rPr>
        <w:t>退出份额</w:t>
      </w:r>
      <w:r>
        <w:rPr>
          <w:rFonts w:hint="eastAsia" w:ascii="宋体" w:hAnsi="宋体" w:eastAsia="宋体"/>
          <w:b/>
          <w:bCs/>
          <w:color w:val="auto"/>
          <w:sz w:val="24"/>
          <w:szCs w:val="24"/>
          <w:highlight w:val="none"/>
        </w:rPr>
        <w:t>数</w:t>
      </w:r>
      <w:r>
        <w:rPr>
          <w:rFonts w:ascii="宋体" w:hAnsi="宋体" w:eastAsia="宋体"/>
          <w:b/>
          <w:bCs/>
          <w:color w:val="auto"/>
          <w:sz w:val="24"/>
          <w:szCs w:val="24"/>
          <w:highlight w:val="none"/>
        </w:rPr>
        <w:t>×销售服务费率×产品剩余期限/365，计算结果精确到小数点后2位，小数点2位以后四舍五入，其中产品剩余期限为从退出份额确认日（含）至产品计</w:t>
      </w:r>
      <w:r>
        <w:rPr>
          <w:rFonts w:hint="eastAsia" w:ascii="宋体" w:hAnsi="宋体" w:eastAsia="宋体"/>
          <w:b/>
          <w:bCs/>
          <w:color w:val="auto"/>
          <w:sz w:val="24"/>
          <w:szCs w:val="24"/>
          <w:highlight w:val="none"/>
        </w:rPr>
        <w:t>划</w:t>
      </w:r>
      <w:r>
        <w:rPr>
          <w:rFonts w:ascii="宋体" w:hAnsi="宋体" w:eastAsia="宋体"/>
          <w:b/>
          <w:bCs/>
          <w:color w:val="auto"/>
          <w:sz w:val="24"/>
          <w:szCs w:val="24"/>
          <w:highlight w:val="none"/>
        </w:rPr>
        <w:t>到期日（</w:t>
      </w:r>
      <w:r>
        <w:rPr>
          <w:rFonts w:hint="eastAsia" w:ascii="宋体" w:hAnsi="宋体" w:eastAsia="宋体"/>
          <w:b/>
          <w:bCs/>
          <w:color w:val="auto"/>
          <w:sz w:val="24"/>
          <w:szCs w:val="24"/>
          <w:highlight w:val="none"/>
          <w:lang w:val="en-US" w:eastAsia="zh-CN"/>
        </w:rPr>
        <w:t>不</w:t>
      </w:r>
      <w:r>
        <w:rPr>
          <w:rFonts w:ascii="宋体" w:hAnsi="宋体" w:eastAsia="宋体"/>
          <w:b/>
          <w:bCs/>
          <w:color w:val="auto"/>
          <w:sz w:val="24"/>
          <w:szCs w:val="24"/>
          <w:highlight w:val="none"/>
        </w:rPr>
        <w:t>含）的天数。在退出份额确认日当日，本理财产品将退出份额对应的已计提未摊销销售服务费一次性</w:t>
      </w:r>
      <w:r>
        <w:rPr>
          <w:rFonts w:hint="eastAsia" w:ascii="宋体" w:hAnsi="宋体" w:eastAsia="宋体"/>
          <w:b/>
          <w:bCs/>
          <w:color w:val="auto"/>
          <w:sz w:val="24"/>
          <w:szCs w:val="24"/>
          <w:highlight w:val="none"/>
        </w:rPr>
        <w:t>摊销完成</w:t>
      </w:r>
      <w:r>
        <w:rPr>
          <w:rFonts w:ascii="宋体" w:hAnsi="宋体" w:eastAsia="宋体"/>
          <w:b/>
          <w:bCs/>
          <w:color w:val="auto"/>
          <w:sz w:val="24"/>
          <w:szCs w:val="24"/>
          <w:highlight w:val="none"/>
        </w:rPr>
        <w:t>。</w:t>
      </w:r>
    </w:p>
    <w:p>
      <w:pPr>
        <w:widowControl/>
        <w:numPr>
          <w:ilvl w:val="0"/>
          <w:numId w:val="9"/>
        </w:numPr>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托管费：托管人收取理财产品托管费，每个自然日计提，按</w:t>
      </w:r>
      <w:r>
        <w:rPr>
          <w:rFonts w:hint="eastAsia" w:ascii="宋体" w:hAnsi="宋体" w:eastAsia="宋体"/>
          <w:b/>
          <w:bCs/>
          <w:color w:val="auto"/>
          <w:sz w:val="24"/>
          <w:szCs w:val="24"/>
          <w:highlight w:val="none"/>
          <w:lang w:bidi="ar"/>
        </w:rPr>
        <w:t>季</w:t>
      </w:r>
      <w:r>
        <w:rPr>
          <w:rFonts w:hint="eastAsia" w:ascii="宋体" w:hAnsi="宋体" w:eastAsia="宋体"/>
          <w:b/>
          <w:bCs/>
          <w:color w:val="auto"/>
          <w:sz w:val="24"/>
          <w:szCs w:val="24"/>
          <w:highlight w:val="none"/>
        </w:rPr>
        <w:t>收取</w:t>
      </w:r>
      <w:r>
        <w:rPr>
          <w:rFonts w:hint="eastAsia" w:ascii="宋体" w:hAnsi="宋体" w:eastAsia="宋体"/>
          <w:b/>
          <w:bCs/>
          <w:color w:val="auto"/>
          <w:sz w:val="24"/>
          <w:szCs w:val="24"/>
          <w:highlight w:val="none"/>
          <w:lang w:bidi="ar"/>
        </w:rPr>
        <w:t>，</w:t>
      </w:r>
      <w:r>
        <w:rPr>
          <w:rFonts w:hint="eastAsia" w:ascii="宋体" w:hAnsi="宋体" w:eastAsia="宋体" w:cs="宋体"/>
          <w:b/>
          <w:bCs/>
          <w:color w:val="auto"/>
          <w:sz w:val="24"/>
          <w:szCs w:val="24"/>
          <w:highlight w:val="none"/>
        </w:rPr>
        <w:t>同时管理人有权根据实际情况延后</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提前支付上述费用。产品到期或提前终止情况下，在产品到期日或提前终止日后支付剩余应付未付的费用。</w:t>
      </w:r>
      <w:r>
        <w:rPr>
          <w:rFonts w:hint="eastAsia" w:ascii="宋体" w:hAnsi="宋体" w:eastAsia="宋体"/>
          <w:b/>
          <w:bCs/>
          <w:color w:val="auto"/>
          <w:sz w:val="24"/>
          <w:szCs w:val="24"/>
          <w:highlight w:val="none"/>
        </w:rPr>
        <w:t>计算方式如下：</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本理财产品</w:t>
      </w:r>
      <w:r>
        <w:rPr>
          <w:rFonts w:hint="eastAsia" w:ascii="宋体" w:hAnsi="宋体" w:eastAsia="宋体"/>
          <w:b/>
          <w:bCs/>
          <w:color w:val="auto"/>
          <w:sz w:val="24"/>
          <w:szCs w:val="24"/>
          <w:highlight w:val="none"/>
        </w:rPr>
        <w:t>每个自然日计提的托管费</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上一自然日理财产品净资产×当前执行的托管费率÷</w:t>
      </w:r>
      <w:r>
        <w:rPr>
          <w:rFonts w:ascii="宋体" w:hAnsi="宋体" w:eastAsia="宋体"/>
          <w:b/>
          <w:bCs/>
          <w:color w:val="auto"/>
          <w:sz w:val="24"/>
          <w:szCs w:val="24"/>
          <w:highlight w:val="none"/>
        </w:rPr>
        <w:t>365</w:t>
      </w:r>
      <w:r>
        <w:rPr>
          <w:rFonts w:hint="eastAsia" w:ascii="宋体" w:hAnsi="宋体" w:eastAsia="宋体"/>
          <w:b/>
          <w:bCs/>
          <w:color w:val="auto"/>
          <w:sz w:val="24"/>
          <w:szCs w:val="24"/>
          <w:highlight w:val="none"/>
        </w:rPr>
        <w:t>。</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托管费精确到小数点后</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位，小数点</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位以后</w:t>
      </w:r>
      <w:r>
        <w:rPr>
          <w:rFonts w:hint="eastAsia" w:ascii="宋体" w:hAnsi="宋体" w:eastAsia="宋体"/>
          <w:b/>
          <w:bCs/>
          <w:color w:val="auto"/>
          <w:sz w:val="24"/>
          <w:szCs w:val="24"/>
          <w:highlight w:val="none"/>
          <w:lang w:bidi="ar"/>
        </w:rPr>
        <w:t>四舍五入</w:t>
      </w:r>
      <w:r>
        <w:rPr>
          <w:rFonts w:hint="eastAsia" w:ascii="宋体" w:hAnsi="宋体" w:eastAsia="宋体"/>
          <w:b/>
          <w:bCs/>
          <w:color w:val="auto"/>
          <w:sz w:val="24"/>
          <w:szCs w:val="24"/>
          <w:highlight w:val="none"/>
        </w:rPr>
        <w:t>。</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6.</w:t>
      </w:r>
      <w:r>
        <w:rPr>
          <w:rFonts w:hint="eastAsia" w:ascii="宋体" w:hAnsi="宋体" w:eastAsia="宋体"/>
          <w:b/>
          <w:bCs/>
          <w:color w:val="auto"/>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color w:val="auto"/>
          <w:sz w:val="24"/>
          <w:szCs w:val="24"/>
          <w:highlight w:val="none"/>
        </w:rPr>
        <w:t>10</w:t>
      </w:r>
      <w:r>
        <w:rPr>
          <w:rFonts w:hint="eastAsia" w:ascii="宋体" w:hAnsi="宋体" w:eastAsia="宋体"/>
          <w:b/>
          <w:bCs/>
          <w:color w:val="auto"/>
          <w:sz w:val="24"/>
          <w:szCs w:val="24"/>
          <w:highlight w:val="none"/>
        </w:rPr>
        <w:t>】个工作日内支付</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超额业绩报酬精确到小数点后</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位，小数点</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位以后</w:t>
      </w:r>
      <w:r>
        <w:rPr>
          <w:rFonts w:hint="eastAsia" w:ascii="宋体" w:hAnsi="宋体" w:eastAsia="宋体"/>
          <w:b/>
          <w:bCs/>
          <w:color w:val="auto"/>
          <w:sz w:val="24"/>
          <w:szCs w:val="24"/>
          <w:highlight w:val="none"/>
          <w:lang w:bidi="ar"/>
        </w:rPr>
        <w:t>四舍五入</w:t>
      </w:r>
      <w:r>
        <w:rPr>
          <w:rFonts w:hint="eastAsia" w:ascii="宋体" w:hAnsi="宋体" w:eastAsia="宋体"/>
          <w:b/>
          <w:bCs/>
          <w:color w:val="auto"/>
          <w:sz w:val="24"/>
          <w:szCs w:val="24"/>
          <w:highlight w:val="none"/>
        </w:rPr>
        <w:t>。根据计算方式得到的超额业绩报酬大于</w:t>
      </w:r>
      <w:r>
        <w:rPr>
          <w:rFonts w:ascii="宋体" w:hAnsi="宋体" w:eastAsia="宋体"/>
          <w:b/>
          <w:bCs/>
          <w:color w:val="auto"/>
          <w:sz w:val="24"/>
          <w:szCs w:val="24"/>
          <w:highlight w:val="none"/>
        </w:rPr>
        <w:t>0</w:t>
      </w:r>
      <w:r>
        <w:rPr>
          <w:rFonts w:hint="eastAsia" w:ascii="宋体" w:hAnsi="宋体" w:eastAsia="宋体"/>
          <w:b/>
          <w:bCs/>
          <w:color w:val="auto"/>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超额业绩报酬的计算方式为：</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各类份额年化的名义份额净值收益率超过相应份额的超额业绩报酬计提基准时，计提超出部分的</w:t>
      </w:r>
      <w:r>
        <w:rPr>
          <w:rFonts w:ascii="宋体" w:hAnsi="宋体" w:eastAsia="宋体"/>
          <w:b/>
          <w:bCs/>
          <w:color w:val="auto"/>
          <w:sz w:val="24"/>
          <w:szCs w:val="24"/>
          <w:highlight w:val="none"/>
        </w:rPr>
        <w:t>50%</w:t>
      </w:r>
      <w:r>
        <w:rPr>
          <w:rFonts w:hint="eastAsia" w:ascii="宋体" w:hAnsi="宋体" w:eastAsia="宋体"/>
          <w:b/>
          <w:bCs/>
          <w:color w:val="auto"/>
          <w:sz w:val="24"/>
          <w:szCs w:val="24"/>
          <w:highlight w:val="none"/>
        </w:rPr>
        <w:t>作为超额业绩报酬。计算公式如下：</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各类份额计提评价日应计提的超额业绩报酬</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相应份额名义份额净值收益率</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相应份额超额业绩报酬计提基准×区间天数÷</w:t>
      </w:r>
      <w:r>
        <w:rPr>
          <w:rFonts w:ascii="宋体" w:hAnsi="宋体" w:eastAsia="宋体"/>
          <w:b/>
          <w:bCs/>
          <w:color w:val="auto"/>
          <w:sz w:val="24"/>
          <w:szCs w:val="24"/>
          <w:highlight w:val="none"/>
        </w:rPr>
        <w:t>365</w:t>
      </w:r>
      <w:r>
        <w:rPr>
          <w:rFonts w:hint="eastAsia" w:ascii="宋体" w:hAnsi="宋体" w:eastAsia="宋体"/>
          <w:b/>
          <w:bCs/>
          <w:color w:val="auto"/>
          <w:sz w:val="24"/>
          <w:szCs w:val="24"/>
          <w:highlight w:val="none"/>
        </w:rPr>
        <w:t>）×理财产品计提评价日的相应份额的总份额×</w:t>
      </w:r>
      <w:r>
        <w:rPr>
          <w:rFonts w:ascii="宋体" w:hAnsi="宋体" w:eastAsia="宋体"/>
          <w:b/>
          <w:bCs/>
          <w:color w:val="auto"/>
          <w:sz w:val="24"/>
          <w:szCs w:val="24"/>
          <w:highlight w:val="none"/>
        </w:rPr>
        <w:t>50%</w:t>
      </w:r>
      <w:r>
        <w:rPr>
          <w:rFonts w:hint="eastAsia" w:ascii="宋体" w:hAnsi="宋体" w:eastAsia="宋体"/>
          <w:b/>
          <w:bCs/>
          <w:color w:val="auto"/>
          <w:sz w:val="24"/>
          <w:szCs w:val="24"/>
          <w:highlight w:val="none"/>
        </w:rPr>
        <w:t>，其中，相应份额名义份额净值收益率</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（该计提评价日的理财产品相应份额的累计份额净值</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相应份额的资产净值</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相应份额的总份额</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产品成立以来相应份额累计单位分红金额。相应份额的累计份额净值四舍五入保留</w:t>
      </w:r>
      <w:r>
        <w:rPr>
          <w:rFonts w:ascii="宋体" w:hAnsi="宋体" w:eastAsia="宋体"/>
          <w:b/>
          <w:bCs/>
          <w:color w:val="auto"/>
          <w:sz w:val="24"/>
          <w:szCs w:val="24"/>
          <w:highlight w:val="none"/>
        </w:rPr>
        <w:t>6</w:t>
      </w:r>
      <w:r>
        <w:rPr>
          <w:rFonts w:hint="eastAsia" w:ascii="宋体" w:hAnsi="宋体" w:eastAsia="宋体"/>
          <w:b/>
          <w:bCs/>
          <w:color w:val="auto"/>
          <w:sz w:val="24"/>
          <w:szCs w:val="24"/>
          <w:highlight w:val="none"/>
        </w:rPr>
        <w:t>位小数。</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（二）理财产品的税收</w:t>
      </w:r>
    </w:p>
    <w:p>
      <w:pPr>
        <w:spacing w:line="300" w:lineRule="auto"/>
        <w:ind w:firstLine="480" w:firstLineChars="200"/>
        <w:rPr>
          <w:rFonts w:hint="eastAsia" w:ascii="宋体" w:hAnsi="宋体" w:eastAsia="宋体"/>
          <w:color w:val="auto"/>
          <w:sz w:val="24"/>
          <w:szCs w:val="24"/>
          <w:highlight w:val="none"/>
        </w:rPr>
      </w:pPr>
      <w:bookmarkStart w:id="1" w:name="_Hlk134619445"/>
      <w:r>
        <w:rPr>
          <w:rFonts w:hint="eastAsia" w:ascii="宋体" w:hAnsi="宋体" w:eastAsia="宋体"/>
          <w:color w:val="auto"/>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color w:val="auto"/>
          <w:sz w:val="24"/>
          <w:szCs w:val="24"/>
          <w:highlight w:val="none"/>
        </w:rPr>
      </w:pP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八、理财资金分配</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（一）期间分配</w:t>
      </w:r>
    </w:p>
    <w:p>
      <w:pPr>
        <w:widowControl/>
        <w:spacing w:line="300" w:lineRule="auto"/>
        <w:ind w:firstLine="480" w:firstLineChars="200"/>
        <w:jc w:val="left"/>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期间分配原则及方式：</w:t>
      </w:r>
    </w:p>
    <w:p>
      <w:pPr>
        <w:widowControl/>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3.原则上，产品管理人在理财产品权益登记日后</w:t>
      </w:r>
      <w:r>
        <w:rPr>
          <w:rFonts w:ascii="宋体" w:hAnsi="宋体" w:eastAsia="宋体"/>
          <w:color w:val="auto"/>
          <w:sz w:val="24"/>
          <w:szCs w:val="24"/>
          <w:highlight w:val="none"/>
          <w:lang w:bidi="ar"/>
        </w:rPr>
        <w:t>5</w:t>
      </w:r>
      <w:r>
        <w:rPr>
          <w:rFonts w:hint="eastAsia" w:ascii="宋体" w:hAnsi="宋体" w:eastAsia="宋体"/>
          <w:color w:val="auto"/>
          <w:sz w:val="24"/>
          <w:szCs w:val="24"/>
          <w:highlight w:val="none"/>
          <w:lang w:bidi="ar"/>
        </w:rPr>
        <w:t>个工作日内将投资者可得资金划转至投资者账户。超过</w:t>
      </w:r>
      <w:r>
        <w:rPr>
          <w:rFonts w:ascii="宋体" w:hAnsi="宋体" w:eastAsia="宋体"/>
          <w:color w:val="auto"/>
          <w:sz w:val="24"/>
          <w:szCs w:val="24"/>
          <w:highlight w:val="none"/>
          <w:lang w:bidi="ar"/>
        </w:rPr>
        <w:t>5个工作日的，</w:t>
      </w:r>
      <w:r>
        <w:rPr>
          <w:rFonts w:hint="eastAsia" w:ascii="宋体" w:hAnsi="宋体" w:eastAsia="宋体"/>
          <w:color w:val="auto"/>
          <w:sz w:val="24"/>
          <w:szCs w:val="24"/>
          <w:highlight w:val="none"/>
          <w:lang w:bidi="ar"/>
        </w:rPr>
        <w:t>产品管理人将提前</w:t>
      </w:r>
      <w:r>
        <w:rPr>
          <w:rFonts w:ascii="宋体" w:hAnsi="宋体" w:eastAsia="宋体"/>
          <w:color w:val="auto"/>
          <w:sz w:val="24"/>
          <w:szCs w:val="24"/>
          <w:highlight w:val="none"/>
          <w:lang w:bidi="ar"/>
        </w:rPr>
        <w:t>2个工作日通过本产品说明书信息披露约</w:t>
      </w:r>
      <w:r>
        <w:rPr>
          <w:rFonts w:hint="eastAsia" w:ascii="宋体" w:hAnsi="宋体" w:eastAsia="宋体"/>
          <w:color w:val="auto"/>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color w:val="auto"/>
          <w:sz w:val="24"/>
          <w:szCs w:val="24"/>
          <w:highlight w:val="none"/>
        </w:rPr>
      </w:pP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（二）终止分配</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1.本产品在扣除渤银理财应收取费用及其他应由产品承担的税费后的</w:t>
      </w:r>
      <w:r>
        <w:rPr>
          <w:rFonts w:ascii="宋体" w:hAnsi="宋体" w:eastAsia="宋体"/>
          <w:b/>
          <w:bCs/>
          <w:color w:val="auto"/>
          <w:sz w:val="24"/>
          <w:szCs w:val="24"/>
          <w:highlight w:val="none"/>
        </w:rPr>
        <w:t>投资</w:t>
      </w:r>
      <w:r>
        <w:rPr>
          <w:rFonts w:hint="eastAsia" w:ascii="宋体" w:hAnsi="宋体" w:eastAsia="宋体"/>
          <w:b/>
          <w:bCs/>
          <w:color w:val="auto"/>
          <w:sz w:val="24"/>
          <w:szCs w:val="24"/>
          <w:highlight w:val="none"/>
        </w:rPr>
        <w:t>损益</w:t>
      </w:r>
      <w:r>
        <w:rPr>
          <w:rFonts w:hint="eastAsia" w:ascii="宋体" w:hAnsi="宋体" w:eastAsia="宋体"/>
          <w:color w:val="auto"/>
          <w:sz w:val="24"/>
          <w:szCs w:val="24"/>
          <w:highlight w:val="none"/>
        </w:rPr>
        <w:t>全部归属投资者。</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2.如产品正常到期或提前终止，理财资金于到期日（实际到期日或提前终止</w:t>
      </w:r>
      <w:r>
        <w:rPr>
          <w:rFonts w:hint="eastAsia" w:ascii="宋体" w:hAnsi="宋体" w:eastAsia="宋体"/>
          <w:color w:val="auto"/>
          <w:sz w:val="24"/>
          <w:szCs w:val="24"/>
          <w:highlight w:val="none"/>
        </w:rPr>
        <w:t>日）后【</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个工作日内根据实际情况一次性分配，如遇非工作日则顺延至下一</w:t>
      </w:r>
      <w:r>
        <w:rPr>
          <w:rFonts w:hint="eastAsia" w:ascii="宋体" w:hAnsi="宋体" w:eastAsia="宋体"/>
          <w:color w:val="auto"/>
          <w:sz w:val="24"/>
          <w:szCs w:val="24"/>
          <w:highlight w:val="none"/>
        </w:rPr>
        <w:t>工作日。</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3.投资者到期日应得资金计算公式如下：</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投资者应得资金</w:t>
      </w:r>
      <w:r>
        <w:rPr>
          <w:rFonts w:ascii="宋体" w:hAnsi="宋体" w:eastAsia="宋体"/>
          <w:color w:val="auto"/>
          <w:sz w:val="24"/>
          <w:szCs w:val="24"/>
          <w:highlight w:val="none"/>
        </w:rPr>
        <w:t>=到期日产品某</w:t>
      </w:r>
      <w:r>
        <w:rPr>
          <w:rFonts w:hint="eastAsia" w:ascii="宋体" w:hAnsi="宋体" w:eastAsia="宋体"/>
          <w:color w:val="auto"/>
          <w:sz w:val="24"/>
          <w:szCs w:val="24"/>
          <w:highlight w:val="none"/>
        </w:rPr>
        <w:t>类</w:t>
      </w:r>
      <w:r>
        <w:rPr>
          <w:rFonts w:ascii="宋体" w:hAnsi="宋体" w:eastAsia="宋体"/>
          <w:color w:val="auto"/>
          <w:sz w:val="24"/>
          <w:szCs w:val="24"/>
          <w:highlight w:val="none"/>
        </w:rPr>
        <w:t>份额可分配的总金额/产品某</w:t>
      </w:r>
      <w:r>
        <w:rPr>
          <w:rFonts w:hint="eastAsia" w:ascii="宋体" w:hAnsi="宋体" w:eastAsia="宋体"/>
          <w:color w:val="auto"/>
          <w:sz w:val="24"/>
          <w:szCs w:val="24"/>
          <w:highlight w:val="none"/>
        </w:rPr>
        <w:t>类</w:t>
      </w:r>
      <w:r>
        <w:rPr>
          <w:rFonts w:ascii="宋体" w:hAnsi="宋体" w:eastAsia="宋体"/>
          <w:color w:val="auto"/>
          <w:sz w:val="24"/>
          <w:szCs w:val="24"/>
          <w:highlight w:val="none"/>
        </w:rPr>
        <w:t>份额总份额*投资者</w:t>
      </w:r>
      <w:r>
        <w:rPr>
          <w:rFonts w:hint="eastAsia" w:ascii="宋体" w:hAnsi="宋体" w:eastAsia="宋体"/>
          <w:color w:val="auto"/>
          <w:sz w:val="24"/>
          <w:szCs w:val="24"/>
          <w:highlight w:val="none"/>
        </w:rPr>
        <w:t>持有</w:t>
      </w:r>
      <w:r>
        <w:rPr>
          <w:rFonts w:ascii="宋体" w:hAnsi="宋体" w:eastAsia="宋体"/>
          <w:color w:val="auto"/>
          <w:sz w:val="24"/>
          <w:szCs w:val="24"/>
          <w:highlight w:val="none"/>
        </w:rPr>
        <w:t>某</w:t>
      </w:r>
      <w:r>
        <w:rPr>
          <w:rFonts w:hint="eastAsia" w:ascii="宋体" w:hAnsi="宋体" w:eastAsia="宋体"/>
          <w:color w:val="auto"/>
          <w:sz w:val="24"/>
          <w:szCs w:val="24"/>
          <w:highlight w:val="none"/>
        </w:rPr>
        <w:t>类</w:t>
      </w:r>
      <w:r>
        <w:rPr>
          <w:rFonts w:ascii="宋体" w:hAnsi="宋体" w:eastAsia="宋体"/>
          <w:color w:val="auto"/>
          <w:sz w:val="24"/>
          <w:szCs w:val="24"/>
          <w:highlight w:val="none"/>
        </w:rPr>
        <w:t>份额</w:t>
      </w:r>
      <w:r>
        <w:rPr>
          <w:rFonts w:hint="eastAsia" w:ascii="宋体" w:hAnsi="宋体" w:eastAsia="宋体"/>
          <w:color w:val="auto"/>
          <w:sz w:val="24"/>
          <w:szCs w:val="24"/>
          <w:highlight w:val="none"/>
        </w:rPr>
        <w:t>的份额数。</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4.若</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期发生变化（</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期提前结束或</w:t>
      </w:r>
      <w:r>
        <w:rPr>
          <w:rFonts w:hint="eastAsia" w:ascii="宋体" w:hAnsi="宋体" w:eastAsia="宋体"/>
          <w:color w:val="auto"/>
          <w:sz w:val="24"/>
          <w:szCs w:val="24"/>
          <w:highlight w:val="none"/>
        </w:rPr>
        <w:t>认购</w:t>
      </w:r>
      <w:r>
        <w:rPr>
          <w:rFonts w:ascii="宋体" w:hAnsi="宋体" w:eastAsia="宋体"/>
          <w:color w:val="auto"/>
          <w:sz w:val="24"/>
          <w:szCs w:val="24"/>
          <w:highlight w:val="none"/>
        </w:rPr>
        <w:t>期延长）、</w:t>
      </w:r>
      <w:r>
        <w:rPr>
          <w:rFonts w:hint="eastAsia" w:ascii="宋体" w:hAnsi="宋体" w:eastAsia="宋体"/>
          <w:color w:val="auto"/>
          <w:sz w:val="24"/>
          <w:szCs w:val="24"/>
          <w:highlight w:val="none"/>
        </w:rPr>
        <w:t>产品成立日</w:t>
      </w:r>
      <w:r>
        <w:rPr>
          <w:rFonts w:ascii="宋体" w:hAnsi="宋体" w:eastAsia="宋体"/>
          <w:color w:val="auto"/>
          <w:sz w:val="24"/>
          <w:szCs w:val="24"/>
          <w:highlight w:val="none"/>
        </w:rPr>
        <w:t>发生变</w:t>
      </w:r>
      <w:r>
        <w:rPr>
          <w:rFonts w:hint="eastAsia" w:ascii="宋体" w:hAnsi="宋体" w:eastAsia="宋体"/>
          <w:color w:val="auto"/>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5.投资者通过</w:t>
      </w:r>
      <w:r>
        <w:rPr>
          <w:rFonts w:hint="eastAsia" w:ascii="宋体" w:hAnsi="宋体" w:eastAsia="宋体"/>
          <w:color w:val="auto"/>
          <w:sz w:val="24"/>
          <w:szCs w:val="24"/>
          <w:highlight w:val="none"/>
        </w:rPr>
        <w:t>销售服务</w:t>
      </w:r>
      <w:r>
        <w:rPr>
          <w:rFonts w:ascii="宋体" w:hAnsi="宋体" w:eastAsia="宋体"/>
          <w:color w:val="auto"/>
          <w:sz w:val="24"/>
          <w:szCs w:val="24"/>
          <w:highlight w:val="none"/>
        </w:rPr>
        <w:t>机构购买理财产品的，理财资金划转至投资者账户的</w:t>
      </w:r>
      <w:r>
        <w:rPr>
          <w:rFonts w:hint="eastAsia" w:ascii="宋体" w:hAnsi="宋体" w:eastAsia="宋体"/>
          <w:color w:val="auto"/>
          <w:sz w:val="24"/>
          <w:szCs w:val="24"/>
          <w:highlight w:val="none"/>
        </w:rPr>
        <w:t>时间以销售服务机构的清算时间为准。</w:t>
      </w:r>
    </w:p>
    <w:p>
      <w:pPr>
        <w:spacing w:line="300" w:lineRule="auto"/>
        <w:rPr>
          <w:rFonts w:hint="eastAsia" w:ascii="宋体" w:hAnsi="宋体" w:eastAsia="宋体"/>
          <w:b/>
          <w:bCs/>
          <w:color w:val="auto"/>
          <w:sz w:val="24"/>
          <w:szCs w:val="24"/>
          <w:highlight w:val="none"/>
        </w:rPr>
      </w:pP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九、理财产品的终止和清算</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（一）理财产品的终止</w:t>
      </w:r>
    </w:p>
    <w:p>
      <w:pPr>
        <w:spacing w:line="300" w:lineRule="auto"/>
        <w:ind w:firstLine="482" w:firstLineChars="200"/>
        <w:outlineLvl w:val="2"/>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1、提前终止</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（8）所投资资产部分或全部提前偿付。</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）法律法规规定或监管部门认定的其他情形。</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2、延期终止</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1）预计在</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预计到期日，</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财产因</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2）预计</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所投资的</w:t>
      </w:r>
      <w:r>
        <w:rPr>
          <w:rFonts w:hint="eastAsia" w:ascii="宋体" w:hAnsi="宋体" w:eastAsia="宋体"/>
          <w:color w:val="auto"/>
          <w:sz w:val="24"/>
          <w:szCs w:val="24"/>
          <w:highlight w:val="none"/>
        </w:rPr>
        <w:t>公募基金、</w:t>
      </w:r>
      <w:r>
        <w:rPr>
          <w:rFonts w:ascii="宋体" w:hAnsi="宋体" w:eastAsia="宋体"/>
          <w:color w:val="auto"/>
          <w:sz w:val="24"/>
          <w:szCs w:val="24"/>
          <w:highlight w:val="none"/>
        </w:rPr>
        <w:t>信托计划、</w:t>
      </w:r>
      <w:r>
        <w:rPr>
          <w:rFonts w:hint="eastAsia" w:ascii="宋体" w:hAnsi="宋体" w:eastAsia="宋体"/>
          <w:color w:val="auto"/>
          <w:sz w:val="24"/>
          <w:szCs w:val="24"/>
          <w:highlight w:val="none"/>
        </w:rPr>
        <w:t>资产管理计划等资产管理产品</w:t>
      </w:r>
      <w:r>
        <w:rPr>
          <w:rFonts w:ascii="宋体" w:hAnsi="宋体" w:eastAsia="宋体"/>
          <w:color w:val="auto"/>
          <w:sz w:val="24"/>
          <w:szCs w:val="24"/>
          <w:highlight w:val="none"/>
        </w:rPr>
        <w:t>的受托人或管理人将不能按期向管理人划付</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的本金和收益；</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财产涉及诉讼（或仲裁），且预计诉讼（或仲裁）及执行程序于</w:t>
      </w:r>
      <w:r>
        <w:rPr>
          <w:rFonts w:hint="eastAsia" w:ascii="宋体" w:hAnsi="宋体" w:eastAsia="宋体"/>
          <w:color w:val="auto"/>
          <w:sz w:val="24"/>
          <w:szCs w:val="24"/>
          <w:highlight w:val="none"/>
        </w:rPr>
        <w:t>理财产品</w:t>
      </w:r>
      <w:r>
        <w:rPr>
          <w:rFonts w:ascii="宋体" w:hAnsi="宋体" w:eastAsia="宋体"/>
          <w:color w:val="auto"/>
          <w:sz w:val="24"/>
          <w:szCs w:val="24"/>
          <w:highlight w:val="none"/>
        </w:rPr>
        <w:t>预计到期日尚未终结；</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4）管理人与托管人、</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协商一致决定延期；</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5）管理人认为有必要延期的其他情形；</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（二）理财产品的清算</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个工作日，清算期超过</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个工作日的，将依约定进行公告。</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2.如果渤银理财提前终止本理财产品，渤银理财将</w:t>
      </w:r>
      <w:r>
        <w:rPr>
          <w:rFonts w:hint="eastAsia" w:ascii="宋体" w:hAnsi="宋体" w:eastAsia="宋体"/>
          <w:color w:val="auto"/>
          <w:sz w:val="24"/>
          <w:szCs w:val="24"/>
          <w:highlight w:val="none"/>
        </w:rPr>
        <w:t>不</w:t>
      </w:r>
      <w:r>
        <w:rPr>
          <w:rFonts w:ascii="宋体" w:hAnsi="宋体" w:eastAsia="宋体"/>
          <w:color w:val="auto"/>
          <w:sz w:val="24"/>
          <w:szCs w:val="24"/>
          <w:highlight w:val="none"/>
        </w:rPr>
        <w:t>晚于提前终止日通知投资者，并在提前终止日后</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个工作日内支付投资者应得资金。投资者通过</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购买本理财产品的，理财资金划转至投资者账户的时间以该</w:t>
      </w:r>
      <w:r>
        <w:rPr>
          <w:rFonts w:hint="eastAsia" w:ascii="宋体" w:hAnsi="宋体" w:eastAsia="宋体"/>
          <w:color w:val="auto"/>
          <w:sz w:val="24"/>
          <w:szCs w:val="24"/>
          <w:highlight w:val="none"/>
        </w:rPr>
        <w:t>销售服务机构</w:t>
      </w:r>
      <w:r>
        <w:rPr>
          <w:rFonts w:ascii="宋体" w:hAnsi="宋体" w:eastAsia="宋体"/>
          <w:color w:val="auto"/>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3.如管理人决定本理财产品延期终止的，将</w:t>
      </w:r>
      <w:r>
        <w:rPr>
          <w:rFonts w:hint="eastAsia" w:ascii="宋体" w:hAnsi="宋体" w:eastAsia="宋体"/>
          <w:color w:val="auto"/>
          <w:sz w:val="24"/>
          <w:szCs w:val="24"/>
          <w:highlight w:val="none"/>
        </w:rPr>
        <w:t>不</w:t>
      </w:r>
      <w:r>
        <w:rPr>
          <w:rFonts w:ascii="宋体" w:hAnsi="宋体" w:eastAsia="宋体"/>
          <w:color w:val="auto"/>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color w:val="auto"/>
          <w:sz w:val="24"/>
          <w:szCs w:val="24"/>
          <w:highlight w:val="none"/>
        </w:rPr>
        <w:t>自</w:t>
      </w:r>
      <w:r>
        <w:rPr>
          <w:rFonts w:ascii="宋体" w:hAnsi="宋体" w:eastAsia="宋体"/>
          <w:color w:val="auto"/>
          <w:sz w:val="24"/>
          <w:szCs w:val="24"/>
          <w:highlight w:val="none"/>
        </w:rPr>
        <w:t>约定生效之日起生效。</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color w:val="auto"/>
          <w:sz w:val="24"/>
          <w:szCs w:val="24"/>
          <w:highlight w:val="none"/>
        </w:rPr>
      </w:pP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十、参与主体</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（一）投资管理人</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按照本理财产品文件的约定，及时、足额获得</w:t>
      </w:r>
      <w:r>
        <w:rPr>
          <w:rFonts w:hint="eastAsia" w:ascii="宋体" w:hAnsi="宋体" w:eastAsia="宋体"/>
          <w:color w:val="auto"/>
          <w:sz w:val="24"/>
          <w:szCs w:val="24"/>
          <w:highlight w:val="none"/>
        </w:rPr>
        <w:t>固定</w:t>
      </w:r>
      <w:r>
        <w:rPr>
          <w:rFonts w:ascii="宋体" w:hAnsi="宋体" w:eastAsia="宋体"/>
          <w:color w:val="auto"/>
          <w:sz w:val="24"/>
          <w:szCs w:val="24"/>
          <w:highlight w:val="none"/>
        </w:rPr>
        <w:t>管理费和本产品说明书</w:t>
      </w:r>
      <w:r>
        <w:rPr>
          <w:rFonts w:hint="eastAsia" w:ascii="宋体" w:hAnsi="宋体" w:eastAsia="宋体"/>
          <w:color w:val="auto"/>
          <w:sz w:val="24"/>
          <w:szCs w:val="24"/>
          <w:highlight w:val="none"/>
        </w:rPr>
        <w:t>约定的其他费用（如有）。</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管理人以其固有财产先行垫付因处理本理财产品相关事务所支出的理财</w:t>
      </w:r>
      <w:r>
        <w:rPr>
          <w:rFonts w:hint="eastAsia" w:ascii="宋体" w:hAnsi="宋体" w:eastAsia="宋体"/>
          <w:color w:val="auto"/>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w:t>
      </w:r>
      <w:r>
        <w:rPr>
          <w:rFonts w:ascii="宋体" w:hAnsi="宋体" w:eastAsia="宋体"/>
          <w:color w:val="auto"/>
          <w:sz w:val="24"/>
          <w:szCs w:val="24"/>
          <w:highlight w:val="none"/>
        </w:rPr>
        <w:t>管理人有权根据本理财产品文件的约定提前终止或延长本理财产品的期</w:t>
      </w:r>
      <w:r>
        <w:rPr>
          <w:rFonts w:hint="eastAsia" w:ascii="宋体" w:hAnsi="宋体" w:eastAsia="宋体"/>
          <w:color w:val="auto"/>
          <w:sz w:val="24"/>
          <w:szCs w:val="24"/>
          <w:highlight w:val="none"/>
        </w:rPr>
        <w:t>限。</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管理人有权调整本理财产品的认购规模上限、认购起点、认购金额上限、</w:t>
      </w:r>
      <w:r>
        <w:rPr>
          <w:rFonts w:hint="eastAsia" w:ascii="宋体" w:hAnsi="宋体" w:eastAsia="宋体"/>
          <w:color w:val="auto"/>
          <w:sz w:val="24"/>
          <w:szCs w:val="24"/>
          <w:highlight w:val="none"/>
        </w:rPr>
        <w:t>认购资金的最低金额、单笔认购上限等要素。</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w:t>
      </w:r>
      <w:r>
        <w:rPr>
          <w:rFonts w:ascii="宋体" w:hAnsi="宋体" w:eastAsia="宋体"/>
          <w:color w:val="auto"/>
          <w:sz w:val="24"/>
          <w:szCs w:val="24"/>
          <w:highlight w:val="none"/>
        </w:rPr>
        <w:t>管理人有权按照法律规定和监管机构的要求将投资者的信息向有权部门</w:t>
      </w:r>
      <w:r>
        <w:rPr>
          <w:rFonts w:hint="eastAsia" w:ascii="宋体" w:hAnsi="宋体" w:eastAsia="宋体"/>
          <w:color w:val="auto"/>
          <w:sz w:val="24"/>
          <w:szCs w:val="24"/>
          <w:highlight w:val="none"/>
        </w:rPr>
        <w:t>或相关机构披露。</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7.</w:t>
      </w:r>
      <w:r>
        <w:rPr>
          <w:rFonts w:ascii="宋体" w:hAnsi="宋体" w:eastAsia="宋体"/>
          <w:b/>
          <w:bCs/>
          <w:color w:val="auto"/>
          <w:sz w:val="24"/>
          <w:szCs w:val="24"/>
          <w:highlight w:val="none"/>
        </w:rPr>
        <w:t>管理人有权决定非标准化债权</w:t>
      </w:r>
      <w:r>
        <w:rPr>
          <w:rFonts w:hint="eastAsia" w:ascii="宋体" w:hAnsi="宋体" w:eastAsia="宋体"/>
          <w:b/>
          <w:bCs/>
          <w:color w:val="auto"/>
          <w:sz w:val="24"/>
          <w:szCs w:val="24"/>
          <w:highlight w:val="none"/>
        </w:rPr>
        <w:t>类</w:t>
      </w:r>
      <w:r>
        <w:rPr>
          <w:rFonts w:ascii="宋体" w:hAnsi="宋体" w:eastAsia="宋体"/>
          <w:b/>
          <w:bCs/>
          <w:color w:val="auto"/>
          <w:sz w:val="24"/>
          <w:szCs w:val="24"/>
          <w:highlight w:val="none"/>
        </w:rPr>
        <w:t>资产投资的管理、合同条款变更、赎回、处</w:t>
      </w:r>
      <w:r>
        <w:rPr>
          <w:rFonts w:hint="eastAsia" w:ascii="宋体" w:hAnsi="宋体" w:eastAsia="宋体"/>
          <w:b/>
          <w:bCs/>
          <w:color w:val="auto"/>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管理人有权决定所投资资产的投后管理、合同</w:t>
      </w:r>
      <w:r>
        <w:rPr>
          <w:rFonts w:hint="eastAsia" w:ascii="宋体" w:hAnsi="宋体" w:eastAsia="宋体"/>
          <w:color w:val="auto"/>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color w:val="auto"/>
          <w:sz w:val="24"/>
          <w:szCs w:val="24"/>
          <w:highlight w:val="none"/>
        </w:rPr>
        <w:t>/永续债权投资、有权决定可续期贷款/永续债权投资是否进行利率重置、</w:t>
      </w:r>
      <w:r>
        <w:rPr>
          <w:rFonts w:hint="eastAsia" w:ascii="宋体" w:hAnsi="宋体" w:eastAsia="宋体"/>
          <w:color w:val="auto"/>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以理财产品投资管理人的名义，依照法律法规相关规定以及为理财产品的</w:t>
      </w:r>
      <w:r>
        <w:rPr>
          <w:rFonts w:hint="eastAsia" w:ascii="宋体" w:hAnsi="宋体" w:eastAsia="宋体"/>
          <w:color w:val="auto"/>
          <w:sz w:val="24"/>
          <w:szCs w:val="24"/>
          <w:highlight w:val="none"/>
        </w:rPr>
        <w:t>利益，对被投资的公募基金、信托计划、资产管理计划等资产管理产品、公司</w:t>
      </w:r>
      <w:r>
        <w:rPr>
          <w:rFonts w:ascii="宋体" w:hAnsi="宋体" w:eastAsia="宋体"/>
          <w:color w:val="auto"/>
          <w:sz w:val="24"/>
          <w:szCs w:val="24"/>
          <w:highlight w:val="none"/>
        </w:rPr>
        <w:t>/企业等行使出资人/投资者权利（包括但不限于表决投票的权利）以及行使</w:t>
      </w:r>
      <w:r>
        <w:rPr>
          <w:rFonts w:hint="eastAsia" w:ascii="宋体" w:hAnsi="宋体" w:eastAsia="宋体"/>
          <w:color w:val="auto"/>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w:t>
      </w:r>
      <w:r>
        <w:rPr>
          <w:rFonts w:ascii="宋体" w:hAnsi="宋体" w:eastAsia="宋体"/>
          <w:color w:val="auto"/>
          <w:sz w:val="24"/>
          <w:szCs w:val="24"/>
          <w:highlight w:val="none"/>
        </w:rPr>
        <w:t>以理财产品投资管理人的名义，依照法律法规相关规定以及代表理财产</w:t>
      </w:r>
      <w:r>
        <w:rPr>
          <w:rFonts w:hint="eastAsia" w:ascii="宋体" w:hAnsi="宋体" w:eastAsia="宋体"/>
          <w:color w:val="auto"/>
          <w:sz w:val="24"/>
          <w:szCs w:val="24"/>
          <w:highlight w:val="none"/>
        </w:rPr>
        <w:t>品份额持有人的利益行使代为追索的权利（包括但不限于提起诉讼</w:t>
      </w:r>
      <w:r>
        <w:rPr>
          <w:rFonts w:ascii="宋体" w:hAnsi="宋体" w:eastAsia="宋体"/>
          <w:color w:val="auto"/>
          <w:sz w:val="24"/>
          <w:szCs w:val="24"/>
          <w:highlight w:val="none"/>
        </w:rPr>
        <w:t>/仲裁、申请</w:t>
      </w:r>
      <w:r>
        <w:rPr>
          <w:rFonts w:hint="eastAsia" w:ascii="宋体" w:hAnsi="宋体" w:eastAsia="宋体"/>
          <w:color w:val="auto"/>
          <w:sz w:val="24"/>
          <w:szCs w:val="24"/>
          <w:highlight w:val="none"/>
        </w:rPr>
        <w:t>保全</w:t>
      </w:r>
      <w:r>
        <w:rPr>
          <w:rFonts w:ascii="宋体" w:hAnsi="宋体" w:eastAsia="宋体"/>
          <w:color w:val="auto"/>
          <w:sz w:val="24"/>
          <w:szCs w:val="24"/>
          <w:highlight w:val="none"/>
        </w:rPr>
        <w:t>/执行的权利）或者实施其他风险处置，</w:t>
      </w:r>
      <w:r>
        <w:rPr>
          <w:rFonts w:hint="eastAsia" w:ascii="宋体" w:hAnsi="宋体" w:eastAsia="宋体"/>
          <w:color w:val="auto"/>
          <w:sz w:val="24"/>
          <w:szCs w:val="24"/>
          <w:highlight w:val="none"/>
        </w:rPr>
        <w:t>行使</w:t>
      </w:r>
      <w:r>
        <w:rPr>
          <w:rFonts w:ascii="宋体" w:hAnsi="宋体" w:eastAsia="宋体"/>
          <w:color w:val="auto"/>
          <w:sz w:val="24"/>
          <w:szCs w:val="24"/>
          <w:highlight w:val="none"/>
        </w:rPr>
        <w:t>、放弃、变更相关权利义务等</w:t>
      </w:r>
      <w:r>
        <w:rPr>
          <w:rFonts w:hint="eastAsia" w:ascii="宋体" w:hAnsi="宋体" w:eastAsia="宋体"/>
          <w:color w:val="auto"/>
          <w:sz w:val="24"/>
          <w:szCs w:val="24"/>
          <w:highlight w:val="none"/>
        </w:rPr>
        <w:t>法律行为。</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1.</w:t>
      </w:r>
      <w:r>
        <w:rPr>
          <w:rFonts w:ascii="宋体" w:hAnsi="宋体" w:eastAsia="宋体"/>
          <w:color w:val="auto"/>
          <w:sz w:val="24"/>
          <w:szCs w:val="24"/>
          <w:highlight w:val="none"/>
        </w:rPr>
        <w:t>在法律法规、监管政策允许的前提下调整估值日。</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2.</w:t>
      </w:r>
      <w:r>
        <w:rPr>
          <w:rFonts w:ascii="宋体" w:hAnsi="宋体" w:eastAsia="宋体"/>
          <w:color w:val="auto"/>
          <w:sz w:val="24"/>
          <w:szCs w:val="24"/>
          <w:highlight w:val="none"/>
        </w:rPr>
        <w:t>法律法规、监管政策和本理财产品文件约定的其他权利</w:t>
      </w:r>
      <w:r>
        <w:rPr>
          <w:rFonts w:hint="eastAsia" w:ascii="宋体" w:hAnsi="宋体" w:eastAsia="宋体"/>
          <w:color w:val="auto"/>
          <w:sz w:val="24"/>
          <w:szCs w:val="24"/>
          <w:highlight w:val="none"/>
        </w:rPr>
        <w:t>。</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（二）托管人</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本理财产品的托管人为</w:t>
      </w:r>
      <w:r>
        <w:rPr>
          <w:rFonts w:hint="eastAsia" w:ascii="宋体" w:hAnsi="宋体" w:eastAsia="宋体"/>
          <w:color w:val="auto"/>
          <w:sz w:val="24"/>
          <w:szCs w:val="24"/>
          <w:highlight w:val="none"/>
        </w:rPr>
        <w:t>苏州银行股份有限公司</w:t>
      </w:r>
      <w:r>
        <w:rPr>
          <w:rFonts w:hint="eastAsia" w:ascii="宋体" w:hAnsi="宋体" w:eastAsia="宋体"/>
          <w:color w:val="auto"/>
          <w:sz w:val="24"/>
          <w:szCs w:val="24"/>
          <w:highlight w:val="none"/>
        </w:rPr>
        <w:t>，地址为</w:t>
      </w:r>
      <w:r>
        <w:rPr>
          <w:rFonts w:hint="eastAsia" w:ascii="宋体" w:hAnsi="宋体" w:eastAsia="宋体"/>
          <w:color w:val="auto"/>
          <w:sz w:val="24"/>
          <w:szCs w:val="24"/>
          <w:highlight w:val="none"/>
        </w:rPr>
        <w:t>江苏省苏州工业园区钟园路728号</w:t>
      </w:r>
      <w:r>
        <w:rPr>
          <w:rFonts w:ascii="宋体" w:hAnsi="宋体" w:eastAsia="宋体"/>
          <w:color w:val="auto"/>
          <w:sz w:val="24"/>
          <w:szCs w:val="24"/>
          <w:highlight w:val="none"/>
        </w:rPr>
        <w:t>，</w:t>
      </w:r>
      <w:r>
        <w:rPr>
          <w:rFonts w:hint="eastAsia" w:ascii="宋体" w:hAnsi="宋体" w:eastAsia="宋体"/>
          <w:color w:val="auto"/>
          <w:sz w:val="24"/>
          <w:szCs w:val="24"/>
          <w:highlight w:val="none"/>
        </w:rPr>
        <w:t>托管人</w:t>
      </w:r>
      <w:r>
        <w:rPr>
          <w:rFonts w:ascii="宋体" w:hAnsi="宋体" w:eastAsia="宋体"/>
          <w:color w:val="auto"/>
          <w:sz w:val="24"/>
          <w:szCs w:val="24"/>
          <w:highlight w:val="none"/>
        </w:rPr>
        <w:t>主要职责</w:t>
      </w:r>
      <w:r>
        <w:rPr>
          <w:rFonts w:hint="eastAsia" w:ascii="宋体" w:hAnsi="宋体" w:eastAsia="宋体"/>
          <w:color w:val="auto"/>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（三）销售服务机构</w:t>
      </w:r>
    </w:p>
    <w:p>
      <w:pPr>
        <w:spacing w:line="300" w:lineRule="auto"/>
        <w:ind w:firstLine="480" w:firstLineChars="200"/>
        <w:rPr>
          <w:rFonts w:hint="eastAsia" w:ascii="宋体" w:hAnsi="宋体" w:eastAsia="宋体"/>
          <w:color w:val="auto"/>
          <w:sz w:val="24"/>
          <w:szCs w:val="24"/>
          <w:highlight w:val="none"/>
        </w:rPr>
      </w:pPr>
      <w:bookmarkStart w:id="2" w:name="_Hlk136876402"/>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A类份额】：</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苏州银行股份有限公司，住所：江苏省苏州工业园区钟园路728号，客户服务热线：96067</w:t>
      </w:r>
      <w:r>
        <w:rPr>
          <w:rFonts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olor w:val="auto"/>
          <w:sz w:val="24"/>
          <w:szCs w:val="24"/>
          <w:highlight w:val="none"/>
        </w:rPr>
        <w:t>类份额】：</w:t>
      </w:r>
    </w:p>
    <w:p>
      <w:pPr>
        <w:spacing w:line="30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lang w:val="en-US" w:eastAsia="zh-CN"/>
        </w:rPr>
        <w:t>C</w:t>
      </w:r>
      <w:r>
        <w:rPr>
          <w:rFonts w:hint="eastAsia" w:ascii="宋体" w:hAnsi="宋体" w:eastAsia="宋体"/>
          <w:color w:val="auto"/>
          <w:sz w:val="24"/>
          <w:szCs w:val="24"/>
          <w:highlight w:val="none"/>
        </w:rPr>
        <w:t>类份额】：</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吉林银行股份有限公司，</w:t>
      </w:r>
      <w:r>
        <w:rPr>
          <w:rFonts w:hint="eastAsia" w:ascii="宋体" w:hAnsi="宋体" w:eastAsia="宋体"/>
          <w:color w:val="auto"/>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湖南银行股份有限公司，住所：湖南省长沙市天心区湘湖中路二段210号</w:t>
      </w:r>
      <w:r>
        <w:rPr>
          <w:rFonts w:hint="eastAsia" w:ascii="宋体" w:hAnsi="宋体" w:eastAsia="宋体"/>
          <w:color w:val="auto"/>
          <w:sz w:val="24"/>
          <w:szCs w:val="24"/>
          <w:highlight w:val="none"/>
        </w:rPr>
        <w:t>，客户服务热线：</w:t>
      </w:r>
      <w:r>
        <w:rPr>
          <w:rFonts w:hint="eastAsia" w:ascii="宋体" w:hAnsi="宋体" w:eastAsia="宋体"/>
          <w:color w:val="auto"/>
          <w:sz w:val="24"/>
          <w:szCs w:val="24"/>
          <w:highlight w:val="none"/>
          <w:lang w:val="en-US" w:eastAsia="zh-CN"/>
        </w:rPr>
        <w:t>0731-96599。</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color w:val="auto"/>
          <w:sz w:val="24"/>
          <w:szCs w:val="24"/>
          <w:highlight w:val="none"/>
          <w:lang w:val="en-US" w:eastAsia="zh-CN"/>
        </w:rPr>
        <w:t>长沙银行股份有限公司，</w:t>
      </w:r>
      <w:r>
        <w:rPr>
          <w:rFonts w:hint="eastAsia" w:ascii="宋体" w:hAnsi="宋体" w:eastAsia="宋体"/>
          <w:color w:val="auto"/>
          <w:sz w:val="24"/>
          <w:szCs w:val="24"/>
          <w:highlight w:val="none"/>
        </w:rPr>
        <w:t>住所：湖南省长沙市岳麓区滨江路53号楷林商务中心B座</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日照银行股份有限公司</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住所：山东省日照市烟台路197号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客户服务热线：400-68-96588</w:t>
      </w:r>
      <w:r>
        <w:rPr>
          <w:rFonts w:hint="eastAsia" w:ascii="宋体" w:hAnsi="宋体" w:eastAsia="宋体"/>
          <w:color w:val="auto"/>
          <w:sz w:val="24"/>
          <w:szCs w:val="24"/>
          <w:highlight w:val="none"/>
          <w:lang w:eastAsia="zh-CN"/>
        </w:rPr>
        <w:t>。</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（四）投资合作机构</w:t>
      </w:r>
    </w:p>
    <w:p>
      <w:pPr>
        <w:spacing w:line="300" w:lineRule="auto"/>
        <w:ind w:firstLine="480" w:firstLineChars="20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color w:val="auto"/>
          <w:sz w:val="24"/>
          <w:szCs w:val="24"/>
          <w:highlight w:val="none"/>
        </w:rPr>
        <w:t>。</w:t>
      </w: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十一、信息披露</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（一）信息披露的原则</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（二）信息披露的渠道</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2.产品管理人通过产品管理人或</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的信息披露渠道发布理财产品有关</w:t>
      </w:r>
      <w:r>
        <w:rPr>
          <w:rFonts w:hint="eastAsia" w:ascii="宋体" w:hAnsi="宋体" w:eastAsia="宋体"/>
          <w:b/>
          <w:bCs/>
          <w:color w:val="auto"/>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3.投资者应定期通过约定的信息披露渠道获知有关理财产品相关信息。以上相</w:t>
      </w:r>
      <w:r>
        <w:rPr>
          <w:rFonts w:hint="eastAsia" w:ascii="宋体" w:hAnsi="宋体" w:eastAsia="宋体"/>
          <w:b/>
          <w:bCs/>
          <w:color w:val="auto"/>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（三）信息披露的内容和时间</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产品净值信息披露</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本产品管理人将至少</w:t>
      </w:r>
      <w:r>
        <w:rPr>
          <w:rFonts w:hint="eastAsia" w:ascii="宋体" w:hAnsi="宋体" w:eastAsia="宋体"/>
          <w:b/>
          <w:bCs/>
          <w:color w:val="auto"/>
          <w:sz w:val="24"/>
          <w:szCs w:val="24"/>
          <w:highlight w:val="none"/>
        </w:rPr>
        <w:t>每周</w:t>
      </w:r>
      <w:r>
        <w:rPr>
          <w:rFonts w:hint="eastAsia" w:ascii="宋体" w:hAnsi="宋体" w:eastAsia="宋体"/>
          <w:color w:val="auto"/>
          <w:sz w:val="24"/>
          <w:szCs w:val="24"/>
          <w:highlight w:val="none"/>
        </w:rPr>
        <w:t>向投资者</w:t>
      </w:r>
      <w:r>
        <w:rPr>
          <w:rFonts w:ascii="宋体" w:hAnsi="宋体" w:eastAsia="宋体"/>
          <w:color w:val="auto"/>
          <w:sz w:val="24"/>
          <w:szCs w:val="24"/>
          <w:highlight w:val="none"/>
        </w:rPr>
        <w:t>披露</w:t>
      </w:r>
      <w:r>
        <w:rPr>
          <w:rFonts w:hint="eastAsia" w:ascii="宋体" w:hAnsi="宋体" w:eastAsia="宋体"/>
          <w:color w:val="auto"/>
          <w:sz w:val="24"/>
          <w:szCs w:val="24"/>
          <w:highlight w:val="none"/>
        </w:rPr>
        <w:t>本产品的资产净值和份额净值</w:t>
      </w:r>
      <w:r>
        <w:rPr>
          <w:rFonts w:ascii="宋体" w:hAnsi="宋体" w:eastAsia="宋体"/>
          <w:color w:val="auto"/>
          <w:sz w:val="24"/>
          <w:szCs w:val="24"/>
          <w:highlight w:val="none"/>
        </w:rPr>
        <w:t>。</w:t>
      </w:r>
      <w:r>
        <w:rPr>
          <w:rFonts w:hint="eastAsia" w:ascii="宋体" w:hAnsi="宋体" w:eastAsia="宋体"/>
          <w:color w:val="auto"/>
          <w:sz w:val="24"/>
          <w:szCs w:val="24"/>
          <w:highlight w:val="none"/>
        </w:rPr>
        <w:t>以上规则如有调整，以管理人公告为准。</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产品成立信息披露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A.在产品成立后的5个工作日内发布产品</w:t>
      </w:r>
      <w:r>
        <w:rPr>
          <w:rFonts w:hint="eastAsia" w:ascii="宋体" w:hAnsi="宋体" w:eastAsia="宋体"/>
          <w:color w:val="auto"/>
          <w:sz w:val="24"/>
          <w:szCs w:val="24"/>
          <w:highlight w:val="none"/>
        </w:rPr>
        <w:t>成立</w:t>
      </w:r>
      <w:r>
        <w:rPr>
          <w:rFonts w:ascii="宋体" w:hAnsi="宋体" w:eastAsia="宋体"/>
          <w:color w:val="auto"/>
          <w:sz w:val="24"/>
          <w:szCs w:val="24"/>
          <w:highlight w:val="none"/>
        </w:rPr>
        <w:t>公告。</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B.产品提前成立的，</w:t>
      </w:r>
      <w:r>
        <w:rPr>
          <w:rFonts w:hint="eastAsia" w:ascii="宋体" w:hAnsi="宋体" w:eastAsia="宋体"/>
          <w:color w:val="auto"/>
          <w:sz w:val="24"/>
          <w:szCs w:val="24"/>
          <w:highlight w:val="none"/>
        </w:rPr>
        <w:t>不</w:t>
      </w:r>
      <w:r>
        <w:rPr>
          <w:rFonts w:ascii="宋体" w:hAnsi="宋体" w:eastAsia="宋体"/>
          <w:color w:val="auto"/>
          <w:sz w:val="24"/>
          <w:szCs w:val="24"/>
          <w:highlight w:val="none"/>
        </w:rPr>
        <w:t>晚于实际成立日进行信息披露。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C.产品延迟成立的，</w:t>
      </w:r>
      <w:r>
        <w:rPr>
          <w:rFonts w:hint="eastAsia" w:ascii="宋体" w:hAnsi="宋体" w:eastAsia="宋体"/>
          <w:color w:val="auto"/>
          <w:sz w:val="24"/>
          <w:szCs w:val="24"/>
          <w:highlight w:val="none"/>
        </w:rPr>
        <w:t>不</w:t>
      </w:r>
      <w:r>
        <w:rPr>
          <w:rFonts w:ascii="宋体" w:hAnsi="宋体" w:eastAsia="宋体"/>
          <w:color w:val="auto"/>
          <w:sz w:val="24"/>
          <w:szCs w:val="24"/>
          <w:highlight w:val="none"/>
        </w:rPr>
        <w:t>晚于</w:t>
      </w:r>
      <w:r>
        <w:rPr>
          <w:rFonts w:hint="eastAsia" w:ascii="宋体" w:hAnsi="宋体" w:eastAsia="宋体"/>
          <w:color w:val="auto"/>
          <w:sz w:val="24"/>
          <w:szCs w:val="24"/>
          <w:highlight w:val="none"/>
        </w:rPr>
        <w:t>计划</w:t>
      </w:r>
      <w:r>
        <w:rPr>
          <w:rFonts w:ascii="宋体" w:hAnsi="宋体" w:eastAsia="宋体"/>
          <w:color w:val="auto"/>
          <w:sz w:val="24"/>
          <w:szCs w:val="24"/>
          <w:highlight w:val="none"/>
        </w:rPr>
        <w:t>成立日进行信息披露。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D.若有投资者购买了本产品且本产品不成立，本产品管理人</w:t>
      </w:r>
      <w:r>
        <w:rPr>
          <w:rFonts w:hint="eastAsia" w:ascii="宋体" w:hAnsi="宋体" w:eastAsia="宋体"/>
          <w:color w:val="auto"/>
          <w:sz w:val="24"/>
          <w:szCs w:val="24"/>
          <w:highlight w:val="none"/>
        </w:rPr>
        <w:t>将不晚</w:t>
      </w:r>
      <w:r>
        <w:rPr>
          <w:rFonts w:ascii="宋体" w:hAnsi="宋体" w:eastAsia="宋体"/>
          <w:color w:val="auto"/>
          <w:sz w:val="24"/>
          <w:szCs w:val="24"/>
          <w:highlight w:val="none"/>
        </w:rPr>
        <w:t>于产品计划成立日对产品不成立进行信息披露。</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产品定期报告</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产品管理人将在每个季度结束之日起</w:t>
      </w:r>
      <w:r>
        <w:rPr>
          <w:rFonts w:ascii="宋体" w:hAnsi="宋体" w:eastAsia="宋体"/>
          <w:color w:val="auto"/>
          <w:sz w:val="24"/>
          <w:szCs w:val="24"/>
          <w:highlight w:val="none"/>
        </w:rPr>
        <w:t>15个工作日内</w:t>
      </w:r>
      <w:r>
        <w:rPr>
          <w:rFonts w:hint="eastAsia" w:ascii="宋体" w:hAnsi="宋体" w:eastAsia="宋体"/>
          <w:color w:val="auto"/>
          <w:sz w:val="24"/>
          <w:szCs w:val="24"/>
          <w:highlight w:val="none"/>
        </w:rPr>
        <w:t>、</w:t>
      </w:r>
      <w:r>
        <w:rPr>
          <w:rFonts w:ascii="宋体" w:hAnsi="宋体" w:eastAsia="宋体"/>
          <w:color w:val="auto"/>
          <w:sz w:val="24"/>
          <w:szCs w:val="24"/>
          <w:highlight w:val="none"/>
        </w:rPr>
        <w:t>上半年结束之日起60个工作日内</w:t>
      </w:r>
      <w:r>
        <w:rPr>
          <w:rFonts w:hint="eastAsia" w:ascii="宋体" w:hAnsi="宋体" w:eastAsia="宋体"/>
          <w:color w:val="auto"/>
          <w:sz w:val="24"/>
          <w:szCs w:val="24"/>
          <w:highlight w:val="none"/>
        </w:rPr>
        <w:t>、</w:t>
      </w:r>
      <w:r>
        <w:rPr>
          <w:rFonts w:ascii="宋体" w:hAnsi="宋体" w:eastAsia="宋体"/>
          <w:color w:val="auto"/>
          <w:sz w:val="24"/>
          <w:szCs w:val="24"/>
          <w:highlight w:val="none"/>
        </w:rPr>
        <w:t>每年结束之日起90个工作日内</w:t>
      </w:r>
      <w:r>
        <w:rPr>
          <w:rFonts w:hint="eastAsia" w:ascii="宋体" w:hAnsi="宋体" w:eastAsia="宋体"/>
          <w:color w:val="auto"/>
          <w:sz w:val="24"/>
          <w:szCs w:val="24"/>
          <w:highlight w:val="none"/>
        </w:rPr>
        <w:t>，向投资者披露</w:t>
      </w:r>
      <w:r>
        <w:rPr>
          <w:rFonts w:ascii="宋体" w:hAnsi="宋体" w:eastAsia="宋体"/>
          <w:color w:val="auto"/>
          <w:sz w:val="24"/>
          <w:szCs w:val="24"/>
          <w:highlight w:val="none"/>
        </w:rPr>
        <w:t>产品的季度报告、半年报告及年度报告。理财产品成立不足90个工作日或者剩余存续期不超过90个工作日的</w:t>
      </w:r>
      <w:r>
        <w:rPr>
          <w:rFonts w:hint="eastAsia" w:ascii="宋体" w:hAnsi="宋体" w:eastAsia="宋体"/>
          <w:color w:val="auto"/>
          <w:sz w:val="24"/>
          <w:szCs w:val="24"/>
          <w:highlight w:val="none"/>
        </w:rPr>
        <w:t>，本产品管理人</w:t>
      </w:r>
      <w:r>
        <w:rPr>
          <w:rFonts w:ascii="宋体" w:hAnsi="宋体" w:eastAsia="宋体"/>
          <w:color w:val="auto"/>
          <w:sz w:val="24"/>
          <w:szCs w:val="24"/>
          <w:highlight w:val="none"/>
        </w:rPr>
        <w:t>可以不编制理财产品当期的季度、半年和年度报告。</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产品临时性信息披露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A.如本产品管理人调整产品规模上限或下限，应</w:t>
      </w:r>
      <w:r>
        <w:rPr>
          <w:rFonts w:hint="eastAsia" w:ascii="宋体" w:hAnsi="宋体" w:eastAsia="宋体"/>
          <w:color w:val="auto"/>
          <w:sz w:val="24"/>
          <w:szCs w:val="24"/>
          <w:highlight w:val="none"/>
        </w:rPr>
        <w:t>不</w:t>
      </w:r>
      <w:r>
        <w:rPr>
          <w:rFonts w:ascii="宋体" w:hAnsi="宋体" w:eastAsia="宋体"/>
          <w:color w:val="auto"/>
          <w:sz w:val="24"/>
          <w:szCs w:val="24"/>
          <w:highlight w:val="none"/>
        </w:rPr>
        <w:t>晚于调整规模上限或下限之日进行信息披露。</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C.本产品管理人有权根据市场情况等</w:t>
      </w:r>
      <w:r>
        <w:rPr>
          <w:rFonts w:hint="eastAsia" w:ascii="宋体" w:hAnsi="宋体" w:eastAsia="宋体"/>
          <w:b/>
          <w:bCs/>
          <w:color w:val="auto"/>
          <w:sz w:val="24"/>
          <w:szCs w:val="24"/>
          <w:highlight w:val="none"/>
        </w:rPr>
        <w:t>对</w:t>
      </w:r>
      <w:r>
        <w:rPr>
          <w:rFonts w:ascii="宋体" w:hAnsi="宋体" w:eastAsia="宋体"/>
          <w:b/>
          <w:bCs/>
          <w:color w:val="auto"/>
          <w:sz w:val="24"/>
          <w:szCs w:val="24"/>
          <w:highlight w:val="none"/>
        </w:rPr>
        <w:t>销售</w:t>
      </w:r>
      <w:r>
        <w:rPr>
          <w:rFonts w:hint="eastAsia" w:ascii="宋体" w:hAnsi="宋体" w:eastAsia="宋体"/>
          <w:b/>
          <w:bCs/>
          <w:color w:val="auto"/>
          <w:sz w:val="24"/>
          <w:szCs w:val="24"/>
          <w:highlight w:val="none"/>
        </w:rPr>
        <w:t>服务</w:t>
      </w:r>
      <w:r>
        <w:rPr>
          <w:rFonts w:ascii="宋体" w:hAnsi="宋体" w:eastAsia="宋体"/>
          <w:b/>
          <w:bCs/>
          <w:color w:val="auto"/>
          <w:sz w:val="24"/>
          <w:szCs w:val="24"/>
          <w:highlight w:val="none"/>
        </w:rPr>
        <w:t>费率、</w:t>
      </w:r>
      <w:r>
        <w:rPr>
          <w:rFonts w:hint="eastAsia" w:ascii="宋体" w:hAnsi="宋体" w:eastAsia="宋体"/>
          <w:b/>
          <w:bCs/>
          <w:color w:val="auto"/>
          <w:sz w:val="24"/>
          <w:szCs w:val="24"/>
          <w:highlight w:val="none"/>
        </w:rPr>
        <w:t>固定</w:t>
      </w:r>
      <w:r>
        <w:rPr>
          <w:rFonts w:ascii="宋体" w:hAnsi="宋体" w:eastAsia="宋体"/>
          <w:b/>
          <w:bCs/>
          <w:color w:val="auto"/>
          <w:sz w:val="24"/>
          <w:szCs w:val="24"/>
          <w:highlight w:val="none"/>
        </w:rPr>
        <w:t>管理费率、托管费率等</w:t>
      </w:r>
      <w:r>
        <w:rPr>
          <w:rFonts w:hint="eastAsia" w:ascii="宋体" w:hAnsi="宋体" w:eastAsia="宋体"/>
          <w:b/>
          <w:bCs/>
          <w:color w:val="auto"/>
          <w:sz w:val="24"/>
          <w:szCs w:val="24"/>
          <w:highlight w:val="none"/>
        </w:rPr>
        <w:t>进行阶段性减免和优惠</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不晚于</w:t>
      </w:r>
      <w:r>
        <w:rPr>
          <w:rFonts w:ascii="宋体" w:hAnsi="宋体" w:eastAsia="宋体"/>
          <w:b/>
          <w:bCs/>
          <w:color w:val="auto"/>
          <w:sz w:val="24"/>
          <w:szCs w:val="24"/>
          <w:highlight w:val="none"/>
        </w:rPr>
        <w:t>调整</w:t>
      </w:r>
      <w:r>
        <w:rPr>
          <w:rFonts w:hint="eastAsia" w:ascii="宋体" w:hAnsi="宋体" w:eastAsia="宋体"/>
          <w:b/>
          <w:bCs/>
          <w:color w:val="auto"/>
          <w:sz w:val="24"/>
          <w:szCs w:val="24"/>
          <w:highlight w:val="none"/>
        </w:rPr>
        <w:t>实施日前2个工作日</w:t>
      </w:r>
      <w:r>
        <w:rPr>
          <w:rFonts w:ascii="宋体" w:hAnsi="宋体" w:eastAsia="宋体"/>
          <w:b/>
          <w:bCs/>
          <w:color w:val="auto"/>
          <w:sz w:val="24"/>
          <w:szCs w:val="24"/>
          <w:highlight w:val="none"/>
        </w:rPr>
        <w:t>进行信息披露。</w:t>
      </w:r>
    </w:p>
    <w:p>
      <w:pPr>
        <w:spacing w:line="300" w:lineRule="auto"/>
        <w:ind w:firstLine="482" w:firstLineChars="200"/>
        <w:rPr>
          <w:rFonts w:hint="eastAsia" w:ascii="宋体" w:hAnsi="宋体" w:eastAsia="宋体"/>
          <w:color w:val="auto"/>
          <w:sz w:val="24"/>
          <w:szCs w:val="24"/>
          <w:highlight w:val="none"/>
        </w:rPr>
      </w:pPr>
      <w:r>
        <w:rPr>
          <w:rFonts w:ascii="宋体" w:hAnsi="宋体" w:eastAsia="宋体"/>
          <w:b/>
          <w:bCs/>
          <w:color w:val="auto"/>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E.本产品管理人在运用暂停或拒绝认购</w:t>
      </w:r>
      <w:r>
        <w:rPr>
          <w:rFonts w:hint="eastAsia" w:ascii="宋体" w:hAnsi="宋体" w:eastAsia="宋体"/>
          <w:color w:val="auto"/>
          <w:sz w:val="24"/>
          <w:szCs w:val="24"/>
          <w:highlight w:val="none"/>
        </w:rPr>
        <w:t>申请、暂停</w:t>
      </w:r>
      <w:r>
        <w:rPr>
          <w:rFonts w:ascii="宋体" w:hAnsi="宋体" w:eastAsia="宋体"/>
          <w:color w:val="auto"/>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F.本产品管理人因发生不可抗力因素导致产品发行的不利影响时，可以自发生该事项后2个工作日进行信息披露</w:t>
      </w:r>
      <w:r>
        <w:rPr>
          <w:rFonts w:hint="eastAsia" w:ascii="宋体" w:hAnsi="宋体" w:eastAsia="宋体"/>
          <w:color w:val="auto"/>
          <w:sz w:val="24"/>
          <w:szCs w:val="24"/>
          <w:highlight w:val="none"/>
        </w:rPr>
        <w:t>。</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产品重大事项公告</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color w:val="auto"/>
          <w:sz w:val="24"/>
          <w:szCs w:val="24"/>
          <w:highlight w:val="none"/>
        </w:rPr>
        <w:t>2个工作日内发布重大事项公告。</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产品终止信息披露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A.在产品到期日后的5个工作日内发布产品到期公告。</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color w:val="auto"/>
          <w:sz w:val="24"/>
          <w:szCs w:val="24"/>
          <w:highlight w:val="none"/>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color w:val="auto"/>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color w:val="auto"/>
          <w:sz w:val="24"/>
          <w:szCs w:val="24"/>
          <w:highlight w:val="none"/>
        </w:rPr>
        <w:t>销售服务机构</w:t>
      </w:r>
      <w:r>
        <w:rPr>
          <w:rFonts w:ascii="宋体" w:hAnsi="宋体" w:eastAsia="宋体"/>
          <w:b/>
          <w:bCs/>
          <w:color w:val="auto"/>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color w:val="auto"/>
          <w:sz w:val="24"/>
          <w:szCs w:val="24"/>
          <w:highlight w:val="none"/>
        </w:rPr>
      </w:pPr>
    </w:p>
    <w:p>
      <w:pPr>
        <w:spacing w:line="300" w:lineRule="auto"/>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十二、风险揭示</w:t>
      </w:r>
    </w:p>
    <w:p>
      <w:pPr>
        <w:spacing w:line="300" w:lineRule="auto"/>
        <w:ind w:firstLine="482" w:firstLineChars="200"/>
        <w:jc w:val="lef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本理财产品有投资风险，不保证理财本金和收益，</w:t>
      </w:r>
      <w:r>
        <w:rPr>
          <w:rFonts w:hint="eastAsia" w:ascii="宋体" w:hAnsi="宋体" w:eastAsia="宋体"/>
          <w:color w:val="auto"/>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十三、其他重要事项说明</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（一）保密</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color w:val="auto"/>
          <w:sz w:val="24"/>
          <w:szCs w:val="24"/>
          <w:highlight w:val="none"/>
        </w:rPr>
        <w:t>披露的；（</w:t>
      </w:r>
      <w:r>
        <w:rPr>
          <w:rFonts w:ascii="宋体" w:hAnsi="宋体" w:eastAsia="宋体"/>
          <w:color w:val="auto"/>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（二）协议的生效与失效</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ascii="宋体" w:hAnsi="宋体" w:eastAsia="宋体"/>
          <w:b/>
          <w:bCs/>
          <w:color w:val="auto"/>
          <w:sz w:val="24"/>
          <w:szCs w:val="24"/>
          <w:highlight w:val="none"/>
        </w:rPr>
        <w:t>线下签约方式。本</w:t>
      </w:r>
      <w:r>
        <w:rPr>
          <w:rFonts w:hint="eastAsia" w:ascii="宋体" w:hAnsi="宋体" w:eastAsia="宋体"/>
          <w:b/>
          <w:bCs/>
          <w:color w:val="auto"/>
          <w:sz w:val="24"/>
          <w:szCs w:val="24"/>
          <w:highlight w:val="none"/>
        </w:rPr>
        <w:t>理财</w:t>
      </w:r>
      <w:r>
        <w:rPr>
          <w:rFonts w:ascii="宋体" w:hAnsi="宋体" w:eastAsia="宋体"/>
          <w:b/>
          <w:bCs/>
          <w:color w:val="auto"/>
          <w:sz w:val="24"/>
          <w:szCs w:val="24"/>
          <w:highlight w:val="none"/>
        </w:rPr>
        <w:t>产品说明书</w:t>
      </w:r>
      <w:r>
        <w:rPr>
          <w:rFonts w:hint="eastAsia" w:ascii="宋体" w:hAnsi="宋体" w:eastAsia="宋体"/>
          <w:b/>
          <w:bCs/>
          <w:color w:val="auto"/>
          <w:sz w:val="24"/>
          <w:szCs w:val="24"/>
          <w:highlight w:val="none"/>
        </w:rPr>
        <w:t>经投资者</w:t>
      </w:r>
      <w:r>
        <w:rPr>
          <w:rFonts w:ascii="宋体" w:hAnsi="宋体" w:eastAsia="宋体"/>
          <w:b/>
          <w:bCs/>
          <w:color w:val="auto"/>
          <w:sz w:val="24"/>
          <w:szCs w:val="24"/>
          <w:highlight w:val="none"/>
        </w:rPr>
        <w:t>签字或盖章（</w:t>
      </w:r>
      <w:r>
        <w:rPr>
          <w:rFonts w:hint="eastAsia" w:ascii="宋体" w:hAnsi="宋体" w:eastAsia="宋体"/>
          <w:b/>
          <w:bCs/>
          <w:color w:val="auto"/>
          <w:sz w:val="24"/>
          <w:szCs w:val="24"/>
          <w:highlight w:val="none"/>
        </w:rPr>
        <w:t>投资者</w:t>
      </w:r>
      <w:r>
        <w:rPr>
          <w:rFonts w:ascii="宋体" w:hAnsi="宋体" w:eastAsia="宋体"/>
          <w:b/>
          <w:bCs/>
          <w:color w:val="auto"/>
          <w:sz w:val="24"/>
          <w:szCs w:val="24"/>
          <w:highlight w:val="none"/>
        </w:rPr>
        <w:t>为自然人的，应</w:t>
      </w:r>
      <w:r>
        <w:rPr>
          <w:rFonts w:hint="eastAsia" w:ascii="宋体" w:hAnsi="宋体" w:eastAsia="宋体"/>
          <w:b/>
          <w:bCs/>
          <w:color w:val="auto"/>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w:t>
      </w:r>
      <w:r>
        <w:rPr>
          <w:rFonts w:ascii="宋体" w:hAnsi="宋体" w:eastAsia="宋体"/>
          <w:b/>
          <w:bCs/>
          <w:color w:val="auto"/>
          <w:sz w:val="24"/>
          <w:szCs w:val="24"/>
          <w:highlight w:val="none"/>
        </w:rPr>
        <w:t>电子渠道签约方式。通过电子渠道进行理财交易的，</w:t>
      </w:r>
      <w:r>
        <w:rPr>
          <w:rFonts w:hint="eastAsia" w:ascii="宋体" w:hAnsi="宋体" w:eastAsia="宋体"/>
          <w:b/>
          <w:bCs/>
          <w:color w:val="auto"/>
          <w:sz w:val="24"/>
          <w:szCs w:val="24"/>
          <w:highlight w:val="none"/>
        </w:rPr>
        <w:t>投资者</w:t>
      </w:r>
      <w:r>
        <w:rPr>
          <w:rFonts w:ascii="宋体" w:hAnsi="宋体" w:eastAsia="宋体"/>
          <w:b/>
          <w:bCs/>
          <w:color w:val="auto"/>
          <w:sz w:val="24"/>
          <w:szCs w:val="24"/>
          <w:highlight w:val="none"/>
        </w:rPr>
        <w:t>在相应电子页面</w:t>
      </w:r>
      <w:r>
        <w:rPr>
          <w:rFonts w:hint="eastAsia" w:ascii="宋体" w:hAnsi="宋体" w:eastAsia="宋体"/>
          <w:b/>
          <w:bCs/>
          <w:color w:val="auto"/>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color w:val="auto"/>
          <w:sz w:val="24"/>
          <w:szCs w:val="24"/>
          <w:highlight w:val="none"/>
        </w:rPr>
        <w:t>产品说明书</w:t>
      </w:r>
      <w:r>
        <w:rPr>
          <w:rFonts w:hint="eastAsia" w:ascii="宋体" w:hAnsi="宋体" w:eastAsia="宋体"/>
          <w:b/>
          <w:bCs/>
          <w:color w:val="auto"/>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客户购买理财产品失败、</w:t>
      </w:r>
      <w:r>
        <w:rPr>
          <w:rFonts w:hint="eastAsia" w:ascii="宋体" w:hAnsi="宋体" w:eastAsia="宋体"/>
          <w:color w:val="auto"/>
          <w:sz w:val="24"/>
          <w:szCs w:val="24"/>
          <w:highlight w:val="none"/>
        </w:rPr>
        <w:t>产品管理人</w:t>
      </w:r>
      <w:r>
        <w:rPr>
          <w:rFonts w:ascii="宋体" w:hAnsi="宋体" w:eastAsia="宋体"/>
          <w:color w:val="auto"/>
          <w:sz w:val="24"/>
          <w:szCs w:val="24"/>
          <w:highlight w:val="none"/>
        </w:rPr>
        <w:t>提前终止以及理财产品到期并结清后，本</w:t>
      </w:r>
      <w:r>
        <w:rPr>
          <w:rFonts w:hint="eastAsia" w:ascii="宋体" w:hAnsi="宋体" w:eastAsia="宋体"/>
          <w:color w:val="auto"/>
          <w:sz w:val="24"/>
          <w:szCs w:val="24"/>
          <w:highlight w:val="none"/>
        </w:rPr>
        <w:t>理财</w:t>
      </w:r>
      <w:r>
        <w:rPr>
          <w:rFonts w:ascii="宋体" w:hAnsi="宋体" w:eastAsia="宋体"/>
          <w:color w:val="auto"/>
          <w:sz w:val="24"/>
          <w:szCs w:val="24"/>
          <w:highlight w:val="none"/>
        </w:rPr>
        <w:t>产品说明书</w:t>
      </w:r>
      <w:r>
        <w:rPr>
          <w:rFonts w:hint="eastAsia" w:ascii="宋体" w:hAnsi="宋体" w:eastAsia="宋体"/>
          <w:color w:val="auto"/>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（三）争议的解决</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双方因履行本理财</w:t>
      </w:r>
      <w:r>
        <w:rPr>
          <w:rFonts w:ascii="宋体" w:hAnsi="宋体" w:eastAsia="宋体"/>
          <w:color w:val="auto"/>
          <w:sz w:val="24"/>
          <w:szCs w:val="24"/>
          <w:highlight w:val="none"/>
        </w:rPr>
        <w:t>产品说明书</w:t>
      </w:r>
      <w:r>
        <w:rPr>
          <w:rFonts w:hint="eastAsia" w:ascii="宋体" w:hAnsi="宋体" w:eastAsia="宋体"/>
          <w:color w:val="auto"/>
          <w:sz w:val="24"/>
          <w:szCs w:val="24"/>
          <w:highlight w:val="none"/>
        </w:rPr>
        <w:t>或与本理财</w:t>
      </w:r>
      <w:r>
        <w:rPr>
          <w:rFonts w:ascii="宋体" w:hAnsi="宋体" w:eastAsia="宋体"/>
          <w:color w:val="auto"/>
          <w:sz w:val="24"/>
          <w:szCs w:val="24"/>
          <w:highlight w:val="none"/>
        </w:rPr>
        <w:t>产品说明书</w:t>
      </w:r>
      <w:r>
        <w:rPr>
          <w:rFonts w:hint="eastAsia" w:ascii="宋体" w:hAnsi="宋体" w:eastAsia="宋体"/>
          <w:color w:val="auto"/>
          <w:sz w:val="24"/>
          <w:szCs w:val="24"/>
          <w:highlight w:val="none"/>
        </w:rPr>
        <w:t>有关的活动而产生的一切争议，应首先本着诚实信用原则通过友好协商解决；</w:t>
      </w:r>
      <w:r>
        <w:rPr>
          <w:rFonts w:hint="eastAsia" w:ascii="宋体" w:hAnsi="宋体" w:eastAsia="宋体"/>
          <w:b/>
          <w:bCs/>
          <w:color w:val="auto"/>
          <w:sz w:val="24"/>
          <w:szCs w:val="24"/>
          <w:highlight w:val="none"/>
        </w:rPr>
        <w:t>不能协商解决的，由产品管理人所在地人民法院诉讼解决。诉讼期间，未涉及争议的条款仍需履行</w:t>
      </w:r>
      <w:r>
        <w:rPr>
          <w:rFonts w:hint="eastAsia" w:ascii="宋体" w:hAnsi="宋体" w:eastAsia="宋体"/>
          <w:color w:val="auto"/>
          <w:sz w:val="24"/>
          <w:szCs w:val="24"/>
          <w:highlight w:val="none"/>
        </w:rPr>
        <w:t>。本理财</w:t>
      </w:r>
      <w:r>
        <w:rPr>
          <w:rFonts w:ascii="宋体" w:hAnsi="宋体" w:eastAsia="宋体"/>
          <w:color w:val="auto"/>
          <w:sz w:val="24"/>
          <w:szCs w:val="24"/>
          <w:highlight w:val="none"/>
        </w:rPr>
        <w:t>产品说明书</w:t>
      </w:r>
      <w:r>
        <w:rPr>
          <w:rFonts w:hint="eastAsia" w:ascii="宋体" w:hAnsi="宋体" w:eastAsia="宋体"/>
          <w:color w:val="auto"/>
          <w:sz w:val="24"/>
          <w:szCs w:val="24"/>
          <w:highlight w:val="none"/>
        </w:rPr>
        <w:t>适用中华人民共和国法律。（为本理财</w:t>
      </w:r>
      <w:r>
        <w:rPr>
          <w:rFonts w:ascii="宋体" w:hAnsi="宋体" w:eastAsia="宋体"/>
          <w:color w:val="auto"/>
          <w:sz w:val="24"/>
          <w:szCs w:val="24"/>
          <w:highlight w:val="none"/>
        </w:rPr>
        <w:t>产品说明书</w:t>
      </w:r>
      <w:r>
        <w:rPr>
          <w:rFonts w:hint="eastAsia" w:ascii="宋体" w:hAnsi="宋体" w:eastAsia="宋体"/>
          <w:color w:val="auto"/>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color w:val="auto"/>
          <w:sz w:val="24"/>
          <w:szCs w:val="24"/>
          <w:highlight w:val="none"/>
        </w:rPr>
      </w:pPr>
    </w:p>
    <w:p>
      <w:pPr>
        <w:spacing w:line="300" w:lineRule="auto"/>
        <w:ind w:firstLine="480" w:firstLineChars="200"/>
        <w:rPr>
          <w:rFonts w:hint="eastAsia" w:ascii="宋体" w:hAnsi="宋体" w:eastAsia="宋体"/>
          <w:color w:val="auto"/>
          <w:sz w:val="24"/>
          <w:szCs w:val="24"/>
          <w:highlight w:val="none"/>
        </w:rPr>
      </w:pP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投资者（个人客户签字）</w:t>
      </w:r>
    </w:p>
    <w:p>
      <w:pPr>
        <w:spacing w:line="300" w:lineRule="auto"/>
        <w:ind w:firstLine="480" w:firstLineChars="200"/>
        <w:rPr>
          <w:rFonts w:hint="eastAsia" w:ascii="宋体" w:hAnsi="宋体" w:eastAsia="宋体"/>
          <w:color w:val="auto"/>
          <w:sz w:val="24"/>
          <w:szCs w:val="24"/>
          <w:highlight w:val="none"/>
        </w:rPr>
      </w:pP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投资者（机构客户盖公章）</w:t>
      </w: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法定代表人或授权代理人（签字或盖人名章）</w:t>
      </w:r>
    </w:p>
    <w:p>
      <w:pPr>
        <w:spacing w:line="300" w:lineRule="auto"/>
        <w:ind w:firstLine="480" w:firstLineChars="200"/>
        <w:rPr>
          <w:rFonts w:hint="eastAsia" w:ascii="宋体" w:hAnsi="宋体" w:eastAsia="宋体"/>
          <w:color w:val="auto"/>
          <w:sz w:val="24"/>
          <w:szCs w:val="24"/>
          <w:highlight w:val="none"/>
        </w:rPr>
      </w:pPr>
    </w:p>
    <w:p>
      <w:pPr>
        <w:spacing w:line="30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签约日期</w:t>
      </w:r>
      <w:r>
        <w:rPr>
          <w:rFonts w:ascii="宋体" w:hAnsi="宋体" w:eastAsia="宋体"/>
          <w:color w:val="auto"/>
          <w:sz w:val="24"/>
          <w:szCs w:val="24"/>
          <w:highlight w:val="none"/>
        </w:rPr>
        <w:t>:_______年______月______日</w:t>
      </w:r>
    </w:p>
    <w:p>
      <w:pPr>
        <w:rPr>
          <w:rFonts w:hint="eastAsia" w:ascii="宋体" w:hAnsi="宋体" w:eastAsia="宋体"/>
          <w:color w:val="auto"/>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BA6BEE"/>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D4B74"/>
    <w:rsid w:val="06DB05B1"/>
    <w:rsid w:val="06F16855"/>
    <w:rsid w:val="072314C0"/>
    <w:rsid w:val="074D4BD8"/>
    <w:rsid w:val="07675EE9"/>
    <w:rsid w:val="077547A1"/>
    <w:rsid w:val="078411C8"/>
    <w:rsid w:val="079E00C6"/>
    <w:rsid w:val="07A42E2C"/>
    <w:rsid w:val="07B363A1"/>
    <w:rsid w:val="07ED7261"/>
    <w:rsid w:val="087D641E"/>
    <w:rsid w:val="08A07369"/>
    <w:rsid w:val="08D67DE6"/>
    <w:rsid w:val="09030B83"/>
    <w:rsid w:val="09170A11"/>
    <w:rsid w:val="091B36AE"/>
    <w:rsid w:val="098C148C"/>
    <w:rsid w:val="09EA1F2A"/>
    <w:rsid w:val="09F2533D"/>
    <w:rsid w:val="0A0134D2"/>
    <w:rsid w:val="0A2850F6"/>
    <w:rsid w:val="0A4A3AE2"/>
    <w:rsid w:val="0A6B190B"/>
    <w:rsid w:val="0A9C5B25"/>
    <w:rsid w:val="0AC35E88"/>
    <w:rsid w:val="0AFB1C67"/>
    <w:rsid w:val="0B357C79"/>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806A2D"/>
    <w:rsid w:val="12907E1F"/>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0C4D4C"/>
    <w:rsid w:val="1A5B3DAB"/>
    <w:rsid w:val="1A853E39"/>
    <w:rsid w:val="1AF12911"/>
    <w:rsid w:val="1B384F27"/>
    <w:rsid w:val="1B4936D1"/>
    <w:rsid w:val="1BA71B66"/>
    <w:rsid w:val="1BD57E7F"/>
    <w:rsid w:val="1C2C60FF"/>
    <w:rsid w:val="1C3950EF"/>
    <w:rsid w:val="1C516DE1"/>
    <w:rsid w:val="1C711D47"/>
    <w:rsid w:val="1D1539F9"/>
    <w:rsid w:val="1D3E52D1"/>
    <w:rsid w:val="1D3F2331"/>
    <w:rsid w:val="1D461D40"/>
    <w:rsid w:val="1D60611F"/>
    <w:rsid w:val="1D6B54AE"/>
    <w:rsid w:val="1D894136"/>
    <w:rsid w:val="1DDE6E0C"/>
    <w:rsid w:val="1E030DC8"/>
    <w:rsid w:val="1E352383"/>
    <w:rsid w:val="1E413716"/>
    <w:rsid w:val="1E521BF4"/>
    <w:rsid w:val="1E8B7425"/>
    <w:rsid w:val="1F472A93"/>
    <w:rsid w:val="1FD51345"/>
    <w:rsid w:val="1FDC6C7E"/>
    <w:rsid w:val="1FDF7B0C"/>
    <w:rsid w:val="1FF47788"/>
    <w:rsid w:val="204E6BF1"/>
    <w:rsid w:val="205F5CF5"/>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50E59A5"/>
    <w:rsid w:val="2540053D"/>
    <w:rsid w:val="25572EC0"/>
    <w:rsid w:val="25583F8F"/>
    <w:rsid w:val="25B2644E"/>
    <w:rsid w:val="25BE790E"/>
    <w:rsid w:val="25CF5599"/>
    <w:rsid w:val="260B5408"/>
    <w:rsid w:val="262D5914"/>
    <w:rsid w:val="26596DA2"/>
    <w:rsid w:val="268F2EEF"/>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BB02783"/>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63115"/>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3A827F0"/>
    <w:rsid w:val="340D04DF"/>
    <w:rsid w:val="340F5544"/>
    <w:rsid w:val="3442689A"/>
    <w:rsid w:val="34982340"/>
    <w:rsid w:val="34BA214A"/>
    <w:rsid w:val="34D96E0E"/>
    <w:rsid w:val="34DA6E60"/>
    <w:rsid w:val="34E058A4"/>
    <w:rsid w:val="3517466A"/>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1E5B14"/>
    <w:rsid w:val="3A2200A7"/>
    <w:rsid w:val="3AD16475"/>
    <w:rsid w:val="3AD24311"/>
    <w:rsid w:val="3AE81C1E"/>
    <w:rsid w:val="3AF74B45"/>
    <w:rsid w:val="3BB6395F"/>
    <w:rsid w:val="3C27601C"/>
    <w:rsid w:val="3C540446"/>
    <w:rsid w:val="3CBF57D4"/>
    <w:rsid w:val="3CE125A8"/>
    <w:rsid w:val="3CEE5D90"/>
    <w:rsid w:val="3D2A07D7"/>
    <w:rsid w:val="3D837C20"/>
    <w:rsid w:val="3D852CAD"/>
    <w:rsid w:val="3D8E5F6C"/>
    <w:rsid w:val="3DC9235F"/>
    <w:rsid w:val="3E045955"/>
    <w:rsid w:val="3E2928AA"/>
    <w:rsid w:val="3E7C30D1"/>
    <w:rsid w:val="3EC02187"/>
    <w:rsid w:val="3EC373AA"/>
    <w:rsid w:val="3F2647C2"/>
    <w:rsid w:val="405139D2"/>
    <w:rsid w:val="40774519"/>
    <w:rsid w:val="40ED6EDE"/>
    <w:rsid w:val="41144B67"/>
    <w:rsid w:val="41231234"/>
    <w:rsid w:val="41451DE3"/>
    <w:rsid w:val="41E530CE"/>
    <w:rsid w:val="41ED2AB0"/>
    <w:rsid w:val="421C341D"/>
    <w:rsid w:val="4226002E"/>
    <w:rsid w:val="425101DD"/>
    <w:rsid w:val="425E3CE6"/>
    <w:rsid w:val="42662B39"/>
    <w:rsid w:val="42D53D1B"/>
    <w:rsid w:val="42E2671F"/>
    <w:rsid w:val="42EB1794"/>
    <w:rsid w:val="43312EC1"/>
    <w:rsid w:val="43387A73"/>
    <w:rsid w:val="43833561"/>
    <w:rsid w:val="439E5412"/>
    <w:rsid w:val="43B006A9"/>
    <w:rsid w:val="43D71023"/>
    <w:rsid w:val="44673A6C"/>
    <w:rsid w:val="44727382"/>
    <w:rsid w:val="4488447C"/>
    <w:rsid w:val="44E05F8D"/>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D71CC"/>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2D6BAC"/>
    <w:rsid w:val="4F5439E9"/>
    <w:rsid w:val="4F873962"/>
    <w:rsid w:val="4F92738F"/>
    <w:rsid w:val="4FA662CE"/>
    <w:rsid w:val="4FB63CF5"/>
    <w:rsid w:val="4FC17B04"/>
    <w:rsid w:val="4FFF2B45"/>
    <w:rsid w:val="500037D4"/>
    <w:rsid w:val="50205D85"/>
    <w:rsid w:val="502305CE"/>
    <w:rsid w:val="504E4DE0"/>
    <w:rsid w:val="50E20028"/>
    <w:rsid w:val="50EB273B"/>
    <w:rsid w:val="50F87889"/>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363BC8"/>
    <w:rsid w:val="5495705C"/>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690751"/>
    <w:rsid w:val="5B6A664B"/>
    <w:rsid w:val="5B9F271C"/>
    <w:rsid w:val="5BC358F5"/>
    <w:rsid w:val="5C1D1464"/>
    <w:rsid w:val="5C9E6A24"/>
    <w:rsid w:val="5CC036D5"/>
    <w:rsid w:val="5D81625E"/>
    <w:rsid w:val="5D906BF5"/>
    <w:rsid w:val="5DB47334"/>
    <w:rsid w:val="5DC33751"/>
    <w:rsid w:val="5E172770"/>
    <w:rsid w:val="5E317753"/>
    <w:rsid w:val="5E3D0404"/>
    <w:rsid w:val="5EC62701"/>
    <w:rsid w:val="5F6E31CD"/>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1530CC"/>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3B1326"/>
    <w:rsid w:val="69556EB7"/>
    <w:rsid w:val="6A0551DE"/>
    <w:rsid w:val="6A120D25"/>
    <w:rsid w:val="6A2A5219"/>
    <w:rsid w:val="6AF93859"/>
    <w:rsid w:val="6B005FF4"/>
    <w:rsid w:val="6B0F5C47"/>
    <w:rsid w:val="6B125020"/>
    <w:rsid w:val="6B4500D3"/>
    <w:rsid w:val="6B641331"/>
    <w:rsid w:val="6BD27171"/>
    <w:rsid w:val="6BFA7F32"/>
    <w:rsid w:val="6BFE0790"/>
    <w:rsid w:val="6C544006"/>
    <w:rsid w:val="6C963BCE"/>
    <w:rsid w:val="6CF1031B"/>
    <w:rsid w:val="6D184D18"/>
    <w:rsid w:val="6D36084C"/>
    <w:rsid w:val="6D595F79"/>
    <w:rsid w:val="6D6738CE"/>
    <w:rsid w:val="6D9825D1"/>
    <w:rsid w:val="6DCE1423"/>
    <w:rsid w:val="6EB9047F"/>
    <w:rsid w:val="6EC05DE2"/>
    <w:rsid w:val="6ED802A2"/>
    <w:rsid w:val="6F0A4E44"/>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2F2F8B"/>
    <w:rsid w:val="7A380AA1"/>
    <w:rsid w:val="7A933FC1"/>
    <w:rsid w:val="7B1153C0"/>
    <w:rsid w:val="7B32679F"/>
    <w:rsid w:val="7B3D2CE5"/>
    <w:rsid w:val="7B43173F"/>
    <w:rsid w:val="7B4A5D58"/>
    <w:rsid w:val="7B823B87"/>
    <w:rsid w:val="7BD61164"/>
    <w:rsid w:val="7BE105FE"/>
    <w:rsid w:val="7C0E69C5"/>
    <w:rsid w:val="7C3A6B58"/>
    <w:rsid w:val="7C4272C0"/>
    <w:rsid w:val="7C7051FE"/>
    <w:rsid w:val="7C7466B4"/>
    <w:rsid w:val="7CA82D21"/>
    <w:rsid w:val="7CFD524D"/>
    <w:rsid w:val="7D112490"/>
    <w:rsid w:val="7D1B3445"/>
    <w:rsid w:val="7D255511"/>
    <w:rsid w:val="7D4A5173"/>
    <w:rsid w:val="7D5F6D3B"/>
    <w:rsid w:val="7D9D01C0"/>
    <w:rsid w:val="7DAD344E"/>
    <w:rsid w:val="7DD55341"/>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9</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杜萌娜</cp:lastModifiedBy>
  <cp:lastPrinted>2024-10-23T10:08:00Z</cp:lastPrinted>
  <dcterms:modified xsi:type="dcterms:W3CDTF">2026-02-12T06:15:20Z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