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青银理财璀璨人生成就系列人民币理财计划2026年027期</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青银理财成就系列（低波共享）2026年027期</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CCCJGX26027</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14A4A">
            <w:pPr>
              <w:spacing w:line="360" w:lineRule="auto"/>
              <w:rPr>
                <w:rFonts w:ascii="新宋体" w:eastAsia="新宋体" w:hAnsi="新宋体"/>
              </w:rPr>
            </w:pPr>
            <w:r>
              <w:rPr>
                <w:rFonts w:ascii="新宋体" w:eastAsia="新宋体" w:hAnsi="新宋体" w:hint="eastAsia"/>
              </w:rPr>
              <w:t>A份额，销售代码【CCCJGX26027A】，销售名称：青银理财成就系列（低波共享）2026年027期A份额,销售对象【青岛银行及各销售服务渠道个人及机构客户，具体客户类型以销售机构规定为准】</w:t>
              <w:br/>
              <w:t>B份额，销售代码【CCCJGX26027B】，销售名称：青银理财成就系列（低波共享）2026年027期B份额（代发专属）,销售对象【青岛银行及各销售服务渠道个人及机构客户，具体客户类型以销售机构规定为准】</w:t>
              <w:br/>
              <w:t>C份额，销售代码【CCCJGX26027C】，销售名称：青银理财成就系列（低波共享）2026年027期C份额,销售对象【盛京银行及各销售服务渠道个人及机构客户，具体客户类型以销售机构规定为准】</w:t>
              <w:br/>
              <w:t>D份额，销售代码【CCCJGX26027D】，销售名称：青银理财成就系列（低波共享）2026年027期D份额,销售对象【东阳农商银行及各销售服务渠道个人及机构客户，具体客户类型以销售机构规定为准】</w:t>
              <w:br/>
              <w:t>E份额，销售代码【CCCJGX26027E】，销售名称：青银理财成就系列（低波共享）2026年027期E份额,销售对象【大连银行及各销售服务渠道个人及机构客户，具体客户类型以销售机构规定为准】</w:t>
              <w:br/>
              <w:t>F份额，销售代码【CCCJGX26027F】，销售名称：青银理财成就系列（低波共享）2026年027期F份额（年终奖专属）,销售对象【中山农商银行及各销售服务渠道个人及机构客户，具体客户类型以销售机构规定为准】</w:t>
              <w:br/>
              <w:t>G份额，销售代码【CCCJGX26027G】，销售名称：青银理财成就系列（低波共享）2026年027期G份额（新春特供）,销售对象【青岛银行及各销售服务渠道个人及机构客户，具体客户类型以销售机构规定为准】</w:t>
              <w:br/>
              <w:t>H份额，销售代码【CCCJGX26027H】，销售名称：青银理财成就系列（低波共享）2026年027期H份额（私行专属）,销售对象【青岛银行及各销售服务渠道个人及机构客户，具体客户类型以销售机构规定为准】</w:t>
              <w:br/>
              <w:t>I份额，销售代码【CCCJGX26027I】，销售名称：青银理财成就系列（低波共享）2026年027期I份额（理财新客专属）,销售对象【青岛银行及各销售服务渠道个人及机构客户，具体客户类型以销售机构规定为准】</w:t>
              <w:br/>
              <w:t>J份额，销售代码【CCCJGX26027J】，销售名称：青银理财成就系列（低波共享）2026年027期J份额（同乐财富）,销售对象【桐乡农商行及各销售服务渠道个人及机构客户，具体客户类型以销售机构规定为准】</w:t>
              <w:br/>
              <w:t>Z份额，销售代码【CCCJGX26027Z】，销售名称：青银理财成就系列（低波共享）2026年027期Z份额,销售对象【湖南银行及各销售服务渠道个人及机构客户，具体客户类型以销售机构规定为准】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Z7003526000021，可通过中国理财网（http://www.chinawealth.com.cn）查询</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2026年02月13日</w:t>
            </w:r>
            <w:r>
              <w:rPr>
                <w:rFonts w:ascii="新宋体" w:eastAsia="新宋体" w:hAnsi="新宋体" w:hint="eastAsia"/>
              </w:rPr>
              <w:t xml:space="preserve"> 9:00至</w:t>
            </w:r>
            <w:r>
              <w:rPr>
                <w:rFonts w:ascii="新宋体" w:eastAsia="新宋体" w:hAnsi="新宋体"/>
              </w:rPr>
              <w:t>2026年02月25日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2026年02月26日</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2027年03月26日</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393</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C份额规模上限100000万，规模下限1万</w:t>
              <w:br/>
              <w:t>D份额规模上限200000万，规模下限1万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Z份额规模上限100000万，规模下限1万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青岛银行及各销售服务渠道，C份额销售渠道为盛京银行及各销售服务渠道，D份额销售渠道为东阳农商银行及各销售服务渠道，E份额销售渠道为大连银行及各销售服务渠道，F份额销售渠道为中山农商银行及各销售服务渠道，G份额销售渠道为青岛银行及各销售服务渠道，H份额销售渠道为青岛银行及各销售服务渠道，I份额销售渠道为青岛银行及各销售服务渠道，J份额销售渠道为桐乡农商行及各销售服务渠道，Z份额销售渠道为湖南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14A4A">
            <w:pPr>
              <w:spacing w:line="360" w:lineRule="auto"/>
              <w:rPr>
                <w:rFonts w:ascii="新宋体" w:eastAsia="新宋体" w:hAnsi="新宋体" w:hint="eastAsia"/>
                <w:b/>
              </w:rPr>
            </w:pPr>
            <w:r>
              <w:rPr>
                <w:rFonts w:ascii="新宋体" w:eastAsia="新宋体" w:hAnsi="新宋体" w:hint="eastAsia"/>
                <w:b/>
              </w:rPr>
              <w:t>A份额业绩比较基准为2.35%（年化）</w:t>
              <w:br/>
              <w:t>B份额业绩比较基准为2.38%（年化）</w:t>
              <w:br/>
              <w:t>C份额业绩比较基准为2.45%（年化）</w:t>
              <w:br/>
              <w:t>D份额业绩比较基准为2.40%（年化）</w:t>
              <w:br/>
              <w:t>E份额业绩比较基准为2.35%（年化）</w:t>
              <w:br/>
              <w:t>F份额业绩比较基准为2.35%（年化）</w:t>
              <w:br/>
              <w:t>G份额业绩比较基准为2.40%（年化）</w:t>
              <w:br/>
              <w:t>H份额业绩比较基准为2.40%（年化）</w:t>
              <w:br/>
              <w:t>I份额业绩比较基准为2.40%（年化）</w:t>
              <w:br/>
              <w:t>J份额业绩比较基准为2.60%（年化）</w:t>
              <w:br/>
              <w:t>Z份额业绩比较基准为2.25%（年化）</w:t>
            </w:r>
          </w:p>
          <w:p w:rsidR="00914A4A">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914A4A">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914A4A">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部分的投资收益，20%归于投资者, 剩余部分作为管理人业绩报酬。</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0.37%；B份额固定管理费率（年化）为0.34%；C份额固定管理费率（年化）为0.27%；D份额固定管理费率（年化）为0.32%；E份额固定管理费率（年化）为0.37%；F份额固定管理费率（年化）为0.37%；G份额固定管理费率（年化）为0.32%；H份额固定管理费率（年化）为0.32%；I份额固定管理费率（年化）为0.32%；J份额固定管理费率（年化）为0.12%；Z份额固定管理费率（年化）为0.47%</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（A份额2.35%、B份额2.38%、C份额2.45%、D份额2.40%、E份额2.35%、F份额2.35%、G份额2.40%、H份额2.40%、I份额2.40%、J份额2.60%、Z份额2.25%），则超出部分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时，管理人将有权放弃计提的固定管理费，最高为已计提的全部固定管理费。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0.37%，B份额年化费率为0.34%，C份额年化费率为0.27%，D份额年化费率为0.32%，E份额年化费率为0.37%，F份额年化费率为0.37%，G份额年化费率为0.32%，H份额年化费率为0.32%，I份额年化费率为0.32%，J份额年化费率为0.12%，Z份额年化费率为0.47%</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A份额【0.37】%，B份额【0.34】%，C份额【0.27】%，D份额【0.32】%，E份额【0.37】%，F份额【0.37】%，G份额【0.32】%，H份额【0.32】%，I份额【0.32】%，J份额【0.12】%，Z份额【0.47】%</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0.37%</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本理财计划项下资产组合收益超出本理财计划业绩基准（A份额2.35%、B份额2.38%、C份额2.45%、D份额2.40%、E份额2.35%、F份额2.35%、G份额2.40%、H份额2.40%、I份额2.40%、J份额2.60%、Z份额2.25%）的部分，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14</Pages>
  <Words>1942</Words>
  <Characters>11072</Characters>
  <Application>Microsoft Office Word</Application>
  <DocSecurity>0</DocSecurity>
  <Lines>92</Lines>
  <Paragraphs>25</Paragraphs>
  <ScaleCrop>false</ScaleCrop>
  <Company>WwW.YlmF.CoM</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2</cp:revision>
  <cp:lastPrinted>2011-09-18T02:03:00Z</cp:lastPrinted>
  <dcterms:created xsi:type="dcterms:W3CDTF">2023-07-25T08:36:00Z</dcterms:created>
  <dcterms:modified xsi:type="dcterms:W3CDTF">2026-01-29T08:35:00Z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