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添利系列最短持有360天人民币理财产品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bookmarkStart w:id="0" w:name="OLE_LINK1"/>
            <w:r>
              <w:rPr>
                <w:rFonts w:hint="eastAsia" w:ascii="宋体" w:hAnsi="宋体"/>
              </w:rPr>
              <w:t>添利系列最短持有360天人民币理财产品</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C1136024000026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2024-04-10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746,970,228.87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[1.8%-3.3%]/年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100.11%</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1" w:name="OLE_LINK7"/>
            <w:bookmarkEnd w:id="1"/>
            <w:bookmarkStart w:id="2" w:name="OLE_LINK4"/>
            <w:bookmarkEnd w:id="2"/>
            <w:r>
              <w:t>4.13</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1,164,966.24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4,531,246.33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777,889,151.57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777,889,151.57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1.0413</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9,830,184.00</w:t>
            </w:r>
          </w:p>
        </w:tc>
        <w:tc>
          <w:tcPr>
            <w:tcW w:w="1749" w:type="dxa"/>
            <w:shd w:val="clear" w:color="auto" w:fill="auto"/>
            <w:vAlign w:val="center"/>
          </w:tcPr>
          <w:p>
            <w:pPr>
              <w:jc w:val="right"/>
            </w:pPr>
            <w:r>
              <w:t>1.26</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654,152,590.84</w:t>
            </w:r>
          </w:p>
        </w:tc>
        <w:tc>
          <w:tcPr>
            <w:tcW w:w="1749" w:type="dxa"/>
            <w:shd w:val="clear" w:color="auto" w:fill="auto"/>
            <w:vAlign w:val="center"/>
          </w:tcPr>
          <w:p>
            <w:pPr>
              <w:jc w:val="right"/>
            </w:pPr>
            <w:r>
              <w:t>84.00</w:t>
            </w:r>
          </w:p>
        </w:tc>
        <w:tc>
          <w:tcPr>
            <w:tcW w:w="1653" w:type="dxa"/>
            <w:vAlign w:val="center"/>
          </w:tcPr>
          <w:p>
            <w:pPr>
              <w:jc w:val="right"/>
            </w:pPr>
            <w:r>
              <w:t>109,267,076.69</w:t>
            </w:r>
          </w:p>
        </w:tc>
        <w:tc>
          <w:tcPr>
            <w:tcW w:w="1705" w:type="dxa"/>
            <w:vAlign w:val="center"/>
          </w:tcPr>
          <w:p>
            <w:pPr>
              <w:jc w:val="right"/>
            </w:pPr>
            <w:r>
              <w:t>14.03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652,279,638.52</w:t>
            </w:r>
          </w:p>
        </w:tc>
        <w:tc>
          <w:tcPr>
            <w:tcW w:w="1749" w:type="dxa"/>
            <w:shd w:val="clear" w:color="auto" w:fill="auto"/>
            <w:vAlign w:val="center"/>
          </w:tcPr>
          <w:p>
            <w:pPr>
              <w:jc w:val="right"/>
            </w:pPr>
            <w:r>
              <w:t>83.76</w:t>
            </w:r>
          </w:p>
        </w:tc>
        <w:tc>
          <w:tcPr>
            <w:tcW w:w="1653" w:type="dxa"/>
            <w:vAlign w:val="center"/>
          </w:tcPr>
          <w:p>
            <w:pPr>
              <w:jc w:val="right"/>
            </w:pPr>
            <w:r>
              <w:t>109,267,076.69</w:t>
            </w:r>
          </w:p>
        </w:tc>
        <w:tc>
          <w:tcPr>
            <w:tcW w:w="1705" w:type="dxa"/>
            <w:vAlign w:val="center"/>
          </w:tcPr>
          <w:p>
            <w:pPr>
              <w:jc w:val="right"/>
            </w:pPr>
            <w:r>
              <w:t>14.03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1,872,952.32</w:t>
            </w:r>
          </w:p>
        </w:tc>
        <w:tc>
          <w:tcPr>
            <w:tcW w:w="1749" w:type="dxa"/>
            <w:shd w:val="clear" w:color="auto" w:fill="auto"/>
            <w:vAlign w:val="center"/>
          </w:tcPr>
          <w:p>
            <w:pPr>
              <w:jc w:val="right"/>
            </w:pPr>
            <w:r>
              <w:t>0.24</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5,000,326.59</w:t>
            </w:r>
          </w:p>
        </w:tc>
        <w:tc>
          <w:tcPr>
            <w:tcW w:w="1749" w:type="dxa"/>
            <w:shd w:val="clear" w:color="auto" w:fill="auto"/>
            <w:vAlign w:val="center"/>
          </w:tcPr>
          <w:p>
            <w:pPr>
              <w:jc w:val="right"/>
            </w:pPr>
            <w:r>
              <w:t>0.64</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2,771,658.45</w:t>
            </w:r>
          </w:p>
        </w:tc>
        <w:tc>
          <w:tcPr>
            <w:tcW w:w="1749" w:type="dxa"/>
            <w:shd w:val="clear" w:color="auto" w:fill="auto"/>
            <w:vAlign w:val="center"/>
          </w:tcPr>
          <w:p>
            <w:pPr>
              <w:jc w:val="right"/>
            </w:pPr>
            <w:r>
              <w:t>0.36</w:t>
            </w:r>
          </w:p>
        </w:tc>
        <w:tc>
          <w:tcPr>
            <w:tcW w:w="1653" w:type="dxa"/>
            <w:vAlign w:val="center"/>
          </w:tcPr>
          <w:p>
            <w:pPr>
              <w:jc w:val="right"/>
            </w:pPr>
            <w:r>
              <w:t>1,110,249.10</w:t>
            </w:r>
          </w:p>
        </w:tc>
        <w:tc>
          <w:tcPr>
            <w:tcW w:w="1705" w:type="dxa"/>
            <w:vAlign w:val="center"/>
          </w:tcPr>
          <w:p>
            <w:pPr>
              <w:jc w:val="right"/>
            </w:pPr>
            <w: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106,971,863.87</w:t>
            </w:r>
          </w:p>
        </w:tc>
        <w:tc>
          <w:tcPr>
            <w:tcW w:w="1749" w:type="dxa"/>
            <w:shd w:val="clear" w:color="auto" w:fill="auto"/>
            <w:vAlign w:val="center"/>
          </w:tcPr>
          <w:p>
            <w:pPr>
              <w:jc w:val="right"/>
            </w:pPr>
            <w:r>
              <w:t>13.74</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52.75</w:t>
            </w:r>
          </w:p>
        </w:tc>
        <w:tc>
          <w:tcPr>
            <w:tcW w:w="1749" w:type="dxa"/>
            <w:shd w:val="clear" w:color="auto" w:fill="auto"/>
            <w:vAlign w:val="center"/>
          </w:tcPr>
          <w:p>
            <w:pPr>
              <w:jc w:val="right"/>
            </w:pPr>
            <w:r>
              <w:t>0.00</w:t>
            </w:r>
          </w:p>
        </w:tc>
        <w:tc>
          <w:tcPr>
            <w:tcW w:w="1653" w:type="dxa"/>
            <w:vAlign w:val="center"/>
          </w:tcPr>
          <w:p>
            <w:pPr>
              <w:jc w:val="right"/>
            </w:pPr>
            <w:r>
              <w:t>33.09</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778,726,676.50</w:t>
            </w:r>
          </w:p>
        </w:tc>
        <w:tc>
          <w:tcPr>
            <w:tcW w:w="1749" w:type="dxa"/>
            <w:shd w:val="clear" w:color="auto" w:fill="auto"/>
          </w:tcPr>
          <w:p>
            <w:pPr>
              <w:jc w:val="right"/>
            </w:pPr>
            <w:r>
              <w:t>100.00</w:t>
            </w:r>
          </w:p>
        </w:tc>
        <w:tc>
          <w:tcPr>
            <w:tcW w:w="1653" w:type="dxa"/>
          </w:tcPr>
          <w:p>
            <w:pPr>
              <w:jc w:val="right"/>
            </w:pPr>
            <w:r>
              <w:t>110,377,358.88</w:t>
            </w:r>
          </w:p>
        </w:tc>
        <w:tc>
          <w:tcPr>
            <w:tcW w:w="1705" w:type="dxa"/>
          </w:tcPr>
          <w:p>
            <w:pPr>
              <w:jc w:val="right"/>
            </w:pPr>
            <w:r>
              <w:t>14.17</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6.91%；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中信证券湘稳1号集合资产管理计划</w:t>
            </w:r>
          </w:p>
        </w:tc>
        <w:tc>
          <w:tcPr>
            <w:tcW w:w="2693" w:type="dxa"/>
            <w:shd w:val="clear" w:color="auto" w:fill="auto"/>
            <w:vAlign w:val="center"/>
          </w:tcPr>
          <w:p>
            <w:pPr>
              <w:jc w:val="right"/>
            </w:pPr>
            <w:r>
              <w:t>54,441,965.07</w:t>
            </w:r>
          </w:p>
        </w:tc>
        <w:tc>
          <w:tcPr>
            <w:tcW w:w="2431" w:type="dxa"/>
            <w:shd w:val="clear" w:color="auto" w:fill="auto"/>
            <w:vAlign w:val="center"/>
          </w:tcPr>
          <w:p>
            <w:pPr>
              <w:jc w:val="right"/>
            </w:pPr>
            <w: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24湘担Y1</w:t>
            </w:r>
          </w:p>
        </w:tc>
        <w:tc>
          <w:tcPr>
            <w:tcW w:w="2693" w:type="dxa"/>
            <w:shd w:val="clear" w:color="auto" w:fill="auto"/>
            <w:vAlign w:val="center"/>
          </w:tcPr>
          <w:p>
            <w:pPr>
              <w:ind w:hanging="1"/>
              <w:jc w:val="right"/>
            </w:pPr>
            <w:r>
              <w:rPr>
                <w:b w:val="0"/>
                <w:i w:val="0"/>
                <w:strike w:val="0"/>
                <w:u w:val="none"/>
              </w:rPr>
              <w:t>54,014,775.89</w:t>
            </w:r>
          </w:p>
        </w:tc>
        <w:tc>
          <w:tcPr>
            <w:tcW w:w="2431" w:type="dxa"/>
            <w:shd w:val="clear" w:color="auto" w:fill="auto"/>
            <w:vAlign w:val="center"/>
          </w:tcPr>
          <w:p>
            <w:pPr>
              <w:ind w:hanging="1"/>
              <w:jc w:val="right"/>
            </w:pPr>
            <w:r>
              <w:rPr>
                <w:b w:val="0"/>
                <w:i w:val="0"/>
                <w:strike w:val="0"/>
                <w:u w:val="none"/>
              </w:rPr>
              <w:t>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博华固收3号资产管理计划</w:t>
            </w:r>
          </w:p>
        </w:tc>
        <w:tc>
          <w:tcPr>
            <w:tcW w:w="2693" w:type="dxa"/>
            <w:shd w:val="clear" w:color="auto" w:fill="auto"/>
            <w:vAlign w:val="center"/>
          </w:tcPr>
          <w:p>
            <w:pPr>
              <w:ind w:hanging="1"/>
              <w:jc w:val="right"/>
            </w:pPr>
            <w:r>
              <w:rPr>
                <w:b w:val="0"/>
                <w:i w:val="0"/>
                <w:strike w:val="0"/>
                <w:u w:val="none"/>
              </w:rPr>
              <w:t>52,529,898.80</w:t>
            </w:r>
          </w:p>
        </w:tc>
        <w:tc>
          <w:tcPr>
            <w:tcW w:w="2431" w:type="dxa"/>
            <w:shd w:val="clear" w:color="auto" w:fill="auto"/>
            <w:vAlign w:val="center"/>
          </w:tcPr>
          <w:p>
            <w:pPr>
              <w:ind w:hanging="1"/>
              <w:jc w:val="right"/>
            </w:pPr>
            <w:r>
              <w:rPr>
                <w:b w:val="0"/>
                <w:i w:val="0"/>
                <w:strike w:val="0"/>
                <w:u w:val="none"/>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24百福投资MTN001</w:t>
            </w:r>
          </w:p>
        </w:tc>
        <w:tc>
          <w:tcPr>
            <w:tcW w:w="2693" w:type="dxa"/>
            <w:shd w:val="clear" w:color="auto" w:fill="auto"/>
            <w:vAlign w:val="center"/>
          </w:tcPr>
          <w:p>
            <w:pPr>
              <w:ind w:hanging="1"/>
              <w:jc w:val="right"/>
            </w:pPr>
            <w:r>
              <w:rPr>
                <w:b w:val="0"/>
                <w:i w:val="0"/>
                <w:strike w:val="0"/>
                <w:u w:val="none"/>
              </w:rPr>
              <w:t>48,280,465.75</w:t>
            </w:r>
          </w:p>
        </w:tc>
        <w:tc>
          <w:tcPr>
            <w:tcW w:w="2431" w:type="dxa"/>
            <w:shd w:val="clear" w:color="auto" w:fill="auto"/>
            <w:vAlign w:val="center"/>
          </w:tcPr>
          <w:p>
            <w:pPr>
              <w:ind w:hanging="1"/>
              <w:jc w:val="right"/>
            </w:pPr>
            <w:r>
              <w:rPr>
                <w:b w:val="0"/>
                <w:i w:val="0"/>
                <w:strike w:val="0"/>
                <w:u w:val="none"/>
              </w:rPr>
              <w:t>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21湘交水建MTN001(权益出资)</w:t>
            </w:r>
          </w:p>
        </w:tc>
        <w:tc>
          <w:tcPr>
            <w:tcW w:w="2693" w:type="dxa"/>
            <w:shd w:val="clear" w:color="auto" w:fill="auto"/>
            <w:vAlign w:val="center"/>
          </w:tcPr>
          <w:p>
            <w:pPr>
              <w:ind w:hanging="1"/>
              <w:jc w:val="right"/>
            </w:pPr>
            <w:r>
              <w:rPr>
                <w:b w:val="0"/>
                <w:i w:val="0"/>
                <w:strike w:val="0"/>
                <w:u w:val="none"/>
              </w:rPr>
              <w:t>40,793,589.04</w:t>
            </w:r>
          </w:p>
        </w:tc>
        <w:tc>
          <w:tcPr>
            <w:tcW w:w="2431" w:type="dxa"/>
            <w:shd w:val="clear" w:color="auto" w:fill="auto"/>
            <w:vAlign w:val="center"/>
          </w:tcPr>
          <w:p>
            <w:pPr>
              <w:ind w:hanging="1"/>
              <w:jc w:val="right"/>
            </w:pPr>
            <w:r>
              <w:rPr>
                <w:b w:val="0"/>
                <w:i w:val="0"/>
                <w:strike w:val="0"/>
                <w:u w:val="none"/>
              </w:rPr>
              <w:t>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23国开07</w:t>
            </w:r>
          </w:p>
        </w:tc>
        <w:tc>
          <w:tcPr>
            <w:tcW w:w="2693" w:type="dxa"/>
            <w:shd w:val="clear" w:color="auto" w:fill="auto"/>
            <w:vAlign w:val="center"/>
          </w:tcPr>
          <w:p>
            <w:pPr>
              <w:ind w:hanging="1"/>
              <w:jc w:val="right"/>
            </w:pPr>
            <w:r>
              <w:rPr>
                <w:b w:val="0"/>
                <w:i w:val="0"/>
                <w:strike w:val="0"/>
                <w:u w:val="none"/>
              </w:rPr>
              <w:t>35,113,264.93</w:t>
            </w:r>
          </w:p>
        </w:tc>
        <w:tc>
          <w:tcPr>
            <w:tcW w:w="2431" w:type="dxa"/>
            <w:shd w:val="clear" w:color="auto" w:fill="auto"/>
            <w:vAlign w:val="center"/>
          </w:tcPr>
          <w:p>
            <w:pPr>
              <w:ind w:hanging="1"/>
              <w:jc w:val="right"/>
            </w:pPr>
            <w:r>
              <w:rPr>
                <w:b w:val="0"/>
                <w:i w:val="0"/>
                <w:strike w:val="0"/>
                <w:u w:val="none"/>
              </w:rPr>
              <w:t>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24洞庭01</w:t>
            </w:r>
          </w:p>
        </w:tc>
        <w:tc>
          <w:tcPr>
            <w:tcW w:w="2693" w:type="dxa"/>
            <w:shd w:val="clear" w:color="auto" w:fill="auto"/>
            <w:vAlign w:val="center"/>
          </w:tcPr>
          <w:p>
            <w:pPr>
              <w:ind w:hanging="1"/>
              <w:jc w:val="right"/>
            </w:pPr>
            <w:r>
              <w:rPr>
                <w:b w:val="0"/>
                <w:i w:val="0"/>
                <w:strike w:val="0"/>
                <w:u w:val="none"/>
              </w:rPr>
              <w:t>32,442,785.75</w:t>
            </w:r>
          </w:p>
        </w:tc>
        <w:tc>
          <w:tcPr>
            <w:tcW w:w="2431" w:type="dxa"/>
            <w:shd w:val="clear" w:color="auto" w:fill="auto"/>
            <w:vAlign w:val="center"/>
          </w:tcPr>
          <w:p>
            <w:pPr>
              <w:ind w:hanging="1"/>
              <w:jc w:val="right"/>
            </w:pPr>
            <w:r>
              <w:rPr>
                <w:b w:val="0"/>
                <w:i w:val="0"/>
                <w:strike w:val="0"/>
                <w:u w:val="none"/>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25四川银行永续债01</w:t>
            </w:r>
          </w:p>
        </w:tc>
        <w:tc>
          <w:tcPr>
            <w:tcW w:w="2693" w:type="dxa"/>
            <w:shd w:val="clear" w:color="auto" w:fill="auto"/>
            <w:vAlign w:val="center"/>
          </w:tcPr>
          <w:p>
            <w:pPr>
              <w:ind w:hanging="1"/>
              <w:jc w:val="right"/>
            </w:pPr>
            <w:r>
              <w:rPr>
                <w:b w:val="0"/>
                <w:i w:val="0"/>
                <w:strike w:val="0"/>
                <w:u w:val="none"/>
              </w:rPr>
              <w:t>28,041,079.45</w:t>
            </w:r>
          </w:p>
        </w:tc>
        <w:tc>
          <w:tcPr>
            <w:tcW w:w="2431" w:type="dxa"/>
            <w:shd w:val="clear" w:color="auto" w:fill="auto"/>
            <w:vAlign w:val="center"/>
          </w:tcPr>
          <w:p>
            <w:pPr>
              <w:ind w:hanging="1"/>
              <w:jc w:val="right"/>
            </w:pPr>
            <w:r>
              <w:rPr>
                <w:b w:val="0"/>
                <w:i w:val="0"/>
                <w:strike w:val="0"/>
                <w:u w:val="none"/>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24电YK01</w:t>
            </w:r>
          </w:p>
        </w:tc>
        <w:tc>
          <w:tcPr>
            <w:tcW w:w="2693" w:type="dxa"/>
            <w:shd w:val="clear" w:color="auto" w:fill="auto"/>
            <w:vAlign w:val="center"/>
          </w:tcPr>
          <w:p>
            <w:pPr>
              <w:ind w:hanging="1"/>
              <w:jc w:val="right"/>
            </w:pPr>
            <w:r>
              <w:rPr>
                <w:b w:val="0"/>
                <w:i w:val="0"/>
                <w:strike w:val="0"/>
                <w:u w:val="none"/>
              </w:rPr>
              <w:t>25,274,089.04</w:t>
            </w:r>
          </w:p>
        </w:tc>
        <w:tc>
          <w:tcPr>
            <w:tcW w:w="2431" w:type="dxa"/>
            <w:shd w:val="clear" w:color="auto" w:fill="auto"/>
            <w:vAlign w:val="center"/>
          </w:tcPr>
          <w:p>
            <w:pPr>
              <w:ind w:hanging="1"/>
              <w:jc w:val="right"/>
            </w:pPr>
            <w:r>
              <w:rPr>
                <w:b w:val="0"/>
                <w:i w:val="0"/>
                <w:strike w:val="0"/>
                <w:u w:val="none"/>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21天易01</w:t>
            </w:r>
          </w:p>
        </w:tc>
        <w:tc>
          <w:tcPr>
            <w:tcW w:w="2693" w:type="dxa"/>
            <w:shd w:val="clear" w:color="auto" w:fill="auto"/>
            <w:vAlign w:val="center"/>
          </w:tcPr>
          <w:p>
            <w:pPr>
              <w:ind w:hanging="1"/>
              <w:jc w:val="right"/>
            </w:pPr>
            <w:r>
              <w:rPr>
                <w:b w:val="0"/>
                <w:i w:val="0"/>
                <w:strike w:val="0"/>
                <w:u w:val="none"/>
              </w:rPr>
              <w:t>24,254,614.79</w:t>
            </w:r>
          </w:p>
        </w:tc>
        <w:tc>
          <w:tcPr>
            <w:tcW w:w="2431" w:type="dxa"/>
            <w:shd w:val="clear" w:color="auto" w:fill="auto"/>
            <w:vAlign w:val="center"/>
          </w:tcPr>
          <w:p>
            <w:pPr>
              <w:ind w:hanging="1"/>
              <w:jc w:val="right"/>
            </w:pPr>
            <w:r>
              <w:rPr>
                <w:b w:val="0"/>
                <w:i w:val="0"/>
                <w:strike w:val="0"/>
                <w:u w:val="none"/>
              </w:rPr>
              <w:t>3.12</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4" w:name="_GoBack" w:colFirst="1" w:colLast="3"/>
            <w:bookmarkStart w:id="3" w:name="OLE_LINK2"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24湘担Y1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54,014,775.89</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6.94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24百福投资MTN001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48,280,465.75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6.21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21湘交水建MTN001(权益出资)</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40,793,589.04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5.24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23国开07</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35,113,264.93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4.51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24洞庭01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32,442,785.75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25四川银行永续债01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28,041,079.45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3.60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24电YK01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25,274,089.04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3.25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21天易01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24,254,614.79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3.12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24吉首华泰MTN001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20,728,602.74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2.66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22株城04</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20,609,058.19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2.65</w:t>
            </w:r>
          </w:p>
        </w:tc>
      </w:tr>
      <w:bookmarkEnd w:id="4"/>
      <w:bookmarkEnd w:id="3"/>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731903861410360</w:t>
            </w:r>
          </w:p>
        </w:tc>
        <w:tc>
          <w:tcPr>
            <w:tcW w:w="2693" w:type="dxa"/>
            <w:shd w:val="clear" w:color="auto" w:fill="auto"/>
            <w:vAlign w:val="center"/>
          </w:tcPr>
          <w:p>
            <w:pPr>
              <w:spacing w:before="100" w:beforeAutospacing="1" w:after="100" w:afterAutospacing="1"/>
            </w:pPr>
            <w:r>
              <w:t>湖南银行股份有限公司-添利系列最短持有360天人民币理财产品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tbl>
      <w:tblPr>
        <w:tblStyle w:val="17"/>
        <w:tblW w:w="10038" w:type="dxa"/>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75"/>
        <w:gridCol w:w="1129"/>
        <w:gridCol w:w="1175"/>
        <w:gridCol w:w="1046"/>
        <w:gridCol w:w="1422"/>
        <w:gridCol w:w="1477"/>
        <w:gridCol w:w="1350"/>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D6D6D6"/>
            <w:vAlign w:val="center"/>
          </w:tcPr>
          <w:p>
            <w:pPr>
              <w:spacing w:before="100" w:beforeAutospacing="1" w:after="100" w:afterAutospacing="1"/>
              <w:jc w:val="center"/>
              <w:rPr>
                <w:b/>
                <w:bCs/>
                <w:szCs w:val="22"/>
              </w:rPr>
            </w:pPr>
            <w:r>
              <w:rPr>
                <w:rFonts w:hint="eastAsia"/>
                <w:b/>
                <w:bCs/>
                <w:szCs w:val="22"/>
              </w:rPr>
              <w:t>序号</w:t>
            </w:r>
          </w:p>
        </w:tc>
        <w:tc>
          <w:tcPr>
            <w:tcW w:w="1275" w:type="dxa"/>
            <w:shd w:val="clear" w:color="auto" w:fill="D6D6D6"/>
            <w:vAlign w:val="center"/>
          </w:tcPr>
          <w:p>
            <w:pPr>
              <w:spacing w:before="100" w:beforeAutospacing="1" w:after="100" w:afterAutospacing="1"/>
              <w:jc w:val="center"/>
              <w:rPr>
                <w:b/>
                <w:bCs/>
                <w:szCs w:val="22"/>
              </w:rPr>
            </w:pPr>
            <w:r>
              <w:rPr>
                <w:rFonts w:hint="eastAsia"/>
                <w:b/>
                <w:bCs/>
                <w:szCs w:val="22"/>
              </w:rPr>
              <w:t>交易时间</w:t>
            </w:r>
          </w:p>
        </w:tc>
        <w:tc>
          <w:tcPr>
            <w:tcW w:w="1129" w:type="dxa"/>
            <w:shd w:val="clear" w:color="auto" w:fill="D6D6D6"/>
            <w:vAlign w:val="center"/>
          </w:tcPr>
          <w:p>
            <w:pPr>
              <w:spacing w:before="100" w:beforeAutospacing="1" w:after="100" w:afterAutospacing="1"/>
              <w:jc w:val="center"/>
              <w:rPr>
                <w:b/>
                <w:bCs/>
                <w:szCs w:val="22"/>
              </w:rPr>
            </w:pPr>
            <w:r>
              <w:rPr>
                <w:rFonts w:hint="eastAsia"/>
                <w:b/>
                <w:bCs/>
                <w:szCs w:val="22"/>
              </w:rPr>
              <w:t>投资标的</w:t>
            </w:r>
          </w:p>
        </w:tc>
        <w:tc>
          <w:tcPr>
            <w:tcW w:w="1175" w:type="dxa"/>
            <w:shd w:val="clear" w:color="auto" w:fill="D6D6D6"/>
            <w:vAlign w:val="center"/>
          </w:tcPr>
          <w:p>
            <w:pPr>
              <w:spacing w:before="100" w:beforeAutospacing="1" w:after="100" w:afterAutospacing="1"/>
              <w:jc w:val="center"/>
              <w:rPr>
                <w:b/>
                <w:bCs/>
                <w:szCs w:val="22"/>
              </w:rPr>
            </w:pPr>
            <w:r>
              <w:rPr>
                <w:rFonts w:hint="eastAsia"/>
                <w:b/>
                <w:bCs/>
                <w:szCs w:val="22"/>
              </w:rPr>
              <w:t>交易</w:t>
            </w:r>
            <w:r>
              <w:rPr>
                <w:rFonts w:hint="eastAsia"/>
                <w:b/>
                <w:bCs/>
                <w:szCs w:val="22"/>
                <w:lang w:val="en-US" w:eastAsia="zh-CN"/>
              </w:rPr>
              <w:t>面</w:t>
            </w:r>
            <w:r>
              <w:rPr>
                <w:rFonts w:hint="eastAsia"/>
                <w:b/>
                <w:bCs/>
                <w:szCs w:val="22"/>
              </w:rPr>
              <w:t>额（</w:t>
            </w:r>
            <w:r>
              <w:rPr>
                <w:rFonts w:hint="eastAsia"/>
                <w:b/>
                <w:bCs/>
                <w:szCs w:val="22"/>
                <w:lang w:val="en-US" w:eastAsia="zh-CN"/>
              </w:rPr>
              <w:t>万元</w:t>
            </w:r>
            <w:r>
              <w:rPr>
                <w:rFonts w:hint="eastAsia"/>
                <w:b/>
                <w:bCs/>
                <w:szCs w:val="22"/>
              </w:rPr>
              <w:t>）</w:t>
            </w:r>
          </w:p>
        </w:tc>
        <w:tc>
          <w:tcPr>
            <w:tcW w:w="1046" w:type="dxa"/>
            <w:shd w:val="clear" w:color="auto" w:fill="D6D6D6"/>
            <w:vAlign w:val="center"/>
          </w:tcPr>
          <w:p>
            <w:pPr>
              <w:spacing w:before="100" w:beforeAutospacing="1" w:after="100" w:afterAutospacing="1"/>
              <w:jc w:val="center"/>
              <w:rPr>
                <w:rFonts w:hint="eastAsia" w:eastAsia="宋体"/>
                <w:b/>
                <w:bCs/>
                <w:szCs w:val="22"/>
                <w:lang w:eastAsia="zh-CN"/>
              </w:rPr>
            </w:pPr>
            <w:r>
              <w:rPr>
                <w:rFonts w:hint="eastAsia"/>
                <w:b/>
                <w:bCs/>
                <w:szCs w:val="22"/>
              </w:rPr>
              <w:t>交易</w:t>
            </w:r>
            <w:r>
              <w:rPr>
                <w:rFonts w:hint="eastAsia"/>
                <w:b/>
                <w:bCs/>
                <w:szCs w:val="22"/>
                <w:lang w:val="en-US" w:eastAsia="zh-CN"/>
              </w:rPr>
              <w:t>价格</w:t>
            </w:r>
          </w:p>
        </w:tc>
        <w:tc>
          <w:tcPr>
            <w:tcW w:w="1422" w:type="dxa"/>
            <w:shd w:val="clear" w:color="auto" w:fill="D6D6D6"/>
            <w:vAlign w:val="center"/>
          </w:tcPr>
          <w:p>
            <w:pPr>
              <w:spacing w:before="100" w:beforeAutospacing="1" w:after="100" w:afterAutospacing="1"/>
              <w:jc w:val="center"/>
              <w:rPr>
                <w:b/>
                <w:bCs/>
                <w:szCs w:val="22"/>
              </w:rPr>
            </w:pPr>
            <w:r>
              <w:rPr>
                <w:rFonts w:hint="eastAsia"/>
                <w:b/>
                <w:bCs/>
                <w:szCs w:val="22"/>
              </w:rPr>
              <w:t>关联方</w:t>
            </w:r>
          </w:p>
        </w:tc>
        <w:tc>
          <w:tcPr>
            <w:tcW w:w="1477" w:type="dxa"/>
            <w:shd w:val="clear" w:color="auto" w:fill="D6D6D6"/>
            <w:vAlign w:val="center"/>
          </w:tcPr>
          <w:p>
            <w:pPr>
              <w:spacing w:before="100" w:beforeAutospacing="1" w:after="100" w:afterAutospacing="1"/>
              <w:jc w:val="center"/>
              <w:rPr>
                <w:b/>
                <w:bCs/>
                <w:szCs w:val="22"/>
              </w:rPr>
            </w:pPr>
            <w:r>
              <w:rPr>
                <w:rFonts w:hint="eastAsia"/>
                <w:b/>
                <w:bCs/>
                <w:szCs w:val="22"/>
              </w:rPr>
              <w:t>关联方类别</w:t>
            </w:r>
          </w:p>
        </w:tc>
        <w:tc>
          <w:tcPr>
            <w:tcW w:w="1350" w:type="dxa"/>
            <w:shd w:val="clear" w:color="auto" w:fill="D6D6D6"/>
            <w:vAlign w:val="center"/>
          </w:tcPr>
          <w:p>
            <w:pPr>
              <w:spacing w:before="100" w:beforeAutospacing="1" w:after="100" w:afterAutospacing="1"/>
              <w:jc w:val="center"/>
              <w:rPr>
                <w:b/>
                <w:bCs/>
                <w:szCs w:val="22"/>
              </w:rPr>
            </w:pPr>
            <w:r>
              <w:rPr>
                <w:rFonts w:hint="eastAsia"/>
                <w:b/>
                <w:bCs/>
                <w:szCs w:val="22"/>
              </w:rPr>
              <w:t>关联方交易类型</w:t>
            </w:r>
          </w:p>
        </w:tc>
        <w:tc>
          <w:tcPr>
            <w:tcW w:w="624" w:type="dxa"/>
            <w:shd w:val="clear" w:color="auto" w:fill="D6D6D6"/>
            <w:vAlign w:val="center"/>
          </w:tcPr>
          <w:p>
            <w:pPr>
              <w:spacing w:before="100" w:beforeAutospacing="1" w:after="100" w:afterAutospacing="1"/>
              <w:jc w:val="center"/>
              <w:rPr>
                <w:b/>
                <w:bCs/>
                <w:szCs w:val="22"/>
              </w:rPr>
            </w:pPr>
            <w:r>
              <w:rPr>
                <w:rFonts w:hint="eastAsia"/>
                <w:b/>
                <w:bCs/>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40"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color w:val="000000"/>
                <w:kern w:val="0"/>
                <w:sz w:val="20"/>
                <w:szCs w:val="20"/>
                <w:u w:val="none"/>
                <w:lang w:val="en-US" w:eastAsia="zh-CN" w:bidi="ar"/>
              </w:rPr>
              <w:t>1</w:t>
            </w:r>
          </w:p>
        </w:tc>
        <w:tc>
          <w:tcPr>
            <w:tcW w:w="1275"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cs="宋体"/>
                <w:i w:val="0"/>
                <w:iCs w:val="0"/>
                <w:color w:val="000000"/>
                <w:kern w:val="0"/>
                <w:sz w:val="20"/>
                <w:szCs w:val="20"/>
                <w:u w:val="none"/>
                <w:lang w:val="en-US" w:eastAsia="zh-CN" w:bidi="ar"/>
              </w:rPr>
              <w:t>10-20</w:t>
            </w:r>
          </w:p>
        </w:tc>
        <w:tc>
          <w:tcPr>
            <w:tcW w:w="1129"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逆回购</w:t>
            </w:r>
          </w:p>
        </w:tc>
        <w:tc>
          <w:tcPr>
            <w:tcW w:w="1175"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2600</w:t>
            </w:r>
          </w:p>
        </w:tc>
        <w:tc>
          <w:tcPr>
            <w:tcW w:w="1046"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1.42%</w:t>
            </w:r>
          </w:p>
        </w:tc>
        <w:tc>
          <w:tcPr>
            <w:tcW w:w="1422"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招商证券资产管理有限公司</w:t>
            </w:r>
          </w:p>
        </w:tc>
        <w:tc>
          <w:tcPr>
            <w:tcW w:w="1477"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托管机构的关联法人</w:t>
            </w:r>
          </w:p>
        </w:tc>
        <w:tc>
          <w:tcPr>
            <w:tcW w:w="1350"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与关联方产品户进行回购交易</w:t>
            </w:r>
          </w:p>
        </w:tc>
        <w:tc>
          <w:tcPr>
            <w:tcW w:w="624" w:type="dxa"/>
            <w:shd w:val="clear" w:color="auto" w:fill="auto"/>
            <w:vAlign w:val="center"/>
          </w:tcPr>
          <w:p>
            <w:pPr>
              <w:jc w:val="center"/>
              <w:rPr>
                <w:rFonts w:hint="eastAsia" w:eastAsia="宋体"/>
                <w:lang w:eastAsia="zh-CN"/>
              </w:rPr>
            </w:pPr>
          </w:p>
        </w:tc>
      </w:tr>
    </w:tbl>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3CC7DFD"/>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3</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2026-01-22T09:39:02Z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