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融智理财添利系列-D365-11理财产品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融智理财添利系列-D365-11理财产品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64,721,869.00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22.27</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1,780,513.48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306,855.69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65,838,537.02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65,838,537.02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1.2227</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54,703,081.35</w:t>
            </w:r>
          </w:p>
        </w:tc>
        <w:tc>
          <w:tcPr>
            <w:tcW w:w="1749" w:type="dxa"/>
            <w:shd w:val="clear" w:color="auto" w:fill="auto"/>
            <w:vAlign w:val="center"/>
          </w:tcPr>
          <w:p>
            <w:pPr>
              <w:jc w:val="right"/>
            </w:pPr>
            <w:r>
              <w:t>82.70</w:t>
            </w:r>
          </w:p>
        </w:tc>
        <w:tc>
          <w:tcPr>
            <w:tcW w:w="1653" w:type="dxa"/>
            <w:vAlign w:val="center"/>
          </w:tcPr>
          <w:p>
            <w:pPr>
              <w:jc w:val="right"/>
            </w:pPr>
            <w:r>
              <w:t>10,981,200.38</w:t>
            </w:r>
          </w:p>
        </w:tc>
        <w:tc>
          <w:tcPr>
            <w:tcW w:w="1705" w:type="dxa"/>
            <w:vAlign w:val="center"/>
          </w:tcPr>
          <w:p>
            <w:pPr>
              <w:jc w:val="right"/>
            </w:pPr>
            <w:r>
              <w:t>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54,703,081.35</w:t>
            </w:r>
          </w:p>
        </w:tc>
        <w:tc>
          <w:tcPr>
            <w:tcW w:w="1749" w:type="dxa"/>
            <w:shd w:val="clear" w:color="auto" w:fill="auto"/>
            <w:vAlign w:val="center"/>
          </w:tcPr>
          <w:p>
            <w:pPr>
              <w:jc w:val="right"/>
            </w:pPr>
            <w:r>
              <w:t>82.70</w:t>
            </w:r>
          </w:p>
        </w:tc>
        <w:tc>
          <w:tcPr>
            <w:tcW w:w="1653" w:type="dxa"/>
            <w:vAlign w:val="center"/>
          </w:tcPr>
          <w:p>
            <w:pPr>
              <w:jc w:val="right"/>
            </w:pPr>
            <w:r>
              <w:t>10,981,200.38</w:t>
            </w:r>
          </w:p>
        </w:tc>
        <w:tc>
          <w:tcPr>
            <w:tcW w:w="1705" w:type="dxa"/>
            <w:vAlign w:val="center"/>
          </w:tcPr>
          <w:p>
            <w:pPr>
              <w:jc w:val="right"/>
            </w:pPr>
            <w:r>
              <w:t>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363,880.58</w:t>
            </w:r>
          </w:p>
        </w:tc>
        <w:tc>
          <w:tcPr>
            <w:tcW w:w="1749" w:type="dxa"/>
            <w:shd w:val="clear" w:color="auto" w:fill="auto"/>
            <w:vAlign w:val="center"/>
          </w:tcPr>
          <w:p>
            <w:pPr>
              <w:jc w:val="right"/>
            </w:pPr>
            <w:r>
              <w:t>0.55</w:t>
            </w:r>
          </w:p>
        </w:tc>
        <w:tc>
          <w:tcPr>
            <w:tcW w:w="1653" w:type="dxa"/>
            <w:vAlign w:val="center"/>
          </w:tcPr>
          <w:p>
            <w:pPr>
              <w:jc w:val="right"/>
            </w:pPr>
            <w:r>
              <w:t>102,698.64</w:t>
            </w:r>
          </w:p>
        </w:tc>
        <w:tc>
          <w:tcPr>
            <w:tcW w:w="1705" w:type="dxa"/>
            <w:vAlign w:val="center"/>
          </w:tcPr>
          <w:p>
            <w:pPr>
              <w:jc w:val="right"/>
            </w:pPr>
            <w: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11,077,074.43</w:t>
            </w:r>
          </w:p>
        </w:tc>
        <w:tc>
          <w:tcPr>
            <w:tcW w:w="1749" w:type="dxa"/>
            <w:shd w:val="clear" w:color="auto" w:fill="auto"/>
            <w:vAlign w:val="center"/>
          </w:tcPr>
          <w:p>
            <w:pPr>
              <w:jc w:val="right"/>
            </w:pPr>
            <w:r>
              <w:t>16.75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66,144,036.36</w:t>
            </w:r>
          </w:p>
        </w:tc>
        <w:tc>
          <w:tcPr>
            <w:tcW w:w="1749" w:type="dxa"/>
            <w:shd w:val="clear" w:color="auto" w:fill="auto"/>
          </w:tcPr>
          <w:p>
            <w:pPr>
              <w:jc w:val="right"/>
            </w:pPr>
            <w:r>
              <w:t>100.00</w:t>
            </w:r>
          </w:p>
        </w:tc>
        <w:tc>
          <w:tcPr>
            <w:tcW w:w="1653" w:type="dxa"/>
          </w:tcPr>
          <w:p>
            <w:pPr>
              <w:jc w:val="right"/>
            </w:pPr>
            <w:r>
              <w:t>11,083,899.02</w:t>
            </w:r>
          </w:p>
        </w:tc>
        <w:tc>
          <w:tcPr>
            <w:tcW w:w="1705" w:type="dxa"/>
          </w:tcPr>
          <w:p>
            <w:pPr>
              <w:jc w:val="right"/>
            </w:pPr>
            <w:r>
              <w:t>16.76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6.06%；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11,077,074.43</w:t>
            </w:r>
          </w:p>
        </w:tc>
        <w:tc>
          <w:tcPr>
            <w:tcW w:w="2431" w:type="dxa"/>
            <w:shd w:val="clear" w:color="auto" w:fill="auto"/>
            <w:vAlign w:val="center"/>
          </w:tcPr>
          <w:p>
            <w:pPr>
              <w:jc w:val="right"/>
            </w:pPr>
            <w:r>
              <w:t>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20宁经开</w:t>
            </w:r>
          </w:p>
        </w:tc>
        <w:tc>
          <w:tcPr>
            <w:tcW w:w="2693" w:type="dxa"/>
            <w:shd w:val="clear" w:color="auto" w:fill="auto"/>
            <w:vAlign w:val="center"/>
          </w:tcPr>
          <w:p>
            <w:pPr>
              <w:ind w:hanging="1"/>
              <w:jc w:val="right"/>
            </w:pPr>
            <w:r>
              <w:rPr>
                <w:b w:val="0"/>
                <w:i w:val="0"/>
                <w:strike w:val="0"/>
                <w:u w:val="none"/>
              </w:rPr>
              <w:t>5,943,951.23</w:t>
            </w:r>
          </w:p>
        </w:tc>
        <w:tc>
          <w:tcPr>
            <w:tcW w:w="2431" w:type="dxa"/>
            <w:shd w:val="clear" w:color="auto" w:fill="auto"/>
            <w:vAlign w:val="center"/>
          </w:tcPr>
          <w:p>
            <w:pPr>
              <w:ind w:hanging="1"/>
              <w:jc w:val="right"/>
            </w:pPr>
            <w:r>
              <w:rPr>
                <w:b w:val="0"/>
                <w:i w:val="0"/>
                <w:strike w:val="0"/>
                <w:u w:val="none"/>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21宁乡城投债</w:t>
            </w:r>
          </w:p>
        </w:tc>
        <w:tc>
          <w:tcPr>
            <w:tcW w:w="2693" w:type="dxa"/>
            <w:shd w:val="clear" w:color="auto" w:fill="auto"/>
            <w:vAlign w:val="center"/>
          </w:tcPr>
          <w:p>
            <w:pPr>
              <w:ind w:hanging="1"/>
              <w:jc w:val="right"/>
            </w:pPr>
            <w:r>
              <w:rPr>
                <w:b w:val="0"/>
                <w:i w:val="0"/>
                <w:strike w:val="0"/>
                <w:u w:val="none"/>
              </w:rPr>
              <w:t>5,900,316.34</w:t>
            </w:r>
          </w:p>
        </w:tc>
        <w:tc>
          <w:tcPr>
            <w:tcW w:w="2431" w:type="dxa"/>
            <w:shd w:val="clear" w:color="auto" w:fill="auto"/>
            <w:vAlign w:val="center"/>
          </w:tcPr>
          <w:p>
            <w:pPr>
              <w:ind w:hanging="1"/>
              <w:jc w:val="right"/>
            </w:pPr>
            <w:r>
              <w:rPr>
                <w:b w:val="0"/>
                <w:i w:val="0"/>
                <w:strike w:val="0"/>
                <w:u w:val="none"/>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5,869,571.10</w:t>
            </w:r>
          </w:p>
        </w:tc>
        <w:tc>
          <w:tcPr>
            <w:tcW w:w="2431" w:type="dxa"/>
            <w:shd w:val="clear" w:color="auto" w:fill="auto"/>
            <w:vAlign w:val="center"/>
          </w:tcPr>
          <w:p>
            <w:pPr>
              <w:ind w:hanging="1"/>
              <w:jc w:val="right"/>
            </w:pPr>
            <w:r>
              <w:rPr>
                <w:b w:val="0"/>
                <w:i w:val="0"/>
                <w:strike w:val="0"/>
                <w:u w:val="none"/>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21天易01</w:t>
            </w:r>
          </w:p>
        </w:tc>
        <w:tc>
          <w:tcPr>
            <w:tcW w:w="2693" w:type="dxa"/>
            <w:shd w:val="clear" w:color="auto" w:fill="auto"/>
            <w:vAlign w:val="center"/>
          </w:tcPr>
          <w:p>
            <w:pPr>
              <w:ind w:hanging="1"/>
              <w:jc w:val="right"/>
            </w:pPr>
            <w:r>
              <w:rPr>
                <w:b w:val="0"/>
                <w:i w:val="0"/>
                <w:strike w:val="0"/>
                <w:u w:val="none"/>
              </w:rPr>
              <w:t>5,750,016.44</w:t>
            </w:r>
          </w:p>
        </w:tc>
        <w:tc>
          <w:tcPr>
            <w:tcW w:w="2431" w:type="dxa"/>
            <w:shd w:val="clear" w:color="auto" w:fill="auto"/>
            <w:vAlign w:val="center"/>
          </w:tcPr>
          <w:p>
            <w:pPr>
              <w:ind w:hanging="1"/>
              <w:jc w:val="right"/>
            </w:pPr>
            <w:r>
              <w:rPr>
                <w:b w:val="0"/>
                <w:i w:val="0"/>
                <w:strike w:val="0"/>
                <w:u w:val="none"/>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5,592,348.49</w:t>
            </w:r>
          </w:p>
        </w:tc>
        <w:tc>
          <w:tcPr>
            <w:tcW w:w="2431" w:type="dxa"/>
            <w:shd w:val="clear" w:color="auto" w:fill="auto"/>
            <w:vAlign w:val="center"/>
          </w:tcPr>
          <w:p>
            <w:pPr>
              <w:ind w:hanging="1"/>
              <w:jc w:val="right"/>
            </w:pPr>
            <w:r>
              <w:rPr>
                <w:b w:val="0"/>
                <w:i w:val="0"/>
                <w:strike w:val="0"/>
                <w:u w:val="none"/>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23衡高K1</w:t>
            </w:r>
          </w:p>
        </w:tc>
        <w:tc>
          <w:tcPr>
            <w:tcW w:w="2693" w:type="dxa"/>
            <w:shd w:val="clear" w:color="auto" w:fill="auto"/>
            <w:vAlign w:val="center"/>
          </w:tcPr>
          <w:p>
            <w:pPr>
              <w:ind w:hanging="1"/>
              <w:jc w:val="right"/>
            </w:pPr>
            <w:r>
              <w:rPr>
                <w:b w:val="0"/>
                <w:i w:val="0"/>
                <w:strike w:val="0"/>
                <w:u w:val="none"/>
              </w:rPr>
              <w:t>5,586,705.37</w:t>
            </w:r>
          </w:p>
        </w:tc>
        <w:tc>
          <w:tcPr>
            <w:tcW w:w="2431" w:type="dxa"/>
            <w:shd w:val="clear" w:color="auto" w:fill="auto"/>
            <w:vAlign w:val="center"/>
          </w:tcPr>
          <w:p>
            <w:pPr>
              <w:ind w:hanging="1"/>
              <w:jc w:val="right"/>
            </w:pPr>
            <w:r>
              <w:rPr>
                <w:b w:val="0"/>
                <w:i w:val="0"/>
                <w:strike w:val="0"/>
                <w:u w:val="none"/>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20德源绿色债02</w:t>
            </w:r>
          </w:p>
        </w:tc>
        <w:tc>
          <w:tcPr>
            <w:tcW w:w="2693" w:type="dxa"/>
            <w:shd w:val="clear" w:color="auto" w:fill="auto"/>
            <w:vAlign w:val="center"/>
          </w:tcPr>
          <w:p>
            <w:pPr>
              <w:ind w:hanging="1"/>
              <w:jc w:val="right"/>
            </w:pPr>
            <w:r>
              <w:rPr>
                <w:b w:val="0"/>
                <w:i w:val="0"/>
                <w:strike w:val="0"/>
                <w:u w:val="none"/>
              </w:rPr>
              <w:t>5,543,830.27</w:t>
            </w:r>
          </w:p>
        </w:tc>
        <w:tc>
          <w:tcPr>
            <w:tcW w:w="2431" w:type="dxa"/>
            <w:shd w:val="clear" w:color="auto" w:fill="auto"/>
            <w:vAlign w:val="center"/>
          </w:tcPr>
          <w:p>
            <w:pPr>
              <w:ind w:hanging="1"/>
              <w:jc w:val="right"/>
            </w:pPr>
            <w:r>
              <w:rPr>
                <w:b w:val="0"/>
                <w:i w:val="0"/>
                <w:strike w:val="0"/>
                <w:u w:val="none"/>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3,860,985.48</w:t>
            </w:r>
          </w:p>
        </w:tc>
        <w:tc>
          <w:tcPr>
            <w:tcW w:w="2431" w:type="dxa"/>
            <w:shd w:val="clear" w:color="auto" w:fill="auto"/>
            <w:vAlign w:val="center"/>
          </w:tcPr>
          <w:p>
            <w:pPr>
              <w:ind w:hanging="1"/>
              <w:jc w:val="right"/>
            </w:pPr>
            <w:r>
              <w:rPr>
                <w:b w:val="0"/>
                <w:i w:val="0"/>
                <w:strike w:val="0"/>
                <w:u w:val="none"/>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3,622,911.78</w:t>
            </w:r>
          </w:p>
        </w:tc>
        <w:tc>
          <w:tcPr>
            <w:tcW w:w="2431" w:type="dxa"/>
            <w:shd w:val="clear" w:color="auto" w:fill="auto"/>
            <w:vAlign w:val="center"/>
          </w:tcPr>
          <w:p>
            <w:pPr>
              <w:ind w:hanging="1"/>
              <w:jc w:val="right"/>
            </w:pPr>
            <w:r>
              <w:rPr>
                <w:b w:val="0"/>
                <w:i w:val="0"/>
                <w:strike w:val="0"/>
                <w:u w:val="none"/>
              </w:rPr>
              <w:t>5.50</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20宁经开</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5,943,951.23</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21宁乡城投债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5,900,316.34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5,869,571.10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21天易01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5,750,016.44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5,592,348.49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23衡高K1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5,586,705.37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20德源绿色债02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5,543,830.27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3,860,985.48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3,622,911.78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2,677,706.63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4.07</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731903861410181</w:t>
            </w:r>
          </w:p>
        </w:tc>
        <w:tc>
          <w:tcPr>
            <w:tcW w:w="2693" w:type="dxa"/>
            <w:shd w:val="clear" w:color="auto" w:fill="auto"/>
            <w:vAlign w:val="center"/>
          </w:tcPr>
          <w:p>
            <w:pPr>
              <w:spacing w:before="100" w:beforeAutospacing="1" w:after="100" w:afterAutospacing="1"/>
            </w:pPr>
            <w:r>
              <w:t>湖南银行股份有限公司-融智理财添利系列-D365-11理财产品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8E626BD"/>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2026-01-22T08:29:36Z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