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bookmarkStart w:id="0" w:name="OLE_LINK1"/>
      <w:r>
        <w:rPr>
          <w:rFonts w:ascii="宋体" w:hAnsi="宋体"/>
          <w:b/>
          <w:bCs/>
          <w:sz w:val="48"/>
          <w:szCs w:val="30"/>
        </w:rPr>
        <w:t>添利系列最短持有180天人民币理财产品</w:t>
      </w:r>
    </w:p>
    <w:bookmarkEnd w:id="0"/>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添利系列最短持有180天人民币理财产品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C1136023000031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2023-05-30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1,120,411,124.63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[1.6%-3%]/年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100.19%</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1" w:name="OLE_LINK4"/>
            <w:bookmarkEnd w:id="1"/>
            <w:bookmarkStart w:id="2" w:name="OLE_LINK7"/>
            <w:bookmarkEnd w:id="2"/>
            <w:r>
              <w:t>8.83</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8,763,038.80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7,511,434.88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1,219,390,068.14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1.0883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1,219,390,068.14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1.0883</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29,734,190.85</w:t>
            </w:r>
          </w:p>
        </w:tc>
        <w:tc>
          <w:tcPr>
            <w:tcW w:w="1749" w:type="dxa"/>
            <w:shd w:val="clear" w:color="auto" w:fill="auto"/>
            <w:vAlign w:val="center"/>
          </w:tcPr>
          <w:p>
            <w:pPr>
              <w:jc w:val="right"/>
            </w:pPr>
            <w:r>
              <w:t>2.43</w:t>
            </w:r>
          </w:p>
        </w:tc>
        <w:tc>
          <w:tcPr>
            <w:tcW w:w="1653" w:type="dxa"/>
            <w:vAlign w:val="center"/>
          </w:tcPr>
          <w:p>
            <w:pPr>
              <w:jc w:val="right"/>
            </w:pPr>
            <w:r>
              <w:t>1,503,694.23</w:t>
            </w:r>
          </w:p>
        </w:tc>
        <w:tc>
          <w:tcPr>
            <w:tcW w:w="1705" w:type="dxa"/>
            <w:vAlign w:val="center"/>
          </w:tcPr>
          <w:p>
            <w:pPr>
              <w:jc w:val="right"/>
            </w:pPr>
            <w: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1,079,850,189.08</w:t>
            </w:r>
          </w:p>
        </w:tc>
        <w:tc>
          <w:tcPr>
            <w:tcW w:w="1749" w:type="dxa"/>
            <w:shd w:val="clear" w:color="auto" w:fill="auto"/>
            <w:vAlign w:val="center"/>
          </w:tcPr>
          <w:p>
            <w:pPr>
              <w:jc w:val="right"/>
            </w:pPr>
            <w:r>
              <w:t>88.39</w:t>
            </w:r>
          </w:p>
        </w:tc>
        <w:tc>
          <w:tcPr>
            <w:tcW w:w="1653" w:type="dxa"/>
            <w:vAlign w:val="center"/>
          </w:tcPr>
          <w:p>
            <w:pPr>
              <w:jc w:val="right"/>
            </w:pPr>
            <w:r>
              <w:t>43,936,435.22</w:t>
            </w:r>
          </w:p>
        </w:tc>
        <w:tc>
          <w:tcPr>
            <w:tcW w:w="1705" w:type="dxa"/>
            <w:vAlign w:val="center"/>
          </w:tcPr>
          <w:p>
            <w:pPr>
              <w:jc w:val="right"/>
            </w:pPr>
            <w: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1,072,564,650.10</w:t>
            </w:r>
          </w:p>
        </w:tc>
        <w:tc>
          <w:tcPr>
            <w:tcW w:w="1749" w:type="dxa"/>
            <w:shd w:val="clear" w:color="auto" w:fill="auto"/>
            <w:vAlign w:val="center"/>
          </w:tcPr>
          <w:p>
            <w:pPr>
              <w:jc w:val="right"/>
            </w:pPr>
            <w:r>
              <w:t>87.80</w:t>
            </w:r>
          </w:p>
        </w:tc>
        <w:tc>
          <w:tcPr>
            <w:tcW w:w="1653" w:type="dxa"/>
            <w:vAlign w:val="center"/>
          </w:tcPr>
          <w:p>
            <w:pPr>
              <w:jc w:val="right"/>
            </w:pPr>
            <w:r>
              <w:t>43,936,435.22</w:t>
            </w:r>
          </w:p>
        </w:tc>
        <w:tc>
          <w:tcPr>
            <w:tcW w:w="1705" w:type="dxa"/>
            <w:vAlign w:val="center"/>
          </w:tcPr>
          <w:p>
            <w:pPr>
              <w:jc w:val="right"/>
            </w:pPr>
            <w: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7,285,538.98</w:t>
            </w:r>
          </w:p>
        </w:tc>
        <w:tc>
          <w:tcPr>
            <w:tcW w:w="1749" w:type="dxa"/>
            <w:shd w:val="clear" w:color="auto" w:fill="auto"/>
            <w:vAlign w:val="center"/>
          </w:tcPr>
          <w:p>
            <w:pPr>
              <w:jc w:val="right"/>
            </w:pPr>
            <w:r>
              <w:t>0.60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13,000,849.12</w:t>
            </w:r>
          </w:p>
        </w:tc>
        <w:tc>
          <w:tcPr>
            <w:tcW w:w="1749" w:type="dxa"/>
            <w:shd w:val="clear" w:color="auto" w:fill="auto"/>
            <w:vAlign w:val="center"/>
          </w:tcPr>
          <w:p>
            <w:pPr>
              <w:jc w:val="right"/>
            </w:pPr>
            <w:r>
              <w:t>1.06</w:t>
            </w:r>
          </w:p>
        </w:tc>
        <w:tc>
          <w:tcPr>
            <w:tcW w:w="1653" w:type="dxa"/>
            <w:vAlign w:val="center"/>
          </w:tcPr>
          <w:p>
            <w:pPr>
              <w:jc w:val="right"/>
            </w:pPr>
            <w:r>
              <w:t>52,399,119.39</w:t>
            </w:r>
          </w:p>
        </w:tc>
        <w:tc>
          <w:tcPr>
            <w:tcW w:w="1705" w:type="dxa"/>
            <w:vAlign w:val="center"/>
          </w:tcPr>
          <w:p>
            <w:pPr>
              <w:jc w:val="right"/>
            </w:pPr>
            <w:r>
              <w:t>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998,559.57</w:t>
            </w:r>
          </w:p>
        </w:tc>
        <w:tc>
          <w:tcPr>
            <w:tcW w:w="1749" w:type="dxa"/>
            <w:shd w:val="clear" w:color="auto" w:fill="auto"/>
            <w:vAlign w:val="center"/>
          </w:tcPr>
          <w:p>
            <w:pPr>
              <w:jc w:val="right"/>
            </w:pPr>
            <w:r>
              <w:t>0.08</w:t>
            </w:r>
          </w:p>
        </w:tc>
        <w:tc>
          <w:tcPr>
            <w:tcW w:w="1653" w:type="dxa"/>
            <w:vAlign w:val="center"/>
          </w:tcPr>
          <w:p>
            <w:pPr>
              <w:jc w:val="right"/>
            </w:pPr>
            <w:r>
              <w:t>1,791,108.00</w:t>
            </w:r>
          </w:p>
        </w:tc>
        <w:tc>
          <w:tcPr>
            <w:tcW w:w="1705" w:type="dxa"/>
            <w:vAlign w:val="center"/>
          </w:tcPr>
          <w:p>
            <w:pPr>
              <w:jc w:val="right"/>
            </w:pPr>
            <w: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98,067,918.98</w:t>
            </w:r>
          </w:p>
        </w:tc>
        <w:tc>
          <w:tcPr>
            <w:tcW w:w="1749" w:type="dxa"/>
            <w:shd w:val="clear" w:color="auto" w:fill="auto"/>
            <w:vAlign w:val="center"/>
          </w:tcPr>
          <w:p>
            <w:pPr>
              <w:jc w:val="right"/>
            </w:pPr>
            <w:r>
              <w:t>8.03</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15.42</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1,221,651,723.02</w:t>
            </w:r>
          </w:p>
        </w:tc>
        <w:tc>
          <w:tcPr>
            <w:tcW w:w="1749" w:type="dxa"/>
            <w:shd w:val="clear" w:color="auto" w:fill="auto"/>
          </w:tcPr>
          <w:p>
            <w:pPr>
              <w:jc w:val="right"/>
            </w:pPr>
            <w:r>
              <w:t>100.00</w:t>
            </w:r>
          </w:p>
        </w:tc>
        <w:tc>
          <w:tcPr>
            <w:tcW w:w="1653" w:type="dxa"/>
          </w:tcPr>
          <w:p>
            <w:pPr>
              <w:jc w:val="right"/>
            </w:pPr>
            <w:r>
              <w:t>99,630,356.84</w:t>
            </w:r>
          </w:p>
        </w:tc>
        <w:tc>
          <w:tcPr>
            <w:tcW w:w="1705" w:type="dxa"/>
          </w:tcPr>
          <w:p>
            <w:pPr>
              <w:jc w:val="right"/>
            </w:pPr>
            <w:r>
              <w:t>8.16</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7.32%；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24洞庭01</w:t>
            </w:r>
          </w:p>
        </w:tc>
        <w:tc>
          <w:tcPr>
            <w:tcW w:w="2693" w:type="dxa"/>
            <w:shd w:val="clear" w:color="auto" w:fill="auto"/>
            <w:vAlign w:val="center"/>
          </w:tcPr>
          <w:p>
            <w:pPr>
              <w:jc w:val="right"/>
            </w:pPr>
            <w:r>
              <w:t>93,792,925.48</w:t>
            </w:r>
          </w:p>
        </w:tc>
        <w:tc>
          <w:tcPr>
            <w:tcW w:w="2431" w:type="dxa"/>
            <w:shd w:val="clear" w:color="auto" w:fill="auto"/>
            <w:vAlign w:val="center"/>
          </w:tcPr>
          <w:p>
            <w:pPr>
              <w:jc w:val="right"/>
            </w:pPr>
            <w:r>
              <w:t>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88,290,579.45</w:t>
            </w:r>
          </w:p>
        </w:tc>
        <w:tc>
          <w:tcPr>
            <w:tcW w:w="2431" w:type="dxa"/>
            <w:shd w:val="clear" w:color="auto" w:fill="auto"/>
            <w:vAlign w:val="center"/>
          </w:tcPr>
          <w:p>
            <w:pPr>
              <w:ind w:hanging="1"/>
              <w:jc w:val="right"/>
            </w:pPr>
            <w:r>
              <w:rPr>
                <w:b w:val="0"/>
                <w:i w:val="0"/>
                <w:strike w:val="0"/>
                <w:u w:val="none"/>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申万宏源精睿甄选1号</w:t>
            </w:r>
          </w:p>
        </w:tc>
        <w:tc>
          <w:tcPr>
            <w:tcW w:w="2693" w:type="dxa"/>
            <w:shd w:val="clear" w:color="auto" w:fill="auto"/>
            <w:vAlign w:val="center"/>
          </w:tcPr>
          <w:p>
            <w:pPr>
              <w:ind w:hanging="1"/>
              <w:jc w:val="right"/>
            </w:pPr>
            <w:r>
              <w:rPr>
                <w:b w:val="0"/>
                <w:i w:val="0"/>
                <w:strike w:val="0"/>
                <w:u w:val="none"/>
              </w:rPr>
              <w:t>81,667,003.51</w:t>
            </w:r>
          </w:p>
        </w:tc>
        <w:tc>
          <w:tcPr>
            <w:tcW w:w="2431" w:type="dxa"/>
            <w:shd w:val="clear" w:color="auto" w:fill="auto"/>
            <w:vAlign w:val="center"/>
          </w:tcPr>
          <w:p>
            <w:pPr>
              <w:ind w:hanging="1"/>
              <w:jc w:val="right"/>
            </w:pPr>
            <w:r>
              <w:rPr>
                <w:b w:val="0"/>
                <w:i w:val="0"/>
                <w:strike w:val="0"/>
                <w:u w:val="none"/>
              </w:rPr>
              <w:t>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24株金01</w:t>
            </w:r>
          </w:p>
        </w:tc>
        <w:tc>
          <w:tcPr>
            <w:tcW w:w="2693" w:type="dxa"/>
            <w:shd w:val="clear" w:color="auto" w:fill="auto"/>
            <w:vAlign w:val="center"/>
          </w:tcPr>
          <w:p>
            <w:pPr>
              <w:ind w:hanging="1"/>
              <w:jc w:val="right"/>
            </w:pPr>
            <w:r>
              <w:rPr>
                <w:b w:val="0"/>
                <w:i w:val="0"/>
                <w:strike w:val="0"/>
                <w:u w:val="none"/>
              </w:rPr>
              <w:t>79,429,720.19</w:t>
            </w:r>
          </w:p>
        </w:tc>
        <w:tc>
          <w:tcPr>
            <w:tcW w:w="2431" w:type="dxa"/>
            <w:shd w:val="clear" w:color="auto" w:fill="auto"/>
            <w:vAlign w:val="center"/>
          </w:tcPr>
          <w:p>
            <w:pPr>
              <w:ind w:hanging="1"/>
              <w:jc w:val="right"/>
            </w:pPr>
            <w:r>
              <w:rPr>
                <w:b w:val="0"/>
                <w:i w:val="0"/>
                <w:strike w:val="0"/>
                <w:u w:val="none"/>
              </w:rPr>
              <w:t>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77,025,248.77</w:t>
            </w:r>
          </w:p>
        </w:tc>
        <w:tc>
          <w:tcPr>
            <w:tcW w:w="2431" w:type="dxa"/>
            <w:shd w:val="clear" w:color="auto" w:fill="auto"/>
            <w:vAlign w:val="center"/>
          </w:tcPr>
          <w:p>
            <w:pPr>
              <w:ind w:hanging="1"/>
              <w:jc w:val="right"/>
            </w:pPr>
            <w:r>
              <w:rPr>
                <w:b w:val="0"/>
                <w:i w:val="0"/>
                <w:strike w:val="0"/>
                <w:u w:val="none"/>
              </w:rPr>
              <w:t>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24衡高02</w:t>
            </w:r>
          </w:p>
        </w:tc>
        <w:tc>
          <w:tcPr>
            <w:tcW w:w="2693" w:type="dxa"/>
            <w:shd w:val="clear" w:color="auto" w:fill="auto"/>
            <w:vAlign w:val="center"/>
          </w:tcPr>
          <w:p>
            <w:pPr>
              <w:ind w:hanging="1"/>
              <w:jc w:val="right"/>
            </w:pPr>
            <w:r>
              <w:rPr>
                <w:b w:val="0"/>
                <w:i w:val="0"/>
                <w:strike w:val="0"/>
                <w:u w:val="none"/>
              </w:rPr>
              <w:t>75,107,780.00</w:t>
            </w:r>
          </w:p>
        </w:tc>
        <w:tc>
          <w:tcPr>
            <w:tcW w:w="2431" w:type="dxa"/>
            <w:shd w:val="clear" w:color="auto" w:fill="auto"/>
            <w:vAlign w:val="center"/>
          </w:tcPr>
          <w:p>
            <w:pPr>
              <w:ind w:hanging="1"/>
              <w:jc w:val="right"/>
            </w:pPr>
            <w:r>
              <w:rPr>
                <w:b w:val="0"/>
                <w:i w:val="0"/>
                <w:strike w:val="0"/>
                <w:u w:val="none"/>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53,636,392.88</w:t>
            </w:r>
          </w:p>
        </w:tc>
        <w:tc>
          <w:tcPr>
            <w:tcW w:w="2431" w:type="dxa"/>
            <w:shd w:val="clear" w:color="auto" w:fill="auto"/>
            <w:vAlign w:val="center"/>
          </w:tcPr>
          <w:p>
            <w:pPr>
              <w:ind w:hanging="1"/>
              <w:jc w:val="right"/>
            </w:pPr>
            <w:r>
              <w:rPr>
                <w:b w:val="0"/>
                <w:i w:val="0"/>
                <w:strike w:val="0"/>
                <w:u w:val="none"/>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24娄底城发PPN001</w:t>
            </w:r>
          </w:p>
        </w:tc>
        <w:tc>
          <w:tcPr>
            <w:tcW w:w="2693" w:type="dxa"/>
            <w:shd w:val="clear" w:color="auto" w:fill="auto"/>
            <w:vAlign w:val="center"/>
          </w:tcPr>
          <w:p>
            <w:pPr>
              <w:ind w:hanging="1"/>
              <w:jc w:val="right"/>
            </w:pPr>
            <w:r>
              <w:rPr>
                <w:b w:val="0"/>
                <w:i w:val="0"/>
                <w:strike w:val="0"/>
                <w:u w:val="none"/>
              </w:rPr>
              <w:t>49,108,711.56</w:t>
            </w:r>
          </w:p>
        </w:tc>
        <w:tc>
          <w:tcPr>
            <w:tcW w:w="2431" w:type="dxa"/>
            <w:shd w:val="clear" w:color="auto" w:fill="auto"/>
            <w:vAlign w:val="center"/>
          </w:tcPr>
          <w:p>
            <w:pPr>
              <w:ind w:hanging="1"/>
              <w:jc w:val="right"/>
            </w:pPr>
            <w:r>
              <w:rPr>
                <w:b w:val="0"/>
                <w:i w:val="0"/>
                <w:strike w:val="0"/>
                <w:u w:val="none"/>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23益型01</w:t>
            </w:r>
          </w:p>
        </w:tc>
        <w:tc>
          <w:tcPr>
            <w:tcW w:w="2693" w:type="dxa"/>
            <w:shd w:val="clear" w:color="auto" w:fill="auto"/>
            <w:vAlign w:val="center"/>
          </w:tcPr>
          <w:p>
            <w:pPr>
              <w:ind w:hanging="1"/>
              <w:jc w:val="right"/>
            </w:pPr>
            <w:r>
              <w:rPr>
                <w:b w:val="0"/>
                <w:i w:val="0"/>
                <w:strike w:val="0"/>
                <w:u w:val="none"/>
              </w:rPr>
              <w:t>41,501,993.43</w:t>
            </w:r>
          </w:p>
        </w:tc>
        <w:tc>
          <w:tcPr>
            <w:tcW w:w="2431" w:type="dxa"/>
            <w:shd w:val="clear" w:color="auto" w:fill="auto"/>
            <w:vAlign w:val="center"/>
          </w:tcPr>
          <w:p>
            <w:pPr>
              <w:ind w:hanging="1"/>
              <w:jc w:val="right"/>
            </w:pPr>
            <w:r>
              <w:rPr>
                <w:b w:val="0"/>
                <w:i w:val="0"/>
                <w:strike w:val="0"/>
                <w:u w:val="none"/>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24浏交01</w:t>
            </w:r>
          </w:p>
        </w:tc>
        <w:tc>
          <w:tcPr>
            <w:tcW w:w="2693" w:type="dxa"/>
            <w:shd w:val="clear" w:color="auto" w:fill="auto"/>
            <w:vAlign w:val="center"/>
          </w:tcPr>
          <w:p>
            <w:pPr>
              <w:ind w:hanging="1"/>
              <w:jc w:val="right"/>
            </w:pPr>
            <w:r>
              <w:rPr>
                <w:b w:val="0"/>
                <w:i w:val="0"/>
                <w:strike w:val="0"/>
                <w:u w:val="none"/>
              </w:rPr>
              <w:t>41,223,254.80</w:t>
            </w:r>
          </w:p>
        </w:tc>
        <w:tc>
          <w:tcPr>
            <w:tcW w:w="2431" w:type="dxa"/>
            <w:shd w:val="clear" w:color="auto" w:fill="auto"/>
            <w:vAlign w:val="center"/>
          </w:tcPr>
          <w:p>
            <w:pPr>
              <w:ind w:hanging="1"/>
              <w:jc w:val="right"/>
            </w:pPr>
            <w:r>
              <w:rPr>
                <w:b w:val="0"/>
                <w:i w:val="0"/>
                <w:strike w:val="0"/>
                <w:u w:val="none"/>
              </w:rPr>
              <w:t>3.38</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3" w:name="OLE_LINK2"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24洞庭01</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93,792,925.48</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7.69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88,290,579.45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24株金01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79,429,720.19</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6.51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77,025,248.77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6.32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24衡高02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75,107,780.00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53,636,392.88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24娄底城发PPN001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49,108,711.56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4.03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23益型01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41,501,993.43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24浏交01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41,223,254.80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3.38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24惠临02</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36,497,290.41</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2.99</w:t>
            </w:r>
          </w:p>
        </w:tc>
      </w:tr>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731903861410697</w:t>
            </w:r>
          </w:p>
        </w:tc>
        <w:tc>
          <w:tcPr>
            <w:tcW w:w="2693" w:type="dxa"/>
            <w:shd w:val="clear" w:color="auto" w:fill="auto"/>
            <w:vAlign w:val="center"/>
          </w:tcPr>
          <w:p>
            <w:pPr>
              <w:spacing w:before="100" w:beforeAutospacing="1" w:after="100" w:afterAutospacing="1"/>
            </w:pPr>
            <w:r>
              <w:t>湖南银行股份有限公司-添利系列最短持有期180天人民币理财产品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tbl>
      <w:tblPr>
        <w:tblStyle w:val="17"/>
        <w:tblW w:w="10038" w:type="dxa"/>
        <w:tblInd w:w="-4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75"/>
        <w:gridCol w:w="1129"/>
        <w:gridCol w:w="1175"/>
        <w:gridCol w:w="1046"/>
        <w:gridCol w:w="1422"/>
        <w:gridCol w:w="1477"/>
        <w:gridCol w:w="1350"/>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shd w:val="clear" w:color="auto" w:fill="D6D6D6"/>
            <w:vAlign w:val="center"/>
          </w:tcPr>
          <w:p>
            <w:pPr>
              <w:spacing w:before="100" w:beforeAutospacing="1" w:after="100" w:afterAutospacing="1"/>
              <w:jc w:val="center"/>
              <w:rPr>
                <w:b/>
                <w:bCs/>
                <w:szCs w:val="22"/>
              </w:rPr>
            </w:pPr>
            <w:r>
              <w:rPr>
                <w:rFonts w:hint="eastAsia"/>
                <w:b/>
                <w:bCs/>
                <w:szCs w:val="22"/>
              </w:rPr>
              <w:t>序号</w:t>
            </w:r>
          </w:p>
        </w:tc>
        <w:tc>
          <w:tcPr>
            <w:tcW w:w="1275" w:type="dxa"/>
            <w:shd w:val="clear" w:color="auto" w:fill="D6D6D6"/>
            <w:vAlign w:val="center"/>
          </w:tcPr>
          <w:p>
            <w:pPr>
              <w:spacing w:before="100" w:beforeAutospacing="1" w:after="100" w:afterAutospacing="1"/>
              <w:jc w:val="center"/>
              <w:rPr>
                <w:b/>
                <w:bCs/>
                <w:szCs w:val="22"/>
              </w:rPr>
            </w:pPr>
            <w:r>
              <w:rPr>
                <w:rFonts w:hint="eastAsia"/>
                <w:b/>
                <w:bCs/>
                <w:szCs w:val="22"/>
              </w:rPr>
              <w:t>交易时间</w:t>
            </w:r>
          </w:p>
        </w:tc>
        <w:tc>
          <w:tcPr>
            <w:tcW w:w="1129" w:type="dxa"/>
            <w:shd w:val="clear" w:color="auto" w:fill="D6D6D6"/>
            <w:vAlign w:val="center"/>
          </w:tcPr>
          <w:p>
            <w:pPr>
              <w:spacing w:before="100" w:beforeAutospacing="1" w:after="100" w:afterAutospacing="1"/>
              <w:jc w:val="center"/>
              <w:rPr>
                <w:b/>
                <w:bCs/>
                <w:szCs w:val="22"/>
              </w:rPr>
            </w:pPr>
            <w:r>
              <w:rPr>
                <w:rFonts w:hint="eastAsia"/>
                <w:b/>
                <w:bCs/>
                <w:szCs w:val="22"/>
              </w:rPr>
              <w:t>投资标的</w:t>
            </w:r>
          </w:p>
        </w:tc>
        <w:tc>
          <w:tcPr>
            <w:tcW w:w="1175" w:type="dxa"/>
            <w:shd w:val="clear" w:color="auto" w:fill="D6D6D6"/>
            <w:vAlign w:val="center"/>
          </w:tcPr>
          <w:p>
            <w:pPr>
              <w:spacing w:before="100" w:beforeAutospacing="1" w:after="100" w:afterAutospacing="1"/>
              <w:jc w:val="center"/>
              <w:rPr>
                <w:b/>
                <w:bCs/>
                <w:szCs w:val="22"/>
              </w:rPr>
            </w:pPr>
            <w:r>
              <w:rPr>
                <w:rFonts w:hint="eastAsia"/>
                <w:b/>
                <w:bCs/>
                <w:szCs w:val="22"/>
              </w:rPr>
              <w:t>交易</w:t>
            </w:r>
            <w:r>
              <w:rPr>
                <w:rFonts w:hint="eastAsia"/>
                <w:b/>
                <w:bCs/>
                <w:szCs w:val="22"/>
                <w:lang w:val="en-US" w:eastAsia="zh-CN"/>
              </w:rPr>
              <w:t>面</w:t>
            </w:r>
            <w:r>
              <w:rPr>
                <w:rFonts w:hint="eastAsia"/>
                <w:b/>
                <w:bCs/>
                <w:szCs w:val="22"/>
              </w:rPr>
              <w:t>额（</w:t>
            </w:r>
            <w:r>
              <w:rPr>
                <w:rFonts w:hint="eastAsia"/>
                <w:b/>
                <w:bCs/>
                <w:szCs w:val="22"/>
                <w:lang w:val="en-US" w:eastAsia="zh-CN"/>
              </w:rPr>
              <w:t>万元</w:t>
            </w:r>
            <w:r>
              <w:rPr>
                <w:rFonts w:hint="eastAsia"/>
                <w:b/>
                <w:bCs/>
                <w:szCs w:val="22"/>
              </w:rPr>
              <w:t>）</w:t>
            </w:r>
          </w:p>
        </w:tc>
        <w:tc>
          <w:tcPr>
            <w:tcW w:w="1046" w:type="dxa"/>
            <w:shd w:val="clear" w:color="auto" w:fill="D6D6D6"/>
            <w:vAlign w:val="center"/>
          </w:tcPr>
          <w:p>
            <w:pPr>
              <w:spacing w:before="100" w:beforeAutospacing="1" w:after="100" w:afterAutospacing="1"/>
              <w:jc w:val="center"/>
              <w:rPr>
                <w:rFonts w:hint="eastAsia" w:eastAsia="宋体"/>
                <w:b/>
                <w:bCs/>
                <w:szCs w:val="22"/>
                <w:lang w:eastAsia="zh-CN"/>
              </w:rPr>
            </w:pPr>
            <w:r>
              <w:rPr>
                <w:rFonts w:hint="eastAsia"/>
                <w:b/>
                <w:bCs/>
                <w:szCs w:val="22"/>
              </w:rPr>
              <w:t>交易</w:t>
            </w:r>
            <w:r>
              <w:rPr>
                <w:rFonts w:hint="eastAsia"/>
                <w:b/>
                <w:bCs/>
                <w:szCs w:val="22"/>
                <w:lang w:val="en-US" w:eastAsia="zh-CN"/>
              </w:rPr>
              <w:t>价格</w:t>
            </w:r>
          </w:p>
        </w:tc>
        <w:tc>
          <w:tcPr>
            <w:tcW w:w="1422" w:type="dxa"/>
            <w:shd w:val="clear" w:color="auto" w:fill="D6D6D6"/>
            <w:vAlign w:val="center"/>
          </w:tcPr>
          <w:p>
            <w:pPr>
              <w:spacing w:before="100" w:beforeAutospacing="1" w:after="100" w:afterAutospacing="1"/>
              <w:jc w:val="center"/>
              <w:rPr>
                <w:b/>
                <w:bCs/>
                <w:szCs w:val="22"/>
              </w:rPr>
            </w:pPr>
            <w:r>
              <w:rPr>
                <w:rFonts w:hint="eastAsia"/>
                <w:b/>
                <w:bCs/>
                <w:szCs w:val="22"/>
              </w:rPr>
              <w:t>关联方</w:t>
            </w:r>
          </w:p>
        </w:tc>
        <w:tc>
          <w:tcPr>
            <w:tcW w:w="1477" w:type="dxa"/>
            <w:shd w:val="clear" w:color="auto" w:fill="D6D6D6"/>
            <w:vAlign w:val="center"/>
          </w:tcPr>
          <w:p>
            <w:pPr>
              <w:spacing w:before="100" w:beforeAutospacing="1" w:after="100" w:afterAutospacing="1"/>
              <w:jc w:val="center"/>
              <w:rPr>
                <w:b/>
                <w:bCs/>
                <w:szCs w:val="22"/>
              </w:rPr>
            </w:pPr>
            <w:r>
              <w:rPr>
                <w:rFonts w:hint="eastAsia"/>
                <w:b/>
                <w:bCs/>
                <w:szCs w:val="22"/>
              </w:rPr>
              <w:t>关联方类别</w:t>
            </w:r>
          </w:p>
        </w:tc>
        <w:tc>
          <w:tcPr>
            <w:tcW w:w="1350" w:type="dxa"/>
            <w:shd w:val="clear" w:color="auto" w:fill="D6D6D6"/>
            <w:vAlign w:val="center"/>
          </w:tcPr>
          <w:p>
            <w:pPr>
              <w:spacing w:before="100" w:beforeAutospacing="1" w:after="100" w:afterAutospacing="1"/>
              <w:jc w:val="center"/>
              <w:rPr>
                <w:b/>
                <w:bCs/>
                <w:szCs w:val="22"/>
              </w:rPr>
            </w:pPr>
            <w:r>
              <w:rPr>
                <w:rFonts w:hint="eastAsia"/>
                <w:b/>
                <w:bCs/>
                <w:szCs w:val="22"/>
              </w:rPr>
              <w:t>关联方交易类型</w:t>
            </w:r>
          </w:p>
        </w:tc>
        <w:tc>
          <w:tcPr>
            <w:tcW w:w="624" w:type="dxa"/>
            <w:shd w:val="clear" w:color="auto" w:fill="D6D6D6"/>
            <w:vAlign w:val="center"/>
          </w:tcPr>
          <w:p>
            <w:pPr>
              <w:spacing w:before="100" w:beforeAutospacing="1" w:after="100" w:afterAutospacing="1"/>
              <w:jc w:val="center"/>
              <w:rPr>
                <w:b/>
                <w:bCs/>
                <w:szCs w:val="22"/>
              </w:rPr>
            </w:pPr>
            <w:r>
              <w:rPr>
                <w:rFonts w:hint="eastAsia"/>
                <w:b/>
                <w:bCs/>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54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color w:val="000000"/>
                <w:kern w:val="0"/>
                <w:sz w:val="20"/>
                <w:szCs w:val="20"/>
                <w:u w:val="none"/>
                <w:lang w:val="en-US" w:eastAsia="zh-CN" w:bidi="ar"/>
              </w:rPr>
              <w:t>1</w:t>
            </w:r>
          </w:p>
        </w:tc>
        <w:tc>
          <w:tcPr>
            <w:tcW w:w="12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0"/>
                <w:szCs w:val="20"/>
                <w:u w:val="none"/>
                <w:lang w:val="en-US" w:eastAsia="zh-CN" w:bidi="ar"/>
              </w:rPr>
              <w:t>2025-</w:t>
            </w:r>
            <w:r>
              <w:rPr>
                <w:rFonts w:hint="eastAsia" w:ascii="宋体" w:hAnsi="宋体" w:cs="宋体"/>
                <w:i w:val="0"/>
                <w:iCs w:val="0"/>
                <w:color w:val="000000"/>
                <w:kern w:val="0"/>
                <w:sz w:val="20"/>
                <w:szCs w:val="20"/>
                <w:u w:val="none"/>
                <w:lang w:val="en-US" w:eastAsia="zh-CN" w:bidi="ar"/>
              </w:rPr>
              <w:t>11-03</w:t>
            </w:r>
          </w:p>
        </w:tc>
        <w:tc>
          <w:tcPr>
            <w:tcW w:w="1129"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逆回购</w:t>
            </w:r>
          </w:p>
        </w:tc>
        <w:tc>
          <w:tcPr>
            <w:tcW w:w="1175"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3400</w:t>
            </w:r>
          </w:p>
        </w:tc>
        <w:tc>
          <w:tcPr>
            <w:tcW w:w="1046" w:type="dxa"/>
            <w:shd w:val="clear" w:color="auto" w:fill="auto"/>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cs="宋体"/>
                <w:i w:val="0"/>
                <w:iCs w:val="0"/>
                <w:color w:val="000000"/>
                <w:kern w:val="0"/>
                <w:sz w:val="20"/>
                <w:szCs w:val="20"/>
                <w:u w:val="none"/>
                <w:lang w:val="en-US" w:eastAsia="zh-CN" w:bidi="ar"/>
              </w:rPr>
              <w:t>1.40</w:t>
            </w:r>
            <w:bookmarkStart w:id="4" w:name="_GoBack"/>
            <w:bookmarkEnd w:id="4"/>
            <w:r>
              <w:rPr>
                <w:rFonts w:hint="eastAsia" w:ascii="宋体" w:hAnsi="宋体" w:cs="宋体"/>
                <w:i w:val="0"/>
                <w:iCs w:val="0"/>
                <w:color w:val="000000"/>
                <w:kern w:val="0"/>
                <w:sz w:val="20"/>
                <w:szCs w:val="20"/>
                <w:u w:val="none"/>
                <w:lang w:val="en-US" w:eastAsia="zh-CN" w:bidi="ar"/>
              </w:rPr>
              <w:t>%</w:t>
            </w:r>
          </w:p>
        </w:tc>
        <w:tc>
          <w:tcPr>
            <w:tcW w:w="1422"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招商证券资产管理有限公司</w:t>
            </w:r>
          </w:p>
        </w:tc>
        <w:tc>
          <w:tcPr>
            <w:tcW w:w="1477"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托管机构的关联法人</w:t>
            </w:r>
          </w:p>
        </w:tc>
        <w:tc>
          <w:tcPr>
            <w:tcW w:w="1350" w:type="dxa"/>
            <w:shd w:val="clear" w:color="auto" w:fill="auto"/>
            <w:vAlign w:val="center"/>
          </w:tcPr>
          <w:p>
            <w:pPr>
              <w:keepNext w:val="0"/>
              <w:keepLines w:val="0"/>
              <w:widowControl/>
              <w:suppressLineNumbers w:val="0"/>
              <w:jc w:val="center"/>
              <w:textAlignment w:val="center"/>
              <w:rPr>
                <w:rFonts w:hint="eastAsia" w:eastAsia="宋体"/>
                <w:lang w:eastAsia="zh-CN"/>
              </w:rPr>
            </w:pPr>
            <w:r>
              <w:rPr>
                <w:rFonts w:hint="eastAsia" w:ascii="宋体" w:hAnsi="宋体" w:eastAsia="宋体" w:cs="宋体"/>
                <w:i w:val="0"/>
                <w:iCs w:val="0"/>
                <w:color w:val="000000"/>
                <w:kern w:val="0"/>
                <w:sz w:val="20"/>
                <w:szCs w:val="20"/>
                <w:u w:val="none"/>
                <w:lang w:val="en-US" w:eastAsia="zh-CN" w:bidi="ar"/>
              </w:rPr>
              <w:t>与关联方产品户进行回购交易</w:t>
            </w:r>
          </w:p>
        </w:tc>
        <w:tc>
          <w:tcPr>
            <w:tcW w:w="624" w:type="dxa"/>
            <w:shd w:val="clear" w:color="auto" w:fill="auto"/>
            <w:vAlign w:val="center"/>
          </w:tcPr>
          <w:p>
            <w:pPr>
              <w:jc w:val="center"/>
              <w:rPr>
                <w:rFonts w:hint="eastAsia" w:eastAsia="宋体"/>
                <w:lang w:eastAsia="zh-CN"/>
              </w:rPr>
            </w:pPr>
          </w:p>
        </w:tc>
      </w:tr>
    </w:tbl>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18254AA"/>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0</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2026-01-22T09:35:49Z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