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融智理财添利系列-D540-14理财产品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融智理财添利系列-D540-14理财产品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54,004,000.00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[2%-2.9%]/年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100.71%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16.55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1,368,408.69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273,524.34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55,453,885.75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55,453,885.75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1.1655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42,654,305.97</w:t>
            </w:r>
          </w:p>
        </w:tc>
        <w:tc>
          <w:tcPr>
            <w:tcW w:w="1749" w:type="dxa"/>
            <w:shd w:val="clear" w:color="auto" w:fill="auto"/>
            <w:vAlign w:val="center"/>
          </w:tcPr>
          <w:p>
            <w:pPr>
              <w:jc w:val="right"/>
            </w:pPr>
            <w:r>
              <w:t>76.37</w:t>
            </w:r>
          </w:p>
        </w:tc>
        <w:tc>
          <w:tcPr>
            <w:tcW w:w="1653" w:type="dxa"/>
            <w:vAlign w:val="center"/>
          </w:tcPr>
          <w:p>
            <w:pPr>
              <w:jc w:val="right"/>
            </w:pPr>
            <w:r>
              <w:t>11,168,197.24</w:t>
            </w:r>
          </w:p>
        </w:tc>
        <w:tc>
          <w:tcPr>
            <w:tcW w:w="1705" w:type="dxa"/>
            <w:vAlign w:val="center"/>
          </w:tcPr>
          <w:p>
            <w:pPr>
              <w:jc w:val="right"/>
            </w:pPr>
            <w: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42,654,305.97</w:t>
            </w:r>
          </w:p>
        </w:tc>
        <w:tc>
          <w:tcPr>
            <w:tcW w:w="1749" w:type="dxa"/>
            <w:shd w:val="clear" w:color="auto" w:fill="auto"/>
            <w:vAlign w:val="center"/>
          </w:tcPr>
          <w:p>
            <w:pPr>
              <w:jc w:val="right"/>
            </w:pPr>
            <w:r>
              <w:t>76.37</w:t>
            </w:r>
          </w:p>
        </w:tc>
        <w:tc>
          <w:tcPr>
            <w:tcW w:w="1653" w:type="dxa"/>
            <w:vAlign w:val="center"/>
          </w:tcPr>
          <w:p>
            <w:pPr>
              <w:jc w:val="right"/>
            </w:pPr>
            <w:r>
              <w:t>11,168,197.24</w:t>
            </w:r>
          </w:p>
        </w:tc>
        <w:tc>
          <w:tcPr>
            <w:tcW w:w="1705" w:type="dxa"/>
            <w:vAlign w:val="center"/>
          </w:tcPr>
          <w:p>
            <w:pPr>
              <w:jc w:val="right"/>
            </w:pPr>
            <w: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1,000,065.32</w:t>
            </w:r>
          </w:p>
        </w:tc>
        <w:tc>
          <w:tcPr>
            <w:tcW w:w="1749" w:type="dxa"/>
            <w:shd w:val="clear" w:color="auto" w:fill="auto"/>
            <w:vAlign w:val="center"/>
          </w:tcPr>
          <w:p>
            <w:pPr>
              <w:jc w:val="right"/>
            </w:pPr>
            <w:r>
              <w:t>1.79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929,203.00</w:t>
            </w:r>
          </w:p>
        </w:tc>
        <w:tc>
          <w:tcPr>
            <w:tcW w:w="1749" w:type="dxa"/>
            <w:shd w:val="clear" w:color="auto" w:fill="auto"/>
            <w:vAlign w:val="center"/>
          </w:tcPr>
          <w:p>
            <w:pPr>
              <w:jc w:val="right"/>
            </w:pPr>
            <w:r>
              <w:t>1.66</w:t>
            </w:r>
          </w:p>
        </w:tc>
        <w:tc>
          <w:tcPr>
            <w:tcW w:w="1653" w:type="dxa"/>
            <w:vAlign w:val="center"/>
          </w:tcPr>
          <w:p>
            <w:pPr>
              <w:jc w:val="right"/>
            </w:pPr>
            <w:r>
              <w:t>104,447.48</w:t>
            </w:r>
          </w:p>
        </w:tc>
        <w:tc>
          <w:tcPr>
            <w:tcW w:w="1705" w:type="dxa"/>
            <w:vAlign w:val="center"/>
          </w:tcPr>
          <w:p>
            <w:pPr>
              <w:jc w:val="right"/>
            </w:pPr>
            <w: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11,265,703.92</w:t>
            </w:r>
          </w:p>
        </w:tc>
        <w:tc>
          <w:tcPr>
            <w:tcW w:w="1749" w:type="dxa"/>
            <w:shd w:val="clear" w:color="auto" w:fill="auto"/>
            <w:vAlign w:val="center"/>
          </w:tcPr>
          <w:p>
            <w:pPr>
              <w:jc w:val="right"/>
            </w:pPr>
            <w:r>
              <w:t>20.17</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1.93</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55,849,280.14</w:t>
            </w:r>
          </w:p>
        </w:tc>
        <w:tc>
          <w:tcPr>
            <w:tcW w:w="1749" w:type="dxa"/>
            <w:shd w:val="clear" w:color="auto" w:fill="auto"/>
          </w:tcPr>
          <w:p>
            <w:pPr>
              <w:jc w:val="right"/>
            </w:pPr>
            <w:r>
              <w:t>100.00</w:t>
            </w:r>
          </w:p>
        </w:tc>
        <w:tc>
          <w:tcPr>
            <w:tcW w:w="1653" w:type="dxa"/>
          </w:tcPr>
          <w:p>
            <w:pPr>
              <w:jc w:val="right"/>
            </w:pPr>
            <w:r>
              <w:t>11,272,644.72</w:t>
            </w:r>
          </w:p>
        </w:tc>
        <w:tc>
          <w:tcPr>
            <w:tcW w:w="1705" w:type="dxa"/>
          </w:tcPr>
          <w:p>
            <w:pPr>
              <w:jc w:val="right"/>
            </w:pPr>
            <w:r>
              <w:t>20.18</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7.35%；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中信证券湘稳1号集合资产管理计划</w:t>
            </w:r>
          </w:p>
        </w:tc>
        <w:tc>
          <w:tcPr>
            <w:tcW w:w="2693" w:type="dxa"/>
            <w:shd w:val="clear" w:color="auto" w:fill="auto"/>
            <w:vAlign w:val="center"/>
          </w:tcPr>
          <w:p>
            <w:pPr>
              <w:jc w:val="right"/>
            </w:pPr>
            <w:r>
              <w:t>11,265,703.92</w:t>
            </w:r>
          </w:p>
        </w:tc>
        <w:tc>
          <w:tcPr>
            <w:tcW w:w="2431" w:type="dxa"/>
            <w:shd w:val="clear" w:color="auto" w:fill="auto"/>
            <w:vAlign w:val="center"/>
          </w:tcPr>
          <w:p>
            <w:pPr>
              <w:jc w:val="right"/>
            </w:pPr>
            <w:r>
              <w:t>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23望城经开01</w:t>
            </w:r>
          </w:p>
        </w:tc>
        <w:tc>
          <w:tcPr>
            <w:tcW w:w="2693" w:type="dxa"/>
            <w:shd w:val="clear" w:color="auto" w:fill="auto"/>
            <w:vAlign w:val="center"/>
          </w:tcPr>
          <w:p>
            <w:pPr>
              <w:ind w:hanging="1"/>
              <w:jc w:val="right"/>
            </w:pPr>
            <w:r>
              <w:rPr>
                <w:b w:val="0"/>
                <w:i w:val="0"/>
                <w:strike w:val="0"/>
                <w:u w:val="none"/>
              </w:rPr>
              <w:t>4,801,412.47</w:t>
            </w:r>
          </w:p>
        </w:tc>
        <w:tc>
          <w:tcPr>
            <w:tcW w:w="2431" w:type="dxa"/>
            <w:shd w:val="clear" w:color="auto" w:fill="auto"/>
            <w:vAlign w:val="center"/>
          </w:tcPr>
          <w:p>
            <w:pPr>
              <w:ind w:hanging="1"/>
              <w:jc w:val="right"/>
            </w:pPr>
            <w:r>
              <w:rPr>
                <w:b w:val="0"/>
                <w:i w:val="0"/>
                <w:strike w:val="0"/>
                <w:u w:val="none"/>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3,892,601.73</w:t>
            </w:r>
          </w:p>
        </w:tc>
        <w:tc>
          <w:tcPr>
            <w:tcW w:w="2431" w:type="dxa"/>
            <w:shd w:val="clear" w:color="auto" w:fill="auto"/>
            <w:vAlign w:val="center"/>
          </w:tcPr>
          <w:p>
            <w:pPr>
              <w:ind w:hanging="1"/>
              <w:jc w:val="right"/>
            </w:pPr>
            <w:r>
              <w:rPr>
                <w:b w:val="0"/>
                <w:i w:val="0"/>
                <w:strike w:val="0"/>
                <w:u w:val="none"/>
              </w:rPr>
              <w:t>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3,677,167.12</w:t>
            </w:r>
          </w:p>
        </w:tc>
        <w:tc>
          <w:tcPr>
            <w:tcW w:w="2431" w:type="dxa"/>
            <w:shd w:val="clear" w:color="auto" w:fill="auto"/>
            <w:vAlign w:val="center"/>
          </w:tcPr>
          <w:p>
            <w:pPr>
              <w:ind w:hanging="1"/>
              <w:jc w:val="right"/>
            </w:pPr>
            <w:r>
              <w:rPr>
                <w:b w:val="0"/>
                <w:i w:val="0"/>
                <w:strike w:val="0"/>
                <w:u w:val="none"/>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3,673,513.70</w:t>
            </w:r>
          </w:p>
        </w:tc>
        <w:tc>
          <w:tcPr>
            <w:tcW w:w="2431" w:type="dxa"/>
            <w:shd w:val="clear" w:color="auto" w:fill="auto"/>
            <w:vAlign w:val="center"/>
          </w:tcPr>
          <w:p>
            <w:pPr>
              <w:ind w:hanging="1"/>
              <w:jc w:val="right"/>
            </w:pPr>
            <w:r>
              <w:rPr>
                <w:b w:val="0"/>
                <w:i w:val="0"/>
                <w:strike w:val="0"/>
                <w:u w:val="none"/>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3,665,038.69</w:t>
            </w:r>
          </w:p>
        </w:tc>
        <w:tc>
          <w:tcPr>
            <w:tcW w:w="2431" w:type="dxa"/>
            <w:shd w:val="clear" w:color="auto" w:fill="auto"/>
            <w:vAlign w:val="center"/>
          </w:tcPr>
          <w:p>
            <w:pPr>
              <w:ind w:hanging="1"/>
              <w:jc w:val="right"/>
            </w:pPr>
            <w:r>
              <w:rPr>
                <w:b w:val="0"/>
                <w:i w:val="0"/>
                <w:strike w:val="0"/>
                <w:u w:val="none"/>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3,517,276.71</w:t>
            </w:r>
          </w:p>
        </w:tc>
        <w:tc>
          <w:tcPr>
            <w:tcW w:w="2431" w:type="dxa"/>
            <w:shd w:val="clear" w:color="auto" w:fill="auto"/>
            <w:vAlign w:val="center"/>
          </w:tcPr>
          <w:p>
            <w:pPr>
              <w:ind w:hanging="1"/>
              <w:jc w:val="right"/>
            </w:pPr>
            <w:r>
              <w:rPr>
                <w:b w:val="0"/>
                <w:i w:val="0"/>
                <w:strike w:val="0"/>
                <w:u w:val="none"/>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3,145,986.16</w:t>
            </w:r>
          </w:p>
        </w:tc>
        <w:tc>
          <w:tcPr>
            <w:tcW w:w="2431" w:type="dxa"/>
            <w:shd w:val="clear" w:color="auto" w:fill="auto"/>
            <w:vAlign w:val="center"/>
          </w:tcPr>
          <w:p>
            <w:pPr>
              <w:ind w:hanging="1"/>
              <w:jc w:val="right"/>
            </w:pPr>
            <w:r>
              <w:rPr>
                <w:b w:val="0"/>
                <w:i w:val="0"/>
                <w:strike w:val="0"/>
                <w:u w:val="none"/>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24洞庭01</w:t>
            </w:r>
          </w:p>
        </w:tc>
        <w:tc>
          <w:tcPr>
            <w:tcW w:w="2693" w:type="dxa"/>
            <w:shd w:val="clear" w:color="auto" w:fill="auto"/>
            <w:vAlign w:val="center"/>
          </w:tcPr>
          <w:p>
            <w:pPr>
              <w:ind w:hanging="1"/>
              <w:jc w:val="right"/>
            </w:pPr>
            <w:r>
              <w:rPr>
                <w:b w:val="0"/>
                <w:i w:val="0"/>
                <w:strike w:val="0"/>
                <w:u w:val="none"/>
              </w:rPr>
              <w:t>3,119,498.63</w:t>
            </w:r>
          </w:p>
        </w:tc>
        <w:tc>
          <w:tcPr>
            <w:tcW w:w="2431" w:type="dxa"/>
            <w:shd w:val="clear" w:color="auto" w:fill="auto"/>
            <w:vAlign w:val="center"/>
          </w:tcPr>
          <w:p>
            <w:pPr>
              <w:ind w:hanging="1"/>
              <w:jc w:val="right"/>
            </w:pPr>
            <w:r>
              <w:rPr>
                <w:b w:val="0"/>
                <w:i w:val="0"/>
                <w:strike w:val="0"/>
                <w:u w:val="none"/>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2,079,157.26</w:t>
            </w:r>
          </w:p>
        </w:tc>
        <w:tc>
          <w:tcPr>
            <w:tcW w:w="2431" w:type="dxa"/>
            <w:shd w:val="clear" w:color="auto" w:fill="auto"/>
            <w:vAlign w:val="center"/>
          </w:tcPr>
          <w:p>
            <w:pPr>
              <w:ind w:hanging="1"/>
              <w:jc w:val="right"/>
            </w:pPr>
            <w:r>
              <w:rPr>
                <w:b w:val="0"/>
                <w:i w:val="0"/>
                <w:strike w:val="0"/>
                <w:u w:val="none"/>
              </w:rPr>
              <w:t>3.75</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23望城经开01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4,801,412.47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8.66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3,892,601.73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3,677,167.12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3,673,513.70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3,665,038.69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w:t>
            </w:r>
            <w:bookmarkStart w:id="2" w:name="_GoBack"/>
            <w:bookmarkEnd w:id="2"/>
            <w:r>
              <w:rPr>
                <w:b w:val="0"/>
                <w:i w:val="0"/>
                <w:strike w:val="0"/>
                <w:u w:val="none"/>
              </w:rPr>
              <w:t>17,276.71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3,145,986.16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24洞庭01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3,119,498.63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2,723,304.81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2,627,064.75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4.74</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731903861410119</w:t>
            </w:r>
          </w:p>
        </w:tc>
        <w:tc>
          <w:tcPr>
            <w:tcW w:w="2693" w:type="dxa"/>
            <w:shd w:val="clear" w:color="auto" w:fill="auto"/>
            <w:vAlign w:val="center"/>
          </w:tcPr>
          <w:p>
            <w:pPr>
              <w:spacing w:before="100" w:beforeAutospacing="1" w:after="100" w:afterAutospacing="1"/>
            </w:pPr>
            <w:r>
              <w:t>湖南银行股份有限公司-融智理财添利系列-D540-14理财产品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227533C"/>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2026-01-23T03:27:05Z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