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融智理财添利系列-D540-11理财产品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融智理财添利系列-D540-11理财产品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76,309,000.00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100.09%</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17.69</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559,072.26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531,695.28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76,397,019.84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76,397,019.84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1.1769</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68,224,995.19</w:t>
            </w:r>
          </w:p>
        </w:tc>
        <w:tc>
          <w:tcPr>
            <w:tcW w:w="1749" w:type="dxa"/>
            <w:shd w:val="clear" w:color="auto" w:fill="auto"/>
            <w:vAlign w:val="center"/>
          </w:tcPr>
          <w:p>
            <w:pPr>
              <w:jc w:val="right"/>
            </w:pPr>
            <w:r>
              <w:t>89.22</w:t>
            </w:r>
          </w:p>
        </w:tc>
        <w:tc>
          <w:tcPr>
            <w:tcW w:w="1653" w:type="dxa"/>
            <w:vAlign w:val="center"/>
          </w:tcPr>
          <w:p>
            <w:pPr>
              <w:jc w:val="right"/>
            </w:pPr>
            <w:r>
              <w:t>7,892,377.50</w:t>
            </w:r>
          </w:p>
        </w:tc>
        <w:tc>
          <w:tcPr>
            <w:tcW w:w="1705" w:type="dxa"/>
            <w:vAlign w:val="center"/>
          </w:tcPr>
          <w:p>
            <w:pPr>
              <w:jc w:val="right"/>
            </w:pPr>
            <w: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68,224,995.19</w:t>
            </w:r>
          </w:p>
        </w:tc>
        <w:tc>
          <w:tcPr>
            <w:tcW w:w="1749" w:type="dxa"/>
            <w:shd w:val="clear" w:color="auto" w:fill="auto"/>
            <w:vAlign w:val="center"/>
          </w:tcPr>
          <w:p>
            <w:pPr>
              <w:jc w:val="right"/>
            </w:pPr>
            <w:r>
              <w:t>89.22</w:t>
            </w:r>
          </w:p>
        </w:tc>
        <w:tc>
          <w:tcPr>
            <w:tcW w:w="1653" w:type="dxa"/>
            <w:vAlign w:val="center"/>
          </w:tcPr>
          <w:p>
            <w:pPr>
              <w:jc w:val="right"/>
            </w:pPr>
            <w:r>
              <w:t>7,892,377.50</w:t>
            </w:r>
          </w:p>
        </w:tc>
        <w:tc>
          <w:tcPr>
            <w:tcW w:w="1705" w:type="dxa"/>
            <w:vAlign w:val="center"/>
          </w:tcPr>
          <w:p>
            <w:pPr>
              <w:jc w:val="right"/>
            </w:pPr>
            <w: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280,402.30</w:t>
            </w:r>
          </w:p>
        </w:tc>
        <w:tc>
          <w:tcPr>
            <w:tcW w:w="1749" w:type="dxa"/>
            <w:shd w:val="clear" w:color="auto" w:fill="auto"/>
            <w:vAlign w:val="center"/>
          </w:tcPr>
          <w:p>
            <w:pPr>
              <w:jc w:val="right"/>
            </w:pPr>
            <w:r>
              <w:t>0.37</w:t>
            </w:r>
          </w:p>
        </w:tc>
        <w:tc>
          <w:tcPr>
            <w:tcW w:w="1653" w:type="dxa"/>
            <w:vAlign w:val="center"/>
          </w:tcPr>
          <w:p>
            <w:pPr>
              <w:jc w:val="right"/>
            </w:pPr>
            <w:r>
              <w:t>73,811.28</w:t>
            </w:r>
          </w:p>
        </w:tc>
        <w:tc>
          <w:tcPr>
            <w:tcW w:w="1705" w:type="dxa"/>
            <w:vAlign w:val="center"/>
          </w:tcPr>
          <w:p>
            <w:pPr>
              <w:jc w:val="right"/>
            </w:pPr>
            <w: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7,961,283.83</w:t>
            </w:r>
          </w:p>
        </w:tc>
        <w:tc>
          <w:tcPr>
            <w:tcW w:w="1749" w:type="dxa"/>
            <w:shd w:val="clear" w:color="auto" w:fill="auto"/>
            <w:vAlign w:val="center"/>
          </w:tcPr>
          <w:p>
            <w:pPr>
              <w:jc w:val="right"/>
            </w:pPr>
            <w:r>
              <w:t>10.41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76,466,681.32</w:t>
            </w:r>
          </w:p>
        </w:tc>
        <w:tc>
          <w:tcPr>
            <w:tcW w:w="1749" w:type="dxa"/>
            <w:shd w:val="clear" w:color="auto" w:fill="auto"/>
          </w:tcPr>
          <w:p>
            <w:pPr>
              <w:jc w:val="right"/>
            </w:pPr>
            <w:r>
              <w:t>100.00</w:t>
            </w:r>
          </w:p>
        </w:tc>
        <w:tc>
          <w:tcPr>
            <w:tcW w:w="1653" w:type="dxa"/>
          </w:tcPr>
          <w:p>
            <w:pPr>
              <w:jc w:val="right"/>
            </w:pPr>
            <w:r>
              <w:t>7,966,188.78</w:t>
            </w:r>
          </w:p>
        </w:tc>
        <w:tc>
          <w:tcPr>
            <w:tcW w:w="1705" w:type="dxa"/>
          </w:tcPr>
          <w:p>
            <w:pPr>
              <w:jc w:val="right"/>
            </w:pPr>
            <w:r>
              <w:t>10.42</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5.90%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7,961,283.83</w:t>
            </w:r>
          </w:p>
        </w:tc>
        <w:tc>
          <w:tcPr>
            <w:tcW w:w="2431" w:type="dxa"/>
            <w:shd w:val="clear" w:color="auto" w:fill="auto"/>
            <w:vAlign w:val="center"/>
          </w:tcPr>
          <w:p>
            <w:pPr>
              <w:jc w:val="right"/>
            </w:pPr>
            <w:r>
              <w:t>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6,852,620.82</w:t>
            </w:r>
          </w:p>
        </w:tc>
        <w:tc>
          <w:tcPr>
            <w:tcW w:w="2431" w:type="dxa"/>
            <w:shd w:val="clear" w:color="auto" w:fill="auto"/>
            <w:vAlign w:val="center"/>
          </w:tcPr>
          <w:p>
            <w:pPr>
              <w:ind w:hanging="1"/>
              <w:jc w:val="right"/>
            </w:pPr>
            <w:r>
              <w:rPr>
                <w:b w:val="0"/>
                <w:i w:val="0"/>
                <w:strike w:val="0"/>
                <w:u w:val="none"/>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6,827,654.79</w:t>
            </w:r>
          </w:p>
        </w:tc>
        <w:tc>
          <w:tcPr>
            <w:tcW w:w="2431" w:type="dxa"/>
            <w:shd w:val="clear" w:color="auto" w:fill="auto"/>
            <w:vAlign w:val="center"/>
          </w:tcPr>
          <w:p>
            <w:pPr>
              <w:ind w:hanging="1"/>
              <w:jc w:val="right"/>
            </w:pPr>
            <w:r>
              <w:rPr>
                <w:b w:val="0"/>
                <w:i w:val="0"/>
                <w:strike w:val="0"/>
                <w:u w:val="none"/>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6,819,443.67</w:t>
            </w:r>
          </w:p>
        </w:tc>
        <w:tc>
          <w:tcPr>
            <w:tcW w:w="2431" w:type="dxa"/>
            <w:shd w:val="clear" w:color="auto" w:fill="auto"/>
            <w:vAlign w:val="center"/>
          </w:tcPr>
          <w:p>
            <w:pPr>
              <w:ind w:hanging="1"/>
              <w:jc w:val="right"/>
            </w:pPr>
            <w:r>
              <w:rPr>
                <w:b w:val="0"/>
                <w:i w:val="0"/>
                <w:strike w:val="0"/>
                <w:u w:val="none"/>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6,727,309.15</w:t>
            </w:r>
          </w:p>
        </w:tc>
        <w:tc>
          <w:tcPr>
            <w:tcW w:w="2431" w:type="dxa"/>
            <w:shd w:val="clear" w:color="auto" w:fill="auto"/>
            <w:vAlign w:val="center"/>
          </w:tcPr>
          <w:p>
            <w:pPr>
              <w:ind w:hanging="1"/>
              <w:jc w:val="right"/>
            </w:pPr>
            <w:r>
              <w:rPr>
                <w:b w:val="0"/>
                <w:i w:val="0"/>
                <w:strike w:val="0"/>
                <w:u w:val="none"/>
              </w:rPr>
              <w:t>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6,067,250.96</w:t>
            </w:r>
          </w:p>
        </w:tc>
        <w:tc>
          <w:tcPr>
            <w:tcW w:w="2431" w:type="dxa"/>
            <w:shd w:val="clear" w:color="auto" w:fill="auto"/>
            <w:vAlign w:val="center"/>
          </w:tcPr>
          <w:p>
            <w:pPr>
              <w:ind w:hanging="1"/>
              <w:jc w:val="right"/>
            </w:pPr>
            <w:r>
              <w:rPr>
                <w:b w:val="0"/>
                <w:i w:val="0"/>
                <w:strike w:val="0"/>
                <w:u w:val="none"/>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25特YK02</w:t>
            </w:r>
          </w:p>
        </w:tc>
        <w:tc>
          <w:tcPr>
            <w:tcW w:w="2693" w:type="dxa"/>
            <w:shd w:val="clear" w:color="auto" w:fill="auto"/>
            <w:vAlign w:val="center"/>
          </w:tcPr>
          <w:p>
            <w:pPr>
              <w:ind w:hanging="1"/>
              <w:jc w:val="right"/>
            </w:pPr>
            <w:r>
              <w:rPr>
                <w:b w:val="0"/>
                <w:i w:val="0"/>
                <w:strike w:val="0"/>
                <w:u w:val="none"/>
              </w:rPr>
              <w:t>6,050,432.88</w:t>
            </w:r>
          </w:p>
        </w:tc>
        <w:tc>
          <w:tcPr>
            <w:tcW w:w="2431" w:type="dxa"/>
            <w:shd w:val="clear" w:color="auto" w:fill="auto"/>
            <w:vAlign w:val="center"/>
          </w:tcPr>
          <w:p>
            <w:pPr>
              <w:ind w:hanging="1"/>
              <w:jc w:val="right"/>
            </w:pPr>
            <w:r>
              <w:rPr>
                <w:b w:val="0"/>
                <w:i w:val="0"/>
                <w:strike w:val="0"/>
                <w:u w:val="none"/>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5,049,861.70</w:t>
            </w:r>
          </w:p>
        </w:tc>
        <w:tc>
          <w:tcPr>
            <w:tcW w:w="2431" w:type="dxa"/>
            <w:shd w:val="clear" w:color="auto" w:fill="auto"/>
            <w:vAlign w:val="center"/>
          </w:tcPr>
          <w:p>
            <w:pPr>
              <w:ind w:hanging="1"/>
              <w:jc w:val="right"/>
            </w:pPr>
            <w:r>
              <w:rPr>
                <w:b w:val="0"/>
                <w:i w:val="0"/>
                <w:strike w:val="0"/>
                <w:u w:val="none"/>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4,723,089.04</w:t>
            </w:r>
          </w:p>
        </w:tc>
        <w:tc>
          <w:tcPr>
            <w:tcW w:w="2431" w:type="dxa"/>
            <w:shd w:val="clear" w:color="auto" w:fill="auto"/>
            <w:vAlign w:val="center"/>
          </w:tcPr>
          <w:p>
            <w:pPr>
              <w:ind w:hanging="1"/>
              <w:jc w:val="right"/>
            </w:pPr>
            <w:r>
              <w:rPr>
                <w:b w:val="0"/>
                <w:i w:val="0"/>
                <w:strike w:val="0"/>
                <w:u w:val="none"/>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24株金01</w:t>
            </w:r>
          </w:p>
        </w:tc>
        <w:tc>
          <w:tcPr>
            <w:tcW w:w="2693" w:type="dxa"/>
            <w:shd w:val="clear" w:color="auto" w:fill="auto"/>
            <w:vAlign w:val="center"/>
          </w:tcPr>
          <w:p>
            <w:pPr>
              <w:ind w:hanging="1"/>
              <w:jc w:val="right"/>
            </w:pPr>
            <w:r>
              <w:rPr>
                <w:b w:val="0"/>
                <w:i w:val="0"/>
                <w:strike w:val="0"/>
                <w:u w:val="none"/>
              </w:rPr>
              <w:t>4,641,311.67</w:t>
            </w:r>
          </w:p>
        </w:tc>
        <w:tc>
          <w:tcPr>
            <w:tcW w:w="2431" w:type="dxa"/>
            <w:shd w:val="clear" w:color="auto" w:fill="auto"/>
            <w:vAlign w:val="center"/>
          </w:tcPr>
          <w:p>
            <w:pPr>
              <w:ind w:hanging="1"/>
              <w:jc w:val="right"/>
            </w:pPr>
            <w:r>
              <w:rPr>
                <w:b w:val="0"/>
                <w:i w:val="0"/>
                <w:strike w:val="0"/>
                <w:u w:val="none"/>
              </w:rPr>
              <w:t>6.08</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24湘担Y1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6,852,620.82</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8.97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6,827,654.79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6,819,443.67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6,727,309.15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6,067,250.96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25特YK02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6,050,432.88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5,049,861.70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4,723,089.04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4,641,311.67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3,924,821.10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5.14</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731903861410339</w:t>
            </w:r>
          </w:p>
        </w:tc>
        <w:tc>
          <w:tcPr>
            <w:tcW w:w="2693" w:type="dxa"/>
            <w:shd w:val="clear" w:color="auto" w:fill="auto"/>
            <w:vAlign w:val="center"/>
          </w:tcPr>
          <w:p>
            <w:pPr>
              <w:spacing w:before="100" w:beforeAutospacing="1" w:after="100" w:afterAutospacing="1"/>
            </w:pPr>
            <w:r>
              <w:t>湖南银行股份有限公司-融智理财添利系列-D540-11理财产品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877024E"/>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2026-01-23T02:59:05Z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