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融智理财添利系列-D540-16理财产品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融智理财添利系列-D540-16理财产品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30,063,000.00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[2%-3.7%]/年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100.64%</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16.44</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267,066.17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220,888.65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30,802,503.72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30,802,503.72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1.1644</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29,342,898.52</w:t>
            </w:r>
          </w:p>
        </w:tc>
        <w:tc>
          <w:tcPr>
            <w:tcW w:w="1749" w:type="dxa"/>
            <w:shd w:val="clear" w:color="auto" w:fill="auto"/>
            <w:vAlign w:val="center"/>
          </w:tcPr>
          <w:p>
            <w:pPr>
              <w:jc w:val="right"/>
            </w:pPr>
            <w:r>
              <w:t>94.65</w:t>
            </w:r>
          </w:p>
        </w:tc>
        <w:tc>
          <w:tcPr>
            <w:tcW w:w="1653" w:type="dxa"/>
            <w:vAlign w:val="center"/>
          </w:tcPr>
          <w:p>
            <w:pPr>
              <w:jc w:val="right"/>
            </w:pPr>
            <w:r>
              <w:t>1,093,149.30</w:t>
            </w:r>
          </w:p>
        </w:tc>
        <w:tc>
          <w:tcPr>
            <w:tcW w:w="1705" w:type="dxa"/>
            <w:vAlign w:val="center"/>
          </w:tcPr>
          <w:p>
            <w:pPr>
              <w:jc w:val="right"/>
            </w:pPr>
            <w: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29,342,898.52</w:t>
            </w:r>
          </w:p>
        </w:tc>
        <w:tc>
          <w:tcPr>
            <w:tcW w:w="1749" w:type="dxa"/>
            <w:shd w:val="clear" w:color="auto" w:fill="auto"/>
            <w:vAlign w:val="center"/>
          </w:tcPr>
          <w:p>
            <w:pPr>
              <w:jc w:val="right"/>
            </w:pPr>
            <w:r>
              <w:t>94.65</w:t>
            </w:r>
          </w:p>
        </w:tc>
        <w:tc>
          <w:tcPr>
            <w:tcW w:w="1653" w:type="dxa"/>
            <w:vAlign w:val="center"/>
          </w:tcPr>
          <w:p>
            <w:pPr>
              <w:jc w:val="right"/>
            </w:pPr>
            <w:r>
              <w:t>1,093,149.30</w:t>
            </w:r>
          </w:p>
        </w:tc>
        <w:tc>
          <w:tcPr>
            <w:tcW w:w="1705" w:type="dxa"/>
            <w:vAlign w:val="center"/>
          </w:tcPr>
          <w:p>
            <w:pPr>
              <w:jc w:val="right"/>
            </w:pPr>
            <w: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524,946.36</w:t>
            </w:r>
          </w:p>
        </w:tc>
        <w:tc>
          <w:tcPr>
            <w:tcW w:w="1749" w:type="dxa"/>
            <w:shd w:val="clear" w:color="auto" w:fill="auto"/>
            <w:vAlign w:val="center"/>
          </w:tcPr>
          <w:p>
            <w:pPr>
              <w:jc w:val="right"/>
            </w:pPr>
            <w:r>
              <w:t>1.69</w:t>
            </w:r>
          </w:p>
        </w:tc>
        <w:tc>
          <w:tcPr>
            <w:tcW w:w="1653" w:type="dxa"/>
            <w:vAlign w:val="center"/>
          </w:tcPr>
          <w:p>
            <w:pPr>
              <w:jc w:val="right"/>
            </w:pPr>
            <w:r>
              <w:t>15,894.19</w:t>
            </w:r>
          </w:p>
        </w:tc>
        <w:tc>
          <w:tcPr>
            <w:tcW w:w="1705" w:type="dxa"/>
            <w:vAlign w:val="center"/>
          </w:tcPr>
          <w:p>
            <w:pPr>
              <w:jc w:val="right"/>
            </w:pPr>
            <w: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1,132,356.62</w:t>
            </w:r>
          </w:p>
        </w:tc>
        <w:tc>
          <w:tcPr>
            <w:tcW w:w="1749" w:type="dxa"/>
            <w:shd w:val="clear" w:color="auto" w:fill="auto"/>
            <w:vAlign w:val="center"/>
          </w:tcPr>
          <w:p>
            <w:pPr>
              <w:jc w:val="right"/>
            </w:pPr>
            <w:r>
              <w:t>3.65</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23,870.97</w:t>
            </w:r>
          </w:p>
        </w:tc>
        <w:tc>
          <w:tcPr>
            <w:tcW w:w="1705" w:type="dxa"/>
            <w:vAlign w:val="center"/>
          </w:tcPr>
          <w:p>
            <w:pPr>
              <w:jc w:val="right"/>
            </w:pPr>
            <w: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31,000,201.50</w:t>
            </w:r>
          </w:p>
        </w:tc>
        <w:tc>
          <w:tcPr>
            <w:tcW w:w="1749" w:type="dxa"/>
            <w:shd w:val="clear" w:color="auto" w:fill="auto"/>
          </w:tcPr>
          <w:p>
            <w:pPr>
              <w:jc w:val="right"/>
            </w:pPr>
            <w:r>
              <w:t>100.00</w:t>
            </w:r>
          </w:p>
        </w:tc>
        <w:tc>
          <w:tcPr>
            <w:tcW w:w="1653" w:type="dxa"/>
          </w:tcPr>
          <w:p>
            <w:pPr>
              <w:jc w:val="right"/>
            </w:pPr>
            <w:r>
              <w:t>1,132,914.46</w:t>
            </w:r>
          </w:p>
        </w:tc>
        <w:tc>
          <w:tcPr>
            <w:tcW w:w="1705" w:type="dxa"/>
          </w:tcPr>
          <w:p>
            <w:pPr>
              <w:jc w:val="right"/>
            </w:pPr>
            <w:r>
              <w:t>3.65</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7.31%；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21岳阳交投01</w:t>
            </w:r>
          </w:p>
        </w:tc>
        <w:tc>
          <w:tcPr>
            <w:tcW w:w="2693" w:type="dxa"/>
            <w:shd w:val="clear" w:color="auto" w:fill="auto"/>
            <w:vAlign w:val="center"/>
          </w:tcPr>
          <w:p>
            <w:pPr>
              <w:jc w:val="right"/>
            </w:pPr>
            <w:r>
              <w:t>2,796,174.25</w:t>
            </w:r>
          </w:p>
        </w:tc>
        <w:tc>
          <w:tcPr>
            <w:tcW w:w="2431" w:type="dxa"/>
            <w:shd w:val="clear" w:color="auto" w:fill="auto"/>
            <w:vAlign w:val="center"/>
          </w:tcPr>
          <w:p>
            <w:pPr>
              <w:jc w:val="right"/>
            </w:pPr>
            <w:r>
              <w:t>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21邵阳城投PPN001</w:t>
            </w:r>
          </w:p>
        </w:tc>
        <w:tc>
          <w:tcPr>
            <w:tcW w:w="2693" w:type="dxa"/>
            <w:shd w:val="clear" w:color="auto" w:fill="auto"/>
            <w:vAlign w:val="center"/>
          </w:tcPr>
          <w:p>
            <w:pPr>
              <w:ind w:hanging="1"/>
              <w:jc w:val="right"/>
            </w:pPr>
            <w:r>
              <w:rPr>
                <w:b w:val="0"/>
                <w:i w:val="0"/>
                <w:strike w:val="0"/>
                <w:u w:val="none"/>
              </w:rPr>
              <w:t>2,735,414.38</w:t>
            </w:r>
          </w:p>
        </w:tc>
        <w:tc>
          <w:tcPr>
            <w:tcW w:w="2431" w:type="dxa"/>
            <w:shd w:val="clear" w:color="auto" w:fill="auto"/>
            <w:vAlign w:val="center"/>
          </w:tcPr>
          <w:p>
            <w:pPr>
              <w:ind w:hanging="1"/>
              <w:jc w:val="right"/>
            </w:pPr>
            <w:r>
              <w:rPr>
                <w:b w:val="0"/>
                <w:i w:val="0"/>
                <w:strike w:val="0"/>
                <w:u w:val="none"/>
              </w:rPr>
              <w:t>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24浏城01</w:t>
            </w:r>
          </w:p>
        </w:tc>
        <w:tc>
          <w:tcPr>
            <w:tcW w:w="2693" w:type="dxa"/>
            <w:shd w:val="clear" w:color="auto" w:fill="auto"/>
            <w:vAlign w:val="center"/>
          </w:tcPr>
          <w:p>
            <w:pPr>
              <w:ind w:hanging="1"/>
              <w:jc w:val="right"/>
            </w:pPr>
            <w:r>
              <w:rPr>
                <w:b w:val="0"/>
                <w:i w:val="0"/>
                <w:strike w:val="0"/>
                <w:u w:val="none"/>
              </w:rPr>
              <w:t>2,689,682.19</w:t>
            </w:r>
          </w:p>
        </w:tc>
        <w:tc>
          <w:tcPr>
            <w:tcW w:w="2431" w:type="dxa"/>
            <w:shd w:val="clear" w:color="auto" w:fill="auto"/>
            <w:vAlign w:val="center"/>
          </w:tcPr>
          <w:p>
            <w:pPr>
              <w:ind w:hanging="1"/>
              <w:jc w:val="right"/>
            </w:pPr>
            <w:r>
              <w:rPr>
                <w:b w:val="0"/>
                <w:i w:val="0"/>
                <w:strike w:val="0"/>
                <w:u w:val="none"/>
              </w:rPr>
              <w:t>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24惠临02</w:t>
            </w:r>
          </w:p>
        </w:tc>
        <w:tc>
          <w:tcPr>
            <w:tcW w:w="2693" w:type="dxa"/>
            <w:shd w:val="clear" w:color="auto" w:fill="auto"/>
            <w:vAlign w:val="center"/>
          </w:tcPr>
          <w:p>
            <w:pPr>
              <w:ind w:hanging="1"/>
              <w:jc w:val="right"/>
            </w:pPr>
            <w:r>
              <w:rPr>
                <w:b w:val="0"/>
                <w:i w:val="0"/>
                <w:strike w:val="0"/>
                <w:u w:val="none"/>
              </w:rPr>
              <w:t>2,606,949.32</w:t>
            </w:r>
          </w:p>
        </w:tc>
        <w:tc>
          <w:tcPr>
            <w:tcW w:w="2431" w:type="dxa"/>
            <w:shd w:val="clear" w:color="auto" w:fill="auto"/>
            <w:vAlign w:val="center"/>
          </w:tcPr>
          <w:p>
            <w:pPr>
              <w:ind w:hanging="1"/>
              <w:jc w:val="right"/>
            </w:pPr>
            <w:r>
              <w:rPr>
                <w:b w:val="0"/>
                <w:i w:val="0"/>
                <w:strike w:val="0"/>
                <w:u w:val="none"/>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2,471,398.36</w:t>
            </w:r>
          </w:p>
        </w:tc>
        <w:tc>
          <w:tcPr>
            <w:tcW w:w="2431" w:type="dxa"/>
            <w:shd w:val="clear" w:color="auto" w:fill="auto"/>
            <w:vAlign w:val="center"/>
          </w:tcPr>
          <w:p>
            <w:pPr>
              <w:ind w:hanging="1"/>
              <w:jc w:val="right"/>
            </w:pPr>
            <w:r>
              <w:rPr>
                <w:b w:val="0"/>
                <w:i w:val="0"/>
                <w:strike w:val="0"/>
                <w:u w:val="none"/>
              </w:rPr>
              <w:t>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24株洲金城PPN001</w:t>
            </w:r>
          </w:p>
        </w:tc>
        <w:tc>
          <w:tcPr>
            <w:tcW w:w="2693" w:type="dxa"/>
            <w:shd w:val="clear" w:color="auto" w:fill="auto"/>
            <w:vAlign w:val="center"/>
          </w:tcPr>
          <w:p>
            <w:pPr>
              <w:ind w:hanging="1"/>
              <w:jc w:val="right"/>
            </w:pPr>
            <w:r>
              <w:rPr>
                <w:b w:val="0"/>
                <w:i w:val="0"/>
                <w:strike w:val="0"/>
                <w:u w:val="none"/>
              </w:rPr>
              <w:t>2,392,388.49</w:t>
            </w:r>
          </w:p>
        </w:tc>
        <w:tc>
          <w:tcPr>
            <w:tcW w:w="2431" w:type="dxa"/>
            <w:shd w:val="clear" w:color="auto" w:fill="auto"/>
            <w:vAlign w:val="center"/>
          </w:tcPr>
          <w:p>
            <w:pPr>
              <w:ind w:hanging="1"/>
              <w:jc w:val="right"/>
            </w:pPr>
            <w:r>
              <w:rPr>
                <w:b w:val="0"/>
                <w:i w:val="0"/>
                <w:strike w:val="0"/>
                <w:u w:val="none"/>
              </w:rPr>
              <w:t>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23郴发01</w:t>
            </w:r>
          </w:p>
        </w:tc>
        <w:tc>
          <w:tcPr>
            <w:tcW w:w="2693" w:type="dxa"/>
            <w:shd w:val="clear" w:color="auto" w:fill="auto"/>
            <w:vAlign w:val="center"/>
          </w:tcPr>
          <w:p>
            <w:pPr>
              <w:ind w:hanging="1"/>
              <w:jc w:val="right"/>
            </w:pPr>
            <w:r>
              <w:rPr>
                <w:b w:val="0"/>
                <w:i w:val="0"/>
                <w:strike w:val="0"/>
                <w:u w:val="none"/>
              </w:rPr>
              <w:t>2,273,147.89</w:t>
            </w:r>
          </w:p>
        </w:tc>
        <w:tc>
          <w:tcPr>
            <w:tcW w:w="2431" w:type="dxa"/>
            <w:shd w:val="clear" w:color="auto" w:fill="auto"/>
            <w:vAlign w:val="center"/>
          </w:tcPr>
          <w:p>
            <w:pPr>
              <w:ind w:hanging="1"/>
              <w:jc w:val="right"/>
            </w:pPr>
            <w:r>
              <w:rPr>
                <w:b w:val="0"/>
                <w:i w:val="0"/>
                <w:strike w:val="0"/>
                <w:u w:val="none"/>
              </w:rPr>
              <w:t>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24洞庭01</w:t>
            </w:r>
          </w:p>
        </w:tc>
        <w:tc>
          <w:tcPr>
            <w:tcW w:w="2693" w:type="dxa"/>
            <w:shd w:val="clear" w:color="auto" w:fill="auto"/>
            <w:vAlign w:val="center"/>
          </w:tcPr>
          <w:p>
            <w:pPr>
              <w:ind w:hanging="1"/>
              <w:jc w:val="right"/>
            </w:pPr>
            <w:r>
              <w:rPr>
                <w:b w:val="0"/>
                <w:i w:val="0"/>
                <w:strike w:val="0"/>
                <w:u w:val="none"/>
              </w:rPr>
              <w:t>2,079,665.75</w:t>
            </w:r>
          </w:p>
        </w:tc>
        <w:tc>
          <w:tcPr>
            <w:tcW w:w="2431" w:type="dxa"/>
            <w:shd w:val="clear" w:color="auto" w:fill="auto"/>
            <w:vAlign w:val="center"/>
          </w:tcPr>
          <w:p>
            <w:pPr>
              <w:ind w:hanging="1"/>
              <w:jc w:val="right"/>
            </w:pPr>
            <w:r>
              <w:rPr>
                <w:b w:val="0"/>
                <w:i w:val="0"/>
                <w:strike w:val="0"/>
                <w:u w:val="none"/>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1,725,218.22</w:t>
            </w:r>
          </w:p>
        </w:tc>
        <w:tc>
          <w:tcPr>
            <w:tcW w:w="2431" w:type="dxa"/>
            <w:shd w:val="clear" w:color="auto" w:fill="auto"/>
            <w:vAlign w:val="center"/>
          </w:tcPr>
          <w:p>
            <w:pPr>
              <w:ind w:hanging="1"/>
              <w:jc w:val="right"/>
            </w:pPr>
            <w:r>
              <w:rPr>
                <w:b w:val="0"/>
                <w:i w:val="0"/>
                <w:strike w:val="0"/>
                <w:u w:val="none"/>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22金洲专项02</w:t>
            </w:r>
          </w:p>
        </w:tc>
        <w:tc>
          <w:tcPr>
            <w:tcW w:w="2693" w:type="dxa"/>
            <w:shd w:val="clear" w:color="auto" w:fill="auto"/>
            <w:vAlign w:val="center"/>
          </w:tcPr>
          <w:p>
            <w:pPr>
              <w:ind w:hanging="1"/>
              <w:jc w:val="right"/>
            </w:pPr>
            <w:r>
              <w:rPr>
                <w:b w:val="0"/>
                <w:i w:val="0"/>
                <w:strike w:val="0"/>
                <w:u w:val="none"/>
              </w:rPr>
              <w:t>1,635,652.05</w:t>
            </w:r>
          </w:p>
        </w:tc>
        <w:tc>
          <w:tcPr>
            <w:tcW w:w="2431" w:type="dxa"/>
            <w:shd w:val="clear" w:color="auto" w:fill="auto"/>
            <w:vAlign w:val="center"/>
          </w:tcPr>
          <w:p>
            <w:pPr>
              <w:ind w:hanging="1"/>
              <w:jc w:val="right"/>
            </w:pPr>
            <w:r>
              <w:rPr>
                <w:b w:val="0"/>
                <w:i w:val="0"/>
                <w:strike w:val="0"/>
                <w:u w:val="none"/>
              </w:rPr>
              <w:t>5.31</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0" w:colLast="0"/>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21岳阳交投01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2,796,174.25</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9.08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21邵阳城投PPN001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2,735,414.38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8.88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24浏城01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2,689,682.19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8.73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24惠临02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2,606,949.32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8.46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2,471,398.36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8.02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24株洲金城PPN001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2,392,388.49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7.77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23郴发01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2,273,147.89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7.38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24洞庭01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2,079,665.75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6.75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1,725,218.22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22金洲专项02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1,635,652.05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5.31</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731903861410517</w:t>
            </w:r>
          </w:p>
        </w:tc>
        <w:tc>
          <w:tcPr>
            <w:tcW w:w="2693" w:type="dxa"/>
            <w:shd w:val="clear" w:color="auto" w:fill="auto"/>
            <w:vAlign w:val="center"/>
          </w:tcPr>
          <w:p>
            <w:pPr>
              <w:spacing w:before="100" w:beforeAutospacing="1" w:after="100" w:afterAutospacing="1"/>
            </w:pPr>
            <w:r>
              <w:t>湖南银行股份有限公司-融智理财添利系列-D540-16理财产品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AAC5C95"/>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2026-01-23T03:28:23Z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