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融智理财添利系列年开6号理财产品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融智理财添利系列年开6号理财产品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48,971,000.00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100.20%</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4"/>
            <w:bookmarkEnd w:id="0"/>
            <w:bookmarkStart w:id="1" w:name="OLE_LINK7"/>
            <w:bookmarkEnd w:id="1"/>
            <w:r>
              <w:t>16.07</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1,306,745.66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226,479.30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49,187,940.17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49,187,940.17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1.1607</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2,218,603.97</w:t>
            </w:r>
          </w:p>
        </w:tc>
        <w:tc>
          <w:tcPr>
            <w:tcW w:w="1749" w:type="dxa"/>
            <w:shd w:val="clear" w:color="auto" w:fill="auto"/>
            <w:vAlign w:val="center"/>
          </w:tcPr>
          <w:p>
            <w:pPr>
              <w:jc w:val="right"/>
            </w:pPr>
            <w:r>
              <w:t>4.50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38,066,170.08</w:t>
            </w:r>
          </w:p>
        </w:tc>
        <w:tc>
          <w:tcPr>
            <w:tcW w:w="1749" w:type="dxa"/>
            <w:shd w:val="clear" w:color="auto" w:fill="auto"/>
            <w:vAlign w:val="center"/>
          </w:tcPr>
          <w:p>
            <w:pPr>
              <w:jc w:val="right"/>
            </w:pPr>
            <w:r>
              <w:t>77.23</w:t>
            </w:r>
          </w:p>
        </w:tc>
        <w:tc>
          <w:tcPr>
            <w:tcW w:w="1653" w:type="dxa"/>
            <w:vAlign w:val="center"/>
          </w:tcPr>
          <w:p>
            <w:pPr>
              <w:jc w:val="right"/>
            </w:pPr>
            <w:r>
              <w:t>8,290,776.97</w:t>
            </w:r>
          </w:p>
        </w:tc>
        <w:tc>
          <w:tcPr>
            <w:tcW w:w="1705" w:type="dxa"/>
            <w:vAlign w:val="center"/>
          </w:tcPr>
          <w:p>
            <w:pPr>
              <w:jc w:val="right"/>
            </w:pPr>
            <w:r>
              <w:t>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38,066,170.08</w:t>
            </w:r>
          </w:p>
        </w:tc>
        <w:tc>
          <w:tcPr>
            <w:tcW w:w="1749" w:type="dxa"/>
            <w:shd w:val="clear" w:color="auto" w:fill="auto"/>
            <w:vAlign w:val="center"/>
          </w:tcPr>
          <w:p>
            <w:pPr>
              <w:jc w:val="right"/>
            </w:pPr>
            <w:r>
              <w:t>77.23</w:t>
            </w:r>
          </w:p>
        </w:tc>
        <w:tc>
          <w:tcPr>
            <w:tcW w:w="1653" w:type="dxa"/>
            <w:vAlign w:val="center"/>
          </w:tcPr>
          <w:p>
            <w:pPr>
              <w:jc w:val="right"/>
            </w:pPr>
            <w:r>
              <w:t>8,290,776.97</w:t>
            </w:r>
          </w:p>
        </w:tc>
        <w:tc>
          <w:tcPr>
            <w:tcW w:w="1705" w:type="dxa"/>
            <w:vAlign w:val="center"/>
          </w:tcPr>
          <w:p>
            <w:pPr>
              <w:jc w:val="right"/>
            </w:pPr>
            <w:r>
              <w:t>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704,909.11</w:t>
            </w:r>
          </w:p>
        </w:tc>
        <w:tc>
          <w:tcPr>
            <w:tcW w:w="1749" w:type="dxa"/>
            <w:shd w:val="clear" w:color="auto" w:fill="auto"/>
            <w:vAlign w:val="center"/>
          </w:tcPr>
          <w:p>
            <w:pPr>
              <w:jc w:val="right"/>
            </w:pPr>
            <w:r>
              <w:t>1.43</w:t>
            </w:r>
          </w:p>
        </w:tc>
        <w:tc>
          <w:tcPr>
            <w:tcW w:w="1653" w:type="dxa"/>
            <w:vAlign w:val="center"/>
          </w:tcPr>
          <w:p>
            <w:pPr>
              <w:jc w:val="right"/>
            </w:pPr>
            <w:r>
              <w:t>108,402.00</w:t>
            </w:r>
          </w:p>
        </w:tc>
        <w:tc>
          <w:tcPr>
            <w:tcW w:w="1705" w:type="dxa"/>
            <w:vAlign w:val="center"/>
          </w:tcPr>
          <w:p>
            <w:pPr>
              <w:jc w:val="right"/>
            </w:pPr>
            <w: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8,297,541.27</w:t>
            </w:r>
          </w:p>
        </w:tc>
        <w:tc>
          <w:tcPr>
            <w:tcW w:w="1749" w:type="dxa"/>
            <w:shd w:val="clear" w:color="auto" w:fill="auto"/>
            <w:vAlign w:val="center"/>
          </w:tcPr>
          <w:p>
            <w:pPr>
              <w:jc w:val="right"/>
            </w:pPr>
            <w:r>
              <w:t>16.84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107,169.51</w:t>
            </w:r>
          </w:p>
        </w:tc>
        <w:tc>
          <w:tcPr>
            <w:tcW w:w="1705" w:type="dxa"/>
            <w:vAlign w:val="center"/>
          </w:tcPr>
          <w:p>
            <w:pPr>
              <w:jc w:val="right"/>
            </w:pPr>
            <w: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49,287,224.43</w:t>
            </w:r>
          </w:p>
        </w:tc>
        <w:tc>
          <w:tcPr>
            <w:tcW w:w="1749" w:type="dxa"/>
            <w:shd w:val="clear" w:color="auto" w:fill="auto"/>
          </w:tcPr>
          <w:p>
            <w:pPr>
              <w:jc w:val="right"/>
            </w:pPr>
            <w:r>
              <w:t>100.00</w:t>
            </w:r>
          </w:p>
        </w:tc>
        <w:tc>
          <w:tcPr>
            <w:tcW w:w="1653" w:type="dxa"/>
          </w:tcPr>
          <w:p>
            <w:pPr>
              <w:jc w:val="right"/>
            </w:pPr>
            <w:r>
              <w:t>8,506,348.47</w:t>
            </w:r>
          </w:p>
        </w:tc>
        <w:tc>
          <w:tcPr>
            <w:tcW w:w="1705" w:type="dxa"/>
          </w:tcPr>
          <w:p>
            <w:pPr>
              <w:jc w:val="right"/>
            </w:pPr>
            <w:r>
              <w:t>17.26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9.95%；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华夏纯债3号</w:t>
            </w:r>
          </w:p>
        </w:tc>
        <w:tc>
          <w:tcPr>
            <w:tcW w:w="2693" w:type="dxa"/>
            <w:shd w:val="clear" w:color="auto" w:fill="auto"/>
            <w:vAlign w:val="center"/>
          </w:tcPr>
          <w:p>
            <w:pPr>
              <w:jc w:val="right"/>
            </w:pPr>
            <w:r>
              <w:t>5,083,657.59</w:t>
            </w:r>
          </w:p>
        </w:tc>
        <w:tc>
          <w:tcPr>
            <w:tcW w:w="2431" w:type="dxa"/>
            <w:shd w:val="clear" w:color="auto" w:fill="auto"/>
            <w:vAlign w:val="center"/>
          </w:tcPr>
          <w:p>
            <w:pPr>
              <w:jc w:val="right"/>
            </w:pPr>
            <w: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24电YK01</w:t>
            </w:r>
          </w:p>
        </w:tc>
        <w:tc>
          <w:tcPr>
            <w:tcW w:w="2693" w:type="dxa"/>
            <w:shd w:val="clear" w:color="auto" w:fill="auto"/>
            <w:vAlign w:val="center"/>
          </w:tcPr>
          <w:p>
            <w:pPr>
              <w:ind w:hanging="1"/>
              <w:jc w:val="right"/>
            </w:pPr>
            <w:r>
              <w:rPr>
                <w:b w:val="0"/>
                <w:i w:val="0"/>
                <w:strike w:val="0"/>
                <w:u w:val="none"/>
              </w:rPr>
              <w:t>4,246,046.96</w:t>
            </w:r>
          </w:p>
        </w:tc>
        <w:tc>
          <w:tcPr>
            <w:tcW w:w="2431" w:type="dxa"/>
            <w:shd w:val="clear" w:color="auto" w:fill="auto"/>
            <w:vAlign w:val="center"/>
          </w:tcPr>
          <w:p>
            <w:pPr>
              <w:ind w:hanging="1"/>
              <w:jc w:val="right"/>
            </w:pPr>
            <w:r>
              <w:rPr>
                <w:b w:val="0"/>
                <w:i w:val="0"/>
                <w:strike w:val="0"/>
                <w:u w:val="none"/>
              </w:rPr>
              <w:t>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24惠临01</w:t>
            </w:r>
          </w:p>
        </w:tc>
        <w:tc>
          <w:tcPr>
            <w:tcW w:w="2693" w:type="dxa"/>
            <w:shd w:val="clear" w:color="auto" w:fill="auto"/>
            <w:vAlign w:val="center"/>
          </w:tcPr>
          <w:p>
            <w:pPr>
              <w:ind w:hanging="1"/>
              <w:jc w:val="right"/>
            </w:pPr>
            <w:r>
              <w:rPr>
                <w:b w:val="0"/>
                <w:i w:val="0"/>
                <w:strike w:val="0"/>
                <w:u w:val="none"/>
              </w:rPr>
              <w:t>4,132,493.15</w:t>
            </w:r>
          </w:p>
        </w:tc>
        <w:tc>
          <w:tcPr>
            <w:tcW w:w="2431" w:type="dxa"/>
            <w:shd w:val="clear" w:color="auto" w:fill="auto"/>
            <w:vAlign w:val="center"/>
          </w:tcPr>
          <w:p>
            <w:pPr>
              <w:ind w:hanging="1"/>
              <w:jc w:val="right"/>
            </w:pPr>
            <w:r>
              <w:rPr>
                <w:b w:val="0"/>
                <w:i w:val="0"/>
                <w:strike w:val="0"/>
                <w:u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4,118,997.26</w:t>
            </w:r>
          </w:p>
        </w:tc>
        <w:tc>
          <w:tcPr>
            <w:tcW w:w="2431" w:type="dxa"/>
            <w:shd w:val="clear" w:color="auto" w:fill="auto"/>
            <w:vAlign w:val="center"/>
          </w:tcPr>
          <w:p>
            <w:pPr>
              <w:ind w:hanging="1"/>
              <w:jc w:val="right"/>
            </w:pPr>
            <w:r>
              <w:rPr>
                <w:b w:val="0"/>
                <w:i w:val="0"/>
                <w:strike w:val="0"/>
                <w:u w:val="none"/>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23衡高K1</w:t>
            </w:r>
          </w:p>
        </w:tc>
        <w:tc>
          <w:tcPr>
            <w:tcW w:w="2693" w:type="dxa"/>
            <w:shd w:val="clear" w:color="auto" w:fill="auto"/>
            <w:vAlign w:val="center"/>
          </w:tcPr>
          <w:p>
            <w:pPr>
              <w:ind w:hanging="1"/>
              <w:jc w:val="right"/>
            </w:pPr>
            <w:r>
              <w:rPr>
                <w:b w:val="0"/>
                <w:i w:val="0"/>
                <w:strike w:val="0"/>
                <w:u w:val="none"/>
              </w:rPr>
              <w:t>4,034,842.77</w:t>
            </w:r>
          </w:p>
        </w:tc>
        <w:tc>
          <w:tcPr>
            <w:tcW w:w="2431" w:type="dxa"/>
            <w:shd w:val="clear" w:color="auto" w:fill="auto"/>
            <w:vAlign w:val="center"/>
          </w:tcPr>
          <w:p>
            <w:pPr>
              <w:ind w:hanging="1"/>
              <w:jc w:val="right"/>
            </w:pPr>
            <w:r>
              <w:rPr>
                <w:b w:val="0"/>
                <w:i w:val="0"/>
                <w:strike w:val="0"/>
                <w:u w:val="none"/>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24永州经投MTN001</w:t>
            </w:r>
          </w:p>
        </w:tc>
        <w:tc>
          <w:tcPr>
            <w:tcW w:w="2693" w:type="dxa"/>
            <w:shd w:val="clear" w:color="auto" w:fill="auto"/>
            <w:vAlign w:val="center"/>
          </w:tcPr>
          <w:p>
            <w:pPr>
              <w:ind w:hanging="1"/>
              <w:jc w:val="right"/>
            </w:pPr>
            <w:r>
              <w:rPr>
                <w:b w:val="0"/>
                <w:i w:val="0"/>
                <w:strike w:val="0"/>
                <w:u w:val="none"/>
              </w:rPr>
              <w:t>3,868,150.14</w:t>
            </w:r>
          </w:p>
        </w:tc>
        <w:tc>
          <w:tcPr>
            <w:tcW w:w="2431" w:type="dxa"/>
            <w:shd w:val="clear" w:color="auto" w:fill="auto"/>
            <w:vAlign w:val="center"/>
          </w:tcPr>
          <w:p>
            <w:pPr>
              <w:ind w:hanging="1"/>
              <w:jc w:val="right"/>
            </w:pPr>
            <w:r>
              <w:rPr>
                <w:b w:val="0"/>
                <w:i w:val="0"/>
                <w:strike w:val="0"/>
                <w:u w:val="none"/>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3,467,043.29</w:t>
            </w:r>
          </w:p>
        </w:tc>
        <w:tc>
          <w:tcPr>
            <w:tcW w:w="2431" w:type="dxa"/>
            <w:shd w:val="clear" w:color="auto" w:fill="auto"/>
            <w:vAlign w:val="center"/>
          </w:tcPr>
          <w:p>
            <w:pPr>
              <w:ind w:hanging="1"/>
              <w:jc w:val="right"/>
            </w:pPr>
            <w:r>
              <w:rPr>
                <w:b w:val="0"/>
                <w:i w:val="0"/>
                <w:strike w:val="0"/>
                <w:u w:val="none"/>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3,213,883.68</w:t>
            </w:r>
          </w:p>
        </w:tc>
        <w:tc>
          <w:tcPr>
            <w:tcW w:w="2431" w:type="dxa"/>
            <w:shd w:val="clear" w:color="auto" w:fill="auto"/>
            <w:vAlign w:val="center"/>
          </w:tcPr>
          <w:p>
            <w:pPr>
              <w:ind w:hanging="1"/>
              <w:jc w:val="right"/>
            </w:pPr>
            <w:r>
              <w:rPr>
                <w:b w:val="0"/>
                <w:i w:val="0"/>
                <w:strike w:val="0"/>
                <w:u w:val="none"/>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23农发04</w:t>
            </w:r>
          </w:p>
        </w:tc>
        <w:tc>
          <w:tcPr>
            <w:tcW w:w="2693" w:type="dxa"/>
            <w:shd w:val="clear" w:color="auto" w:fill="auto"/>
            <w:vAlign w:val="center"/>
          </w:tcPr>
          <w:p>
            <w:pPr>
              <w:ind w:hanging="1"/>
              <w:jc w:val="right"/>
            </w:pPr>
            <w:r>
              <w:rPr>
                <w:b w:val="0"/>
                <w:i w:val="0"/>
                <w:strike w:val="0"/>
                <w:u w:val="none"/>
              </w:rPr>
              <w:t>3,175,284.99</w:t>
            </w:r>
          </w:p>
        </w:tc>
        <w:tc>
          <w:tcPr>
            <w:tcW w:w="2431" w:type="dxa"/>
            <w:shd w:val="clear" w:color="auto" w:fill="auto"/>
            <w:vAlign w:val="center"/>
          </w:tcPr>
          <w:p>
            <w:pPr>
              <w:ind w:hanging="1"/>
              <w:jc w:val="right"/>
            </w:pPr>
            <w:r>
              <w:rPr>
                <w:b w:val="0"/>
                <w:i w:val="0"/>
                <w:strike w:val="0"/>
                <w:u w:val="none"/>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21天易01</w:t>
            </w:r>
          </w:p>
        </w:tc>
        <w:tc>
          <w:tcPr>
            <w:tcW w:w="2693" w:type="dxa"/>
            <w:shd w:val="clear" w:color="auto" w:fill="auto"/>
            <w:vAlign w:val="center"/>
          </w:tcPr>
          <w:p>
            <w:pPr>
              <w:ind w:hanging="1"/>
              <w:jc w:val="right"/>
            </w:pPr>
            <w:r>
              <w:rPr>
                <w:b w:val="0"/>
                <w:i w:val="0"/>
                <w:strike w:val="0"/>
                <w:u w:val="none"/>
              </w:rPr>
              <w:t>2,927,281.10</w:t>
            </w:r>
          </w:p>
        </w:tc>
        <w:tc>
          <w:tcPr>
            <w:tcW w:w="2431" w:type="dxa"/>
            <w:shd w:val="clear" w:color="auto" w:fill="auto"/>
            <w:vAlign w:val="center"/>
          </w:tcPr>
          <w:p>
            <w:pPr>
              <w:ind w:hanging="1"/>
              <w:jc w:val="right"/>
            </w:pPr>
            <w:r>
              <w:rPr>
                <w:b w:val="0"/>
                <w:i w:val="0"/>
                <w:strike w:val="0"/>
                <w:u w:val="none"/>
              </w:rPr>
              <w:t>5.95</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24电YK01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4,246,046.96</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4,132,493.15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4,118,997.26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23衡高K1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4,034,842.77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8.20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24永州经投MTN001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3,868,150.14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3,467,043.29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23农发04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3,175,284.99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21天易01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2,927,281.10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博时臻选楚汇三个月持有债券A</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2,218,603.97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PR轩达01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2,082,550.14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4.23</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731903861410737</w:t>
            </w:r>
          </w:p>
        </w:tc>
        <w:tc>
          <w:tcPr>
            <w:tcW w:w="2693" w:type="dxa"/>
            <w:shd w:val="clear" w:color="auto" w:fill="auto"/>
            <w:vAlign w:val="center"/>
          </w:tcPr>
          <w:p>
            <w:pPr>
              <w:spacing w:before="100" w:beforeAutospacing="1" w:after="100" w:afterAutospacing="1"/>
            </w:pPr>
            <w:r>
              <w:t>湖南银行股份有限公司-融智理财添利系列年开6号理财产品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2F856891"/>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2026-01-23T03:29:04Z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