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bookmarkStart w:id="0" w:name="OLE_LINK1"/>
      <w:r>
        <w:rPr>
          <w:rFonts w:ascii="宋体" w:hAnsi="宋体"/>
          <w:b/>
          <w:bCs/>
          <w:sz w:val="48"/>
          <w:szCs w:val="30"/>
        </w:rPr>
        <w:t>添利系列固定期限364天人民币理财产品</w:t>
      </w:r>
    </w:p>
    <w:bookmarkEnd w:id="0"/>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添利系列固定期限364天人民币理财产品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C1136023000019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2,667,975,420.87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101.52%</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1" w:name="OLE_LINK7"/>
            <w:bookmarkEnd w:id="1"/>
            <w:bookmarkStart w:id="2" w:name="OLE_LINK4"/>
            <w:bookmarkEnd w:id="2"/>
            <w:r>
              <w:t>11.32</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24,733,714.56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19,996,011.91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2,970,130,313.36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2,970,130,313.36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1.1132</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135,322,335.78</w:t>
            </w:r>
          </w:p>
        </w:tc>
        <w:tc>
          <w:tcPr>
            <w:tcW w:w="1749" w:type="dxa"/>
            <w:shd w:val="clear" w:color="auto" w:fill="auto"/>
            <w:vAlign w:val="center"/>
          </w:tcPr>
          <w:p>
            <w:pPr>
              <w:jc w:val="right"/>
            </w:pPr>
            <w:r>
              <w:t>4.49</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2,737,580,535.73</w:t>
            </w:r>
          </w:p>
        </w:tc>
        <w:tc>
          <w:tcPr>
            <w:tcW w:w="1749" w:type="dxa"/>
            <w:shd w:val="clear" w:color="auto" w:fill="auto"/>
            <w:vAlign w:val="center"/>
          </w:tcPr>
          <w:p>
            <w:pPr>
              <w:jc w:val="right"/>
            </w:pPr>
            <w:r>
              <w:t>90.79</w:t>
            </w:r>
          </w:p>
        </w:tc>
        <w:tc>
          <w:tcPr>
            <w:tcW w:w="1653" w:type="dxa"/>
            <w:vAlign w:val="center"/>
          </w:tcPr>
          <w:p>
            <w:pPr>
              <w:jc w:val="right"/>
            </w:pPr>
            <w:r>
              <w:t>40,563,297.93</w:t>
            </w:r>
          </w:p>
        </w:tc>
        <w:tc>
          <w:tcPr>
            <w:tcW w:w="1705" w:type="dxa"/>
            <w:vAlign w:val="center"/>
          </w:tcPr>
          <w:p>
            <w:pPr>
              <w:jc w:val="right"/>
            </w:pPr>
            <w: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2,688,173,069.60</w:t>
            </w:r>
          </w:p>
        </w:tc>
        <w:tc>
          <w:tcPr>
            <w:tcW w:w="1749" w:type="dxa"/>
            <w:shd w:val="clear" w:color="auto" w:fill="auto"/>
            <w:vAlign w:val="center"/>
          </w:tcPr>
          <w:p>
            <w:pPr>
              <w:jc w:val="right"/>
            </w:pPr>
            <w:r>
              <w:t>89.15</w:t>
            </w:r>
          </w:p>
        </w:tc>
        <w:tc>
          <w:tcPr>
            <w:tcW w:w="1653" w:type="dxa"/>
            <w:vAlign w:val="center"/>
          </w:tcPr>
          <w:p>
            <w:pPr>
              <w:jc w:val="right"/>
            </w:pPr>
            <w:r>
              <w:t>40,563,297.93</w:t>
            </w:r>
          </w:p>
        </w:tc>
        <w:tc>
          <w:tcPr>
            <w:tcW w:w="1705" w:type="dxa"/>
            <w:vAlign w:val="center"/>
          </w:tcPr>
          <w:p>
            <w:pPr>
              <w:jc w:val="right"/>
            </w:pPr>
            <w: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49,407,466.13</w:t>
            </w:r>
          </w:p>
        </w:tc>
        <w:tc>
          <w:tcPr>
            <w:tcW w:w="1749" w:type="dxa"/>
            <w:shd w:val="clear" w:color="auto" w:fill="auto"/>
            <w:vAlign w:val="center"/>
          </w:tcPr>
          <w:p>
            <w:pPr>
              <w:jc w:val="right"/>
            </w:pPr>
            <w:r>
              <w:t>1.64</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99,922,346.19</w:t>
            </w:r>
          </w:p>
        </w:tc>
        <w:tc>
          <w:tcPr>
            <w:tcW w:w="1749" w:type="dxa"/>
            <w:shd w:val="clear" w:color="auto" w:fill="auto"/>
            <w:vAlign w:val="center"/>
          </w:tcPr>
          <w:p>
            <w:pPr>
              <w:jc w:val="right"/>
            </w:pPr>
            <w:r>
              <w:t>3.31</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1,565,830.74</w:t>
            </w:r>
          </w:p>
        </w:tc>
        <w:tc>
          <w:tcPr>
            <w:tcW w:w="1749" w:type="dxa"/>
            <w:shd w:val="clear" w:color="auto" w:fill="auto"/>
            <w:vAlign w:val="center"/>
          </w:tcPr>
          <w:p>
            <w:pPr>
              <w:jc w:val="right"/>
            </w:pPr>
            <w:r>
              <w:t>0.05</w:t>
            </w:r>
          </w:p>
        </w:tc>
        <w:tc>
          <w:tcPr>
            <w:tcW w:w="1653" w:type="dxa"/>
            <w:vAlign w:val="center"/>
          </w:tcPr>
          <w:p>
            <w:pPr>
              <w:jc w:val="right"/>
            </w:pPr>
            <w:r>
              <w:t>381,043.54</w:t>
            </w:r>
          </w:p>
        </w:tc>
        <w:tc>
          <w:tcPr>
            <w:tcW w:w="1705" w:type="dxa"/>
            <w:vAlign w:val="center"/>
          </w:tcPr>
          <w:p>
            <w:pPr>
              <w:jc w:val="right"/>
            </w:pPr>
            <w: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40,855,428.58</w:t>
            </w:r>
          </w:p>
        </w:tc>
        <w:tc>
          <w:tcPr>
            <w:tcW w:w="1749" w:type="dxa"/>
            <w:shd w:val="clear" w:color="auto" w:fill="auto"/>
            <w:vAlign w:val="center"/>
          </w:tcPr>
          <w:p>
            <w:pPr>
              <w:jc w:val="right"/>
            </w:pPr>
            <w:r>
              <w:t>1.35</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169.25</w:t>
            </w:r>
          </w:p>
        </w:tc>
        <w:tc>
          <w:tcPr>
            <w:tcW w:w="1749" w:type="dxa"/>
            <w:shd w:val="clear" w:color="auto" w:fill="auto"/>
            <w:vAlign w:val="center"/>
          </w:tcPr>
          <w:p>
            <w:pPr>
              <w:jc w:val="right"/>
            </w:pPr>
            <w:r>
              <w:t>0.00</w:t>
            </w:r>
          </w:p>
        </w:tc>
        <w:tc>
          <w:tcPr>
            <w:tcW w:w="1653" w:type="dxa"/>
            <w:vAlign w:val="center"/>
          </w:tcPr>
          <w:p>
            <w:pPr>
              <w:jc w:val="right"/>
            </w:pPr>
            <w:r>
              <w:t>0.63</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3,015,246,646.27</w:t>
            </w:r>
          </w:p>
        </w:tc>
        <w:tc>
          <w:tcPr>
            <w:tcW w:w="1749" w:type="dxa"/>
            <w:shd w:val="clear" w:color="auto" w:fill="auto"/>
          </w:tcPr>
          <w:p>
            <w:pPr>
              <w:jc w:val="right"/>
            </w:pPr>
            <w:r>
              <w:t>100.00</w:t>
            </w:r>
          </w:p>
        </w:tc>
        <w:tc>
          <w:tcPr>
            <w:tcW w:w="1653" w:type="dxa"/>
          </w:tcPr>
          <w:p>
            <w:pPr>
              <w:jc w:val="right"/>
            </w:pPr>
            <w:r>
              <w:t>40,944,342.10</w:t>
            </w:r>
          </w:p>
        </w:tc>
        <w:tc>
          <w:tcPr>
            <w:tcW w:w="1705" w:type="dxa"/>
          </w:tcPr>
          <w:p>
            <w:pPr>
              <w:jc w:val="right"/>
            </w:pPr>
            <w:r>
              <w:t>1.36</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7.39%；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24株金01</w:t>
            </w:r>
          </w:p>
        </w:tc>
        <w:tc>
          <w:tcPr>
            <w:tcW w:w="2693" w:type="dxa"/>
            <w:shd w:val="clear" w:color="auto" w:fill="auto"/>
            <w:vAlign w:val="center"/>
          </w:tcPr>
          <w:p>
            <w:pPr>
              <w:jc w:val="right"/>
            </w:pPr>
            <w:r>
              <w:t>158,226,534.24</w:t>
            </w:r>
          </w:p>
        </w:tc>
        <w:tc>
          <w:tcPr>
            <w:tcW w:w="2431" w:type="dxa"/>
            <w:shd w:val="clear" w:color="auto" w:fill="auto"/>
            <w:vAlign w:val="center"/>
          </w:tcPr>
          <w:p>
            <w:pPr>
              <w:jc w:val="right"/>
            </w:pPr>
            <w:r>
              <w:t>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133,218,511.78</w:t>
            </w:r>
          </w:p>
        </w:tc>
        <w:tc>
          <w:tcPr>
            <w:tcW w:w="2431" w:type="dxa"/>
            <w:shd w:val="clear" w:color="auto" w:fill="auto"/>
            <w:vAlign w:val="center"/>
          </w:tcPr>
          <w:p>
            <w:pPr>
              <w:ind w:hanging="1"/>
              <w:jc w:val="right"/>
            </w:pPr>
            <w:r>
              <w:rPr>
                <w:b w:val="0"/>
                <w:i w:val="0"/>
                <w:strike w:val="0"/>
                <w:u w:val="none"/>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123,116,212.60</w:t>
            </w:r>
          </w:p>
        </w:tc>
        <w:tc>
          <w:tcPr>
            <w:tcW w:w="2431" w:type="dxa"/>
            <w:shd w:val="clear" w:color="auto" w:fill="auto"/>
            <w:vAlign w:val="center"/>
          </w:tcPr>
          <w:p>
            <w:pPr>
              <w:ind w:hanging="1"/>
              <w:jc w:val="right"/>
            </w:pPr>
            <w:r>
              <w:rPr>
                <w:b w:val="0"/>
                <w:i w:val="0"/>
                <w:strike w:val="0"/>
                <w:u w:val="none"/>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121,780,109.59</w:t>
            </w:r>
          </w:p>
        </w:tc>
        <w:tc>
          <w:tcPr>
            <w:tcW w:w="2431" w:type="dxa"/>
            <w:shd w:val="clear" w:color="auto" w:fill="auto"/>
            <w:vAlign w:val="center"/>
          </w:tcPr>
          <w:p>
            <w:pPr>
              <w:ind w:hanging="1"/>
              <w:jc w:val="right"/>
            </w:pPr>
            <w:r>
              <w:rPr>
                <w:b w:val="0"/>
                <w:i w:val="0"/>
                <w:strike w:val="0"/>
                <w:u w:val="none"/>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23益型01</w:t>
            </w:r>
          </w:p>
        </w:tc>
        <w:tc>
          <w:tcPr>
            <w:tcW w:w="2693" w:type="dxa"/>
            <w:shd w:val="clear" w:color="auto" w:fill="auto"/>
            <w:vAlign w:val="center"/>
          </w:tcPr>
          <w:p>
            <w:pPr>
              <w:ind w:hanging="1"/>
              <w:jc w:val="right"/>
            </w:pPr>
            <w:r>
              <w:rPr>
                <w:b w:val="0"/>
                <w:i w:val="0"/>
                <w:strike w:val="0"/>
                <w:u w:val="none"/>
              </w:rPr>
              <w:t>104,803,013.70</w:t>
            </w:r>
          </w:p>
        </w:tc>
        <w:tc>
          <w:tcPr>
            <w:tcW w:w="2431" w:type="dxa"/>
            <w:shd w:val="clear" w:color="auto" w:fill="auto"/>
            <w:vAlign w:val="center"/>
          </w:tcPr>
          <w:p>
            <w:pPr>
              <w:ind w:hanging="1"/>
              <w:jc w:val="right"/>
            </w:pPr>
            <w:r>
              <w:rPr>
                <w:b w:val="0"/>
                <w:i w:val="0"/>
                <w:strike w:val="0"/>
                <w:u w:val="none"/>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24金洲01</w:t>
            </w:r>
          </w:p>
        </w:tc>
        <w:tc>
          <w:tcPr>
            <w:tcW w:w="2693" w:type="dxa"/>
            <w:shd w:val="clear" w:color="auto" w:fill="auto"/>
            <w:vAlign w:val="center"/>
          </w:tcPr>
          <w:p>
            <w:pPr>
              <w:ind w:hanging="1"/>
              <w:jc w:val="right"/>
            </w:pPr>
            <w:r>
              <w:rPr>
                <w:b w:val="0"/>
                <w:i w:val="0"/>
                <w:strike w:val="0"/>
                <w:u w:val="none"/>
              </w:rPr>
              <w:t>103,514,273.97</w:t>
            </w:r>
          </w:p>
        </w:tc>
        <w:tc>
          <w:tcPr>
            <w:tcW w:w="2431" w:type="dxa"/>
            <w:shd w:val="clear" w:color="auto" w:fill="auto"/>
            <w:vAlign w:val="center"/>
          </w:tcPr>
          <w:p>
            <w:pPr>
              <w:ind w:hanging="1"/>
              <w:jc w:val="right"/>
            </w:pPr>
            <w:r>
              <w:rPr>
                <w:b w:val="0"/>
                <w:i w:val="0"/>
                <w:strike w:val="0"/>
                <w:u w:val="none"/>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R007</w:t>
            </w:r>
          </w:p>
        </w:tc>
        <w:tc>
          <w:tcPr>
            <w:tcW w:w="2693" w:type="dxa"/>
            <w:shd w:val="clear" w:color="auto" w:fill="auto"/>
            <w:vAlign w:val="center"/>
          </w:tcPr>
          <w:p>
            <w:pPr>
              <w:ind w:hanging="1"/>
              <w:jc w:val="right"/>
            </w:pPr>
            <w:r>
              <w:rPr>
                <w:b w:val="0"/>
                <w:i w:val="0"/>
                <w:strike w:val="0"/>
                <w:u w:val="none"/>
              </w:rPr>
              <w:t>99,922,346.19</w:t>
            </w:r>
          </w:p>
        </w:tc>
        <w:tc>
          <w:tcPr>
            <w:tcW w:w="2431" w:type="dxa"/>
            <w:shd w:val="clear" w:color="auto" w:fill="auto"/>
            <w:vAlign w:val="center"/>
          </w:tcPr>
          <w:p>
            <w:pPr>
              <w:ind w:hanging="1"/>
              <w:jc w:val="right"/>
            </w:pPr>
            <w:r>
              <w:rPr>
                <w:b w:val="0"/>
                <w:i w:val="0"/>
                <w:strike w:val="0"/>
                <w:u w:val="none"/>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24郴新01</w:t>
            </w:r>
          </w:p>
        </w:tc>
        <w:tc>
          <w:tcPr>
            <w:tcW w:w="2693" w:type="dxa"/>
            <w:shd w:val="clear" w:color="auto" w:fill="auto"/>
            <w:vAlign w:val="center"/>
          </w:tcPr>
          <w:p>
            <w:pPr>
              <w:ind w:hanging="1"/>
              <w:jc w:val="right"/>
            </w:pPr>
            <w:r>
              <w:rPr>
                <w:b w:val="0"/>
                <w:i w:val="0"/>
                <w:strike w:val="0"/>
                <w:u w:val="none"/>
              </w:rPr>
              <w:t>91,576,140.27</w:t>
            </w:r>
          </w:p>
        </w:tc>
        <w:tc>
          <w:tcPr>
            <w:tcW w:w="2431" w:type="dxa"/>
            <w:shd w:val="clear" w:color="auto" w:fill="auto"/>
            <w:vAlign w:val="center"/>
          </w:tcPr>
          <w:p>
            <w:pPr>
              <w:ind w:hanging="1"/>
              <w:jc w:val="right"/>
            </w:pPr>
            <w:r>
              <w:rPr>
                <w:b w:val="0"/>
                <w:i w:val="0"/>
                <w:strike w:val="0"/>
                <w:u w:val="none"/>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25农发11</w:t>
            </w:r>
          </w:p>
        </w:tc>
        <w:tc>
          <w:tcPr>
            <w:tcW w:w="2693" w:type="dxa"/>
            <w:shd w:val="clear" w:color="auto" w:fill="auto"/>
            <w:vAlign w:val="center"/>
          </w:tcPr>
          <w:p>
            <w:pPr>
              <w:ind w:hanging="1"/>
              <w:jc w:val="right"/>
            </w:pPr>
            <w:r>
              <w:rPr>
                <w:b w:val="0"/>
                <w:i w:val="0"/>
                <w:strike w:val="0"/>
                <w:u w:val="none"/>
              </w:rPr>
              <w:t>91,192,241.10</w:t>
            </w:r>
          </w:p>
        </w:tc>
        <w:tc>
          <w:tcPr>
            <w:tcW w:w="2431" w:type="dxa"/>
            <w:shd w:val="clear" w:color="auto" w:fill="auto"/>
            <w:vAlign w:val="center"/>
          </w:tcPr>
          <w:p>
            <w:pPr>
              <w:ind w:hanging="1"/>
              <w:jc w:val="right"/>
            </w:pPr>
            <w:r>
              <w:rPr>
                <w:b w:val="0"/>
                <w:i w:val="0"/>
                <w:strike w:val="0"/>
                <w:u w:val="none"/>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21株城02</w:t>
            </w:r>
          </w:p>
        </w:tc>
        <w:tc>
          <w:tcPr>
            <w:tcW w:w="2693" w:type="dxa"/>
            <w:shd w:val="clear" w:color="auto" w:fill="auto"/>
            <w:vAlign w:val="center"/>
          </w:tcPr>
          <w:p>
            <w:pPr>
              <w:ind w:hanging="1"/>
              <w:jc w:val="right"/>
            </w:pPr>
            <w:r>
              <w:rPr>
                <w:b w:val="0"/>
                <w:i w:val="0"/>
                <w:strike w:val="0"/>
                <w:u w:val="none"/>
              </w:rPr>
              <w:t>90,153,921.65</w:t>
            </w:r>
          </w:p>
        </w:tc>
        <w:tc>
          <w:tcPr>
            <w:tcW w:w="2431" w:type="dxa"/>
            <w:shd w:val="clear" w:color="auto" w:fill="auto"/>
            <w:vAlign w:val="center"/>
          </w:tcPr>
          <w:p>
            <w:pPr>
              <w:ind w:hanging="1"/>
              <w:jc w:val="right"/>
            </w:pPr>
            <w:r>
              <w:rPr>
                <w:b w:val="0"/>
                <w:i w:val="0"/>
                <w:strike w:val="0"/>
                <w:u w:val="none"/>
              </w:rPr>
              <w:t>3.04</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24株金01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158,226,534.24</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5.33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133,218,511.78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4.49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24洞庭01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123,116,212.60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121,780,109.59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23益型01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104,803,013.70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3.53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24金洲01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103,514,273.97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3.49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R007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99,922,346.19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3.36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24郴新01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91,576,140.27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3.08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25农发11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91,192,241.10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3.07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21株城02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90,153,921.65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3.04</w:t>
            </w:r>
          </w:p>
        </w:tc>
      </w:tr>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731903861410470</w:t>
            </w:r>
          </w:p>
        </w:tc>
        <w:tc>
          <w:tcPr>
            <w:tcW w:w="2693" w:type="dxa"/>
            <w:shd w:val="clear" w:color="auto" w:fill="auto"/>
            <w:vAlign w:val="center"/>
          </w:tcPr>
          <w:p>
            <w:pPr>
              <w:spacing w:before="100" w:beforeAutospacing="1" w:after="100" w:afterAutospacing="1"/>
            </w:pPr>
            <w:r>
              <w:t>湖南银行股份有限公司-添利系列固定期限364天人民币理财产品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tbl>
      <w:tblPr>
        <w:tblStyle w:val="17"/>
        <w:tblW w:w="10038"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75"/>
        <w:gridCol w:w="1129"/>
        <w:gridCol w:w="1175"/>
        <w:gridCol w:w="1046"/>
        <w:gridCol w:w="1422"/>
        <w:gridCol w:w="1477"/>
        <w:gridCol w:w="1350"/>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D6D6D6"/>
            <w:vAlign w:val="center"/>
          </w:tcPr>
          <w:p>
            <w:pPr>
              <w:spacing w:before="100" w:beforeAutospacing="1" w:after="100" w:afterAutospacing="1"/>
              <w:jc w:val="center"/>
              <w:rPr>
                <w:b/>
                <w:bCs/>
                <w:szCs w:val="22"/>
              </w:rPr>
            </w:pPr>
            <w:r>
              <w:rPr>
                <w:rFonts w:hint="eastAsia"/>
                <w:b/>
                <w:bCs/>
                <w:szCs w:val="22"/>
              </w:rPr>
              <w:t>序号</w:t>
            </w:r>
          </w:p>
        </w:tc>
        <w:tc>
          <w:tcPr>
            <w:tcW w:w="1275" w:type="dxa"/>
            <w:shd w:val="clear" w:color="auto" w:fill="D6D6D6"/>
            <w:vAlign w:val="center"/>
          </w:tcPr>
          <w:p>
            <w:pPr>
              <w:spacing w:before="100" w:beforeAutospacing="1" w:after="100" w:afterAutospacing="1"/>
              <w:jc w:val="center"/>
              <w:rPr>
                <w:b/>
                <w:bCs/>
                <w:szCs w:val="22"/>
              </w:rPr>
            </w:pPr>
            <w:r>
              <w:rPr>
                <w:rFonts w:hint="eastAsia"/>
                <w:b/>
                <w:bCs/>
                <w:szCs w:val="22"/>
              </w:rPr>
              <w:t>交易时间</w:t>
            </w:r>
          </w:p>
        </w:tc>
        <w:tc>
          <w:tcPr>
            <w:tcW w:w="1129" w:type="dxa"/>
            <w:shd w:val="clear" w:color="auto" w:fill="D6D6D6"/>
            <w:vAlign w:val="center"/>
          </w:tcPr>
          <w:p>
            <w:pPr>
              <w:spacing w:before="100" w:beforeAutospacing="1" w:after="100" w:afterAutospacing="1"/>
              <w:jc w:val="center"/>
              <w:rPr>
                <w:b/>
                <w:bCs/>
                <w:szCs w:val="22"/>
              </w:rPr>
            </w:pPr>
            <w:r>
              <w:rPr>
                <w:rFonts w:hint="eastAsia"/>
                <w:b/>
                <w:bCs/>
                <w:szCs w:val="22"/>
              </w:rPr>
              <w:t>投资标的</w:t>
            </w:r>
          </w:p>
        </w:tc>
        <w:tc>
          <w:tcPr>
            <w:tcW w:w="1175" w:type="dxa"/>
            <w:shd w:val="clear" w:color="auto" w:fill="D6D6D6"/>
            <w:vAlign w:val="center"/>
          </w:tcPr>
          <w:p>
            <w:pPr>
              <w:spacing w:before="100" w:beforeAutospacing="1" w:after="100" w:afterAutospacing="1"/>
              <w:jc w:val="center"/>
              <w:rPr>
                <w:b/>
                <w:bCs/>
                <w:szCs w:val="22"/>
              </w:rPr>
            </w:pPr>
            <w:r>
              <w:rPr>
                <w:rFonts w:hint="eastAsia"/>
                <w:b/>
                <w:bCs/>
                <w:szCs w:val="22"/>
              </w:rPr>
              <w:t>交易</w:t>
            </w:r>
            <w:r>
              <w:rPr>
                <w:rFonts w:hint="eastAsia"/>
                <w:b/>
                <w:bCs/>
                <w:szCs w:val="22"/>
                <w:lang w:val="en-US" w:eastAsia="zh-CN"/>
              </w:rPr>
              <w:t>面</w:t>
            </w:r>
            <w:r>
              <w:rPr>
                <w:rFonts w:hint="eastAsia"/>
                <w:b/>
                <w:bCs/>
                <w:szCs w:val="22"/>
              </w:rPr>
              <w:t>额（</w:t>
            </w:r>
            <w:r>
              <w:rPr>
                <w:rFonts w:hint="eastAsia"/>
                <w:b/>
                <w:bCs/>
                <w:szCs w:val="22"/>
                <w:lang w:val="en-US" w:eastAsia="zh-CN"/>
              </w:rPr>
              <w:t>万元</w:t>
            </w:r>
            <w:r>
              <w:rPr>
                <w:rFonts w:hint="eastAsia"/>
                <w:b/>
                <w:bCs/>
                <w:szCs w:val="22"/>
              </w:rPr>
              <w:t>）</w:t>
            </w:r>
          </w:p>
        </w:tc>
        <w:tc>
          <w:tcPr>
            <w:tcW w:w="1046" w:type="dxa"/>
            <w:shd w:val="clear" w:color="auto" w:fill="D6D6D6"/>
            <w:vAlign w:val="center"/>
          </w:tcPr>
          <w:p>
            <w:pPr>
              <w:spacing w:before="100" w:beforeAutospacing="1" w:after="100" w:afterAutospacing="1"/>
              <w:jc w:val="center"/>
              <w:rPr>
                <w:rFonts w:hint="eastAsia" w:eastAsia="宋体"/>
                <w:b/>
                <w:bCs/>
                <w:szCs w:val="22"/>
                <w:lang w:eastAsia="zh-CN"/>
              </w:rPr>
            </w:pPr>
            <w:r>
              <w:rPr>
                <w:rFonts w:hint="eastAsia"/>
                <w:b/>
                <w:bCs/>
                <w:szCs w:val="22"/>
              </w:rPr>
              <w:t>交易</w:t>
            </w:r>
            <w:r>
              <w:rPr>
                <w:rFonts w:hint="eastAsia"/>
                <w:b/>
                <w:bCs/>
                <w:szCs w:val="22"/>
                <w:lang w:val="en-US" w:eastAsia="zh-CN"/>
              </w:rPr>
              <w:t>价格</w:t>
            </w:r>
          </w:p>
        </w:tc>
        <w:tc>
          <w:tcPr>
            <w:tcW w:w="1422" w:type="dxa"/>
            <w:shd w:val="clear" w:color="auto" w:fill="D6D6D6"/>
            <w:vAlign w:val="center"/>
          </w:tcPr>
          <w:p>
            <w:pPr>
              <w:spacing w:before="100" w:beforeAutospacing="1" w:after="100" w:afterAutospacing="1"/>
              <w:jc w:val="center"/>
              <w:rPr>
                <w:b/>
                <w:bCs/>
                <w:szCs w:val="22"/>
              </w:rPr>
            </w:pPr>
            <w:r>
              <w:rPr>
                <w:rFonts w:hint="eastAsia"/>
                <w:b/>
                <w:bCs/>
                <w:szCs w:val="22"/>
              </w:rPr>
              <w:t>关联方</w:t>
            </w:r>
          </w:p>
        </w:tc>
        <w:tc>
          <w:tcPr>
            <w:tcW w:w="1477" w:type="dxa"/>
            <w:shd w:val="clear" w:color="auto" w:fill="D6D6D6"/>
            <w:vAlign w:val="center"/>
          </w:tcPr>
          <w:p>
            <w:pPr>
              <w:spacing w:before="100" w:beforeAutospacing="1" w:after="100" w:afterAutospacing="1"/>
              <w:jc w:val="center"/>
              <w:rPr>
                <w:b/>
                <w:bCs/>
                <w:szCs w:val="22"/>
              </w:rPr>
            </w:pPr>
            <w:r>
              <w:rPr>
                <w:rFonts w:hint="eastAsia"/>
                <w:b/>
                <w:bCs/>
                <w:szCs w:val="22"/>
              </w:rPr>
              <w:t>关联方类别</w:t>
            </w:r>
          </w:p>
        </w:tc>
        <w:tc>
          <w:tcPr>
            <w:tcW w:w="1350" w:type="dxa"/>
            <w:shd w:val="clear" w:color="auto" w:fill="D6D6D6"/>
            <w:vAlign w:val="center"/>
          </w:tcPr>
          <w:p>
            <w:pPr>
              <w:spacing w:before="100" w:beforeAutospacing="1" w:after="100" w:afterAutospacing="1"/>
              <w:jc w:val="center"/>
              <w:rPr>
                <w:b/>
                <w:bCs/>
                <w:szCs w:val="22"/>
              </w:rPr>
            </w:pPr>
            <w:r>
              <w:rPr>
                <w:rFonts w:hint="eastAsia"/>
                <w:b/>
                <w:bCs/>
                <w:szCs w:val="22"/>
              </w:rPr>
              <w:t>关联方交易类型</w:t>
            </w:r>
          </w:p>
        </w:tc>
        <w:tc>
          <w:tcPr>
            <w:tcW w:w="624" w:type="dxa"/>
            <w:shd w:val="clear" w:color="auto" w:fill="D6D6D6"/>
            <w:vAlign w:val="center"/>
          </w:tcPr>
          <w:p>
            <w:pPr>
              <w:spacing w:before="100" w:beforeAutospacing="1" w:after="100" w:afterAutospacing="1"/>
              <w:jc w:val="center"/>
              <w:rPr>
                <w:b/>
                <w:bCs/>
                <w:szCs w:val="22"/>
              </w:rPr>
            </w:pPr>
            <w:r>
              <w:rPr>
                <w:rFonts w:hint="eastAsia"/>
                <w:b/>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4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color w:val="000000"/>
                <w:kern w:val="0"/>
                <w:sz w:val="20"/>
                <w:szCs w:val="20"/>
                <w:u w:val="none"/>
                <w:lang w:val="en-US" w:eastAsia="zh-CN" w:bidi="ar"/>
              </w:rPr>
              <w:t>1</w:t>
            </w:r>
          </w:p>
        </w:tc>
        <w:tc>
          <w:tcPr>
            <w:tcW w:w="12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cs="宋体"/>
                <w:i w:val="0"/>
                <w:iCs w:val="0"/>
                <w:color w:val="000000"/>
                <w:kern w:val="0"/>
                <w:sz w:val="20"/>
                <w:szCs w:val="20"/>
                <w:u w:val="none"/>
                <w:lang w:val="en-US" w:eastAsia="zh-CN" w:bidi="ar"/>
              </w:rPr>
              <w:t>10-20</w:t>
            </w:r>
          </w:p>
        </w:tc>
        <w:tc>
          <w:tcPr>
            <w:tcW w:w="1129"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逆回购</w:t>
            </w:r>
          </w:p>
        </w:tc>
        <w:tc>
          <w:tcPr>
            <w:tcW w:w="11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4500</w:t>
            </w:r>
          </w:p>
        </w:tc>
        <w:tc>
          <w:tcPr>
            <w:tcW w:w="1046"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1.42</w:t>
            </w:r>
            <w:bookmarkStart w:id="3" w:name="_GoBack"/>
            <w:bookmarkEnd w:id="3"/>
            <w:r>
              <w:rPr>
                <w:rFonts w:hint="eastAsia" w:ascii="宋体" w:hAnsi="宋体" w:cs="宋体"/>
                <w:i w:val="0"/>
                <w:iCs w:val="0"/>
                <w:color w:val="000000"/>
                <w:kern w:val="0"/>
                <w:sz w:val="20"/>
                <w:szCs w:val="20"/>
                <w:u w:val="none"/>
                <w:lang w:val="en-US" w:eastAsia="zh-CN" w:bidi="ar"/>
              </w:rPr>
              <w:t>%</w:t>
            </w:r>
          </w:p>
        </w:tc>
        <w:tc>
          <w:tcPr>
            <w:tcW w:w="1422"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招商证券资产管理有限公司</w:t>
            </w:r>
          </w:p>
        </w:tc>
        <w:tc>
          <w:tcPr>
            <w:tcW w:w="1477"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托管机构的关联法人</w:t>
            </w:r>
          </w:p>
        </w:tc>
        <w:tc>
          <w:tcPr>
            <w:tcW w:w="135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与关联方产品户进行回购交易</w:t>
            </w:r>
          </w:p>
        </w:tc>
        <w:tc>
          <w:tcPr>
            <w:tcW w:w="624" w:type="dxa"/>
            <w:shd w:val="clear" w:color="auto" w:fill="auto"/>
            <w:vAlign w:val="center"/>
          </w:tcPr>
          <w:p>
            <w:pPr>
              <w:jc w:val="center"/>
              <w:rPr>
                <w:rFonts w:hint="eastAsia" w:eastAsia="宋体"/>
                <w:lang w:eastAsia="zh-CN"/>
              </w:rPr>
            </w:pPr>
          </w:p>
        </w:tc>
      </w:tr>
    </w:tbl>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5136AFF"/>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2026-01-22T09:32:31Z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