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融智理财添利系列-D540-6理财产品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融智理财添利系列-D540-6理财产品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C1136021000008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2021-01-28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60,244,000.00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[1.9%-3.4%]/年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100.31%</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7"/>
            <w:bookmarkEnd w:id="0"/>
            <w:bookmarkStart w:id="1" w:name="OLE_LINK4"/>
            <w:bookmarkEnd w:id="1"/>
            <w:r>
              <w:t>20.32</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478,877.57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385,683.51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60,708,030.11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1.2032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60,708,030.11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1.2032</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50,336,200.60</w:t>
            </w:r>
          </w:p>
        </w:tc>
        <w:tc>
          <w:tcPr>
            <w:tcW w:w="1749" w:type="dxa"/>
            <w:shd w:val="clear" w:color="auto" w:fill="auto"/>
            <w:vAlign w:val="center"/>
          </w:tcPr>
          <w:p>
            <w:pPr>
              <w:jc w:val="right"/>
            </w:pPr>
            <w:r>
              <w:t>82.66</w:t>
            </w:r>
          </w:p>
        </w:tc>
        <w:tc>
          <w:tcPr>
            <w:tcW w:w="1653" w:type="dxa"/>
            <w:vAlign w:val="center"/>
          </w:tcPr>
          <w:p>
            <w:pPr>
              <w:jc w:val="right"/>
            </w:pPr>
            <w:r>
              <w:t>61,892.46</w:t>
            </w:r>
          </w:p>
        </w:tc>
        <w:tc>
          <w:tcPr>
            <w:tcW w:w="1705" w:type="dxa"/>
            <w:vAlign w:val="center"/>
          </w:tcPr>
          <w:p>
            <w:pPr>
              <w:jc w:val="right"/>
            </w:pPr>
            <w: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50,336,200.60</w:t>
            </w:r>
          </w:p>
        </w:tc>
        <w:tc>
          <w:tcPr>
            <w:tcW w:w="1749" w:type="dxa"/>
            <w:shd w:val="clear" w:color="auto" w:fill="auto"/>
            <w:vAlign w:val="center"/>
          </w:tcPr>
          <w:p>
            <w:pPr>
              <w:jc w:val="right"/>
            </w:pPr>
            <w:r>
              <w:t>82.66</w:t>
            </w:r>
          </w:p>
        </w:tc>
        <w:tc>
          <w:tcPr>
            <w:tcW w:w="1653" w:type="dxa"/>
            <w:vAlign w:val="center"/>
          </w:tcPr>
          <w:p>
            <w:pPr>
              <w:jc w:val="right"/>
            </w:pPr>
            <w:r>
              <w:t>61,892.46</w:t>
            </w:r>
          </w:p>
        </w:tc>
        <w:tc>
          <w:tcPr>
            <w:tcW w:w="1705" w:type="dxa"/>
            <w:vAlign w:val="center"/>
          </w:tcPr>
          <w:p>
            <w:pPr>
              <w:jc w:val="right"/>
            </w:pPr>
            <w: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384,681.78</w:t>
            </w:r>
          </w:p>
        </w:tc>
        <w:tc>
          <w:tcPr>
            <w:tcW w:w="1749" w:type="dxa"/>
            <w:shd w:val="clear" w:color="auto" w:fill="auto"/>
            <w:vAlign w:val="center"/>
          </w:tcPr>
          <w:p>
            <w:pPr>
              <w:jc w:val="right"/>
            </w:pPr>
            <w:r>
              <w:t>0.63</w:t>
            </w:r>
          </w:p>
        </w:tc>
        <w:tc>
          <w:tcPr>
            <w:tcW w:w="1653" w:type="dxa"/>
            <w:vAlign w:val="center"/>
          </w:tcPr>
          <w:p>
            <w:pPr>
              <w:jc w:val="right"/>
            </w:pPr>
            <w:r>
              <w:t>677.73</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58,796.04</w:t>
            </w:r>
          </w:p>
        </w:tc>
        <w:tc>
          <w:tcPr>
            <w:tcW w:w="1749" w:type="dxa"/>
            <w:shd w:val="clear" w:color="auto" w:fill="auto"/>
            <w:vAlign w:val="center"/>
          </w:tcPr>
          <w:p>
            <w:pPr>
              <w:jc w:val="right"/>
            </w:pPr>
            <w:r>
              <w:t>0.10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10,114,724.18</w:t>
            </w:r>
          </w:p>
        </w:tc>
        <w:tc>
          <w:tcPr>
            <w:tcW w:w="1749" w:type="dxa"/>
            <w:shd w:val="clear" w:color="auto" w:fill="auto"/>
            <w:vAlign w:val="center"/>
          </w:tcPr>
          <w:p>
            <w:pPr>
              <w:jc w:val="right"/>
            </w:pPr>
            <w:r>
              <w:t>16.61</w:t>
            </w:r>
          </w:p>
        </w:tc>
        <w:tc>
          <w:tcPr>
            <w:tcW w:w="1653" w:type="dxa"/>
            <w:vAlign w:val="center"/>
          </w:tcPr>
          <w:p>
            <w:pPr>
              <w:jc w:val="right"/>
            </w:pPr>
            <w:r>
              <w:t>0.04</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60,894,402.60</w:t>
            </w:r>
          </w:p>
        </w:tc>
        <w:tc>
          <w:tcPr>
            <w:tcW w:w="1749" w:type="dxa"/>
            <w:shd w:val="clear" w:color="auto" w:fill="auto"/>
          </w:tcPr>
          <w:p>
            <w:pPr>
              <w:jc w:val="right"/>
            </w:pPr>
            <w:r>
              <w:t>100.00</w:t>
            </w:r>
          </w:p>
        </w:tc>
        <w:tc>
          <w:tcPr>
            <w:tcW w:w="1653" w:type="dxa"/>
          </w:tcPr>
          <w:p>
            <w:pPr>
              <w:jc w:val="right"/>
            </w:pPr>
            <w:r>
              <w:t>62,570.23</w:t>
            </w:r>
          </w:p>
        </w:tc>
        <w:tc>
          <w:tcPr>
            <w:tcW w:w="1705" w:type="dxa"/>
          </w:tcPr>
          <w:p>
            <w:pPr>
              <w:jc w:val="right"/>
            </w:pPr>
            <w:r>
              <w:t>0.10</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6.15%；直接或间接持有的非标准化债权资产占比16.66%，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5406-湖南银行马上消费金融20250723</w:t>
            </w:r>
          </w:p>
        </w:tc>
        <w:tc>
          <w:tcPr>
            <w:tcW w:w="2693" w:type="dxa"/>
            <w:shd w:val="clear" w:color="auto" w:fill="auto"/>
            <w:vAlign w:val="center"/>
          </w:tcPr>
          <w:p>
            <w:pPr>
              <w:jc w:val="right"/>
            </w:pPr>
            <w:r>
              <w:t>10,114,724.18</w:t>
            </w:r>
          </w:p>
        </w:tc>
        <w:tc>
          <w:tcPr>
            <w:tcW w:w="2431" w:type="dxa"/>
            <w:shd w:val="clear" w:color="auto" w:fill="auto"/>
            <w:vAlign w:val="center"/>
          </w:tcPr>
          <w:p>
            <w:pPr>
              <w:jc w:val="right"/>
            </w:pPr>
            <w:r>
              <w:t>16.66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24株洲金城PPN001</w:t>
            </w:r>
          </w:p>
        </w:tc>
        <w:tc>
          <w:tcPr>
            <w:tcW w:w="2693" w:type="dxa"/>
            <w:shd w:val="clear" w:color="auto" w:fill="auto"/>
            <w:vAlign w:val="center"/>
          </w:tcPr>
          <w:p>
            <w:pPr>
              <w:ind w:hanging="1"/>
              <w:jc w:val="right"/>
            </w:pPr>
            <w:r>
              <w:rPr>
                <w:b w:val="0"/>
                <w:i w:val="0"/>
                <w:strike w:val="0"/>
                <w:u w:val="none"/>
              </w:rPr>
              <w:t>5,763,481.37</w:t>
            </w:r>
          </w:p>
        </w:tc>
        <w:tc>
          <w:tcPr>
            <w:tcW w:w="2431" w:type="dxa"/>
            <w:shd w:val="clear" w:color="auto" w:fill="auto"/>
            <w:vAlign w:val="center"/>
          </w:tcPr>
          <w:p>
            <w:pPr>
              <w:ind w:hanging="1"/>
              <w:jc w:val="right"/>
            </w:pPr>
            <w:r>
              <w:rPr>
                <w:b w:val="0"/>
                <w:i w:val="0"/>
                <w:strike w:val="0"/>
                <w:u w:val="none"/>
              </w:rPr>
              <w:t>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22长沙农商行二级资本债01</w:t>
            </w:r>
          </w:p>
        </w:tc>
        <w:tc>
          <w:tcPr>
            <w:tcW w:w="2693" w:type="dxa"/>
            <w:shd w:val="clear" w:color="auto" w:fill="auto"/>
            <w:vAlign w:val="center"/>
          </w:tcPr>
          <w:p>
            <w:pPr>
              <w:ind w:hanging="1"/>
              <w:jc w:val="right"/>
            </w:pPr>
            <w:r>
              <w:rPr>
                <w:b w:val="0"/>
                <w:i w:val="0"/>
                <w:strike w:val="0"/>
                <w:u w:val="none"/>
              </w:rPr>
              <w:t>5,535,486.99</w:t>
            </w:r>
          </w:p>
        </w:tc>
        <w:tc>
          <w:tcPr>
            <w:tcW w:w="2431" w:type="dxa"/>
            <w:shd w:val="clear" w:color="auto" w:fill="auto"/>
            <w:vAlign w:val="center"/>
          </w:tcPr>
          <w:p>
            <w:pPr>
              <w:ind w:hanging="1"/>
              <w:jc w:val="right"/>
            </w:pPr>
            <w:r>
              <w:rPr>
                <w:b w:val="0"/>
                <w:i w:val="0"/>
                <w:strike w:val="0"/>
                <w:u w:val="none"/>
              </w:rP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23振湘01</w:t>
            </w:r>
          </w:p>
        </w:tc>
        <w:tc>
          <w:tcPr>
            <w:tcW w:w="2693" w:type="dxa"/>
            <w:shd w:val="clear" w:color="auto" w:fill="auto"/>
            <w:vAlign w:val="center"/>
          </w:tcPr>
          <w:p>
            <w:pPr>
              <w:ind w:hanging="1"/>
              <w:jc w:val="right"/>
            </w:pPr>
            <w:r>
              <w:rPr>
                <w:b w:val="0"/>
                <w:i w:val="0"/>
                <w:strike w:val="0"/>
                <w:u w:val="none"/>
              </w:rPr>
              <w:t>5,463,219.73</w:t>
            </w:r>
          </w:p>
        </w:tc>
        <w:tc>
          <w:tcPr>
            <w:tcW w:w="2431" w:type="dxa"/>
            <w:shd w:val="clear" w:color="auto" w:fill="auto"/>
            <w:vAlign w:val="center"/>
          </w:tcPr>
          <w:p>
            <w:pPr>
              <w:ind w:hanging="1"/>
              <w:jc w:val="right"/>
            </w:pPr>
            <w:r>
              <w:rPr>
                <w:b w:val="0"/>
                <w:i w:val="0"/>
                <w:strike w:val="0"/>
                <w:u w:val="none"/>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24芦淞01</w:t>
            </w:r>
          </w:p>
        </w:tc>
        <w:tc>
          <w:tcPr>
            <w:tcW w:w="2693" w:type="dxa"/>
            <w:shd w:val="clear" w:color="auto" w:fill="auto"/>
            <w:vAlign w:val="center"/>
          </w:tcPr>
          <w:p>
            <w:pPr>
              <w:ind w:hanging="1"/>
              <w:jc w:val="right"/>
            </w:pPr>
            <w:r>
              <w:rPr>
                <w:b w:val="0"/>
                <w:i w:val="0"/>
                <w:strike w:val="0"/>
                <w:u w:val="none"/>
              </w:rPr>
              <w:t>5,260,272.60</w:t>
            </w:r>
          </w:p>
        </w:tc>
        <w:tc>
          <w:tcPr>
            <w:tcW w:w="2431" w:type="dxa"/>
            <w:shd w:val="clear" w:color="auto" w:fill="auto"/>
            <w:vAlign w:val="center"/>
          </w:tcPr>
          <w:p>
            <w:pPr>
              <w:ind w:hanging="1"/>
              <w:jc w:val="right"/>
            </w:pPr>
            <w:r>
              <w:rPr>
                <w:b w:val="0"/>
                <w:i w:val="0"/>
                <w:strike w:val="0"/>
                <w:u w:val="none"/>
              </w:rPr>
              <w:t>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22株城04</w:t>
            </w:r>
          </w:p>
        </w:tc>
        <w:tc>
          <w:tcPr>
            <w:tcW w:w="2693" w:type="dxa"/>
            <w:shd w:val="clear" w:color="auto" w:fill="auto"/>
            <w:vAlign w:val="center"/>
          </w:tcPr>
          <w:p>
            <w:pPr>
              <w:ind w:hanging="1"/>
              <w:jc w:val="right"/>
            </w:pPr>
            <w:r>
              <w:rPr>
                <w:b w:val="0"/>
                <w:i w:val="0"/>
                <w:strike w:val="0"/>
                <w:u w:val="none"/>
              </w:rPr>
              <w:t>5,018,786.19</w:t>
            </w:r>
          </w:p>
        </w:tc>
        <w:tc>
          <w:tcPr>
            <w:tcW w:w="2431" w:type="dxa"/>
            <w:shd w:val="clear" w:color="auto" w:fill="auto"/>
            <w:vAlign w:val="center"/>
          </w:tcPr>
          <w:p>
            <w:pPr>
              <w:ind w:hanging="1"/>
              <w:jc w:val="right"/>
            </w:pPr>
            <w:r>
              <w:rPr>
                <w:b w:val="0"/>
                <w:i w:val="0"/>
                <w:strike w:val="0"/>
                <w:u w:val="none"/>
              </w:rPr>
              <w:t>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23潇湘01</w:t>
            </w:r>
          </w:p>
        </w:tc>
        <w:tc>
          <w:tcPr>
            <w:tcW w:w="2693" w:type="dxa"/>
            <w:shd w:val="clear" w:color="auto" w:fill="auto"/>
            <w:vAlign w:val="center"/>
          </w:tcPr>
          <w:p>
            <w:pPr>
              <w:ind w:hanging="1"/>
              <w:jc w:val="right"/>
            </w:pPr>
            <w:r>
              <w:rPr>
                <w:b w:val="0"/>
                <w:i w:val="0"/>
                <w:strike w:val="0"/>
                <w:u w:val="none"/>
              </w:rPr>
              <w:t>3,496,860.82</w:t>
            </w:r>
          </w:p>
        </w:tc>
        <w:tc>
          <w:tcPr>
            <w:tcW w:w="2431" w:type="dxa"/>
            <w:shd w:val="clear" w:color="auto" w:fill="auto"/>
            <w:vAlign w:val="center"/>
          </w:tcPr>
          <w:p>
            <w:pPr>
              <w:ind w:hanging="1"/>
              <w:jc w:val="right"/>
            </w:pPr>
            <w:r>
              <w:rPr>
                <w:b w:val="0"/>
                <w:i w:val="0"/>
                <w:strike w:val="0"/>
                <w:u w:val="none"/>
              </w:rPr>
              <w:t>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24浏城01</w:t>
            </w:r>
          </w:p>
        </w:tc>
        <w:tc>
          <w:tcPr>
            <w:tcW w:w="2693" w:type="dxa"/>
            <w:shd w:val="clear" w:color="auto" w:fill="auto"/>
            <w:vAlign w:val="center"/>
          </w:tcPr>
          <w:p>
            <w:pPr>
              <w:ind w:hanging="1"/>
              <w:jc w:val="right"/>
            </w:pPr>
            <w:r>
              <w:rPr>
                <w:b w:val="0"/>
                <w:i w:val="0"/>
                <w:strike w:val="0"/>
                <w:u w:val="none"/>
              </w:rPr>
              <w:t>3,413,827.40</w:t>
            </w:r>
          </w:p>
        </w:tc>
        <w:tc>
          <w:tcPr>
            <w:tcW w:w="2431" w:type="dxa"/>
            <w:shd w:val="clear" w:color="auto" w:fill="auto"/>
            <w:vAlign w:val="center"/>
          </w:tcPr>
          <w:p>
            <w:pPr>
              <w:ind w:hanging="1"/>
              <w:jc w:val="right"/>
            </w:pPr>
            <w:r>
              <w:rPr>
                <w:b w:val="0"/>
                <w:i w:val="0"/>
                <w:strike w:val="0"/>
                <w:u w:val="none"/>
              </w:rPr>
              <w:t>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23国开07</w:t>
            </w:r>
          </w:p>
        </w:tc>
        <w:tc>
          <w:tcPr>
            <w:tcW w:w="2693" w:type="dxa"/>
            <w:shd w:val="clear" w:color="auto" w:fill="auto"/>
            <w:vAlign w:val="center"/>
          </w:tcPr>
          <w:p>
            <w:pPr>
              <w:ind w:hanging="1"/>
              <w:jc w:val="right"/>
            </w:pPr>
            <w:r>
              <w:rPr>
                <w:b w:val="0"/>
                <w:i w:val="0"/>
                <w:strike w:val="0"/>
                <w:u w:val="none"/>
              </w:rPr>
              <w:t>3,348,953.01</w:t>
            </w:r>
          </w:p>
        </w:tc>
        <w:tc>
          <w:tcPr>
            <w:tcW w:w="2431" w:type="dxa"/>
            <w:shd w:val="clear" w:color="auto" w:fill="auto"/>
            <w:vAlign w:val="center"/>
          </w:tcPr>
          <w:p>
            <w:pPr>
              <w:ind w:hanging="1"/>
              <w:jc w:val="right"/>
            </w:pPr>
            <w:r>
              <w:rPr>
                <w:b w:val="0"/>
                <w:i w:val="0"/>
                <w:strike w:val="0"/>
                <w:u w:val="none"/>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24吉华01</w:t>
            </w:r>
          </w:p>
        </w:tc>
        <w:tc>
          <w:tcPr>
            <w:tcW w:w="2693" w:type="dxa"/>
            <w:shd w:val="clear" w:color="auto" w:fill="auto"/>
            <w:vAlign w:val="center"/>
          </w:tcPr>
          <w:p>
            <w:pPr>
              <w:ind w:hanging="1"/>
              <w:jc w:val="right"/>
            </w:pPr>
            <w:r>
              <w:rPr>
                <w:b w:val="0"/>
                <w:i w:val="0"/>
                <w:strike w:val="0"/>
                <w:u w:val="none"/>
              </w:rPr>
              <w:t>2,910,820.16</w:t>
            </w:r>
          </w:p>
        </w:tc>
        <w:tc>
          <w:tcPr>
            <w:tcW w:w="2431" w:type="dxa"/>
            <w:shd w:val="clear" w:color="auto" w:fill="auto"/>
            <w:vAlign w:val="center"/>
          </w:tcPr>
          <w:p>
            <w:pPr>
              <w:ind w:hanging="1"/>
              <w:jc w:val="right"/>
            </w:pPr>
            <w:r>
              <w:rPr>
                <w:b w:val="0"/>
                <w:i w:val="0"/>
                <w:strike w:val="0"/>
                <w:u w:val="none"/>
              </w:rPr>
              <w:t>4.79</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2" w:name="_GoBack" w:colFirst="1" w:colLast="3"/>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5406-湖南银行马上消费金融20250723</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10,114,724.18</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16.66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24株洲金城PPN001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5,763,481.37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9.49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22长沙农商行二级资本债01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5,535,486.99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9.12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23振湘01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5,463,219.73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9.00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24芦淞01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5,260,272.60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8.66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22株城04</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5,018,786.19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8.27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23潇湘01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3,496,860.82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5.76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24浏城01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3,413,827.40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5.62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23国开07</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3,348,953.01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5.52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24吉华01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2,910,820.16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4.79</w:t>
            </w:r>
          </w:p>
        </w:tc>
      </w:tr>
      <w:bookmarkEnd w:id="2"/>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731903861410576</w:t>
            </w:r>
          </w:p>
        </w:tc>
        <w:tc>
          <w:tcPr>
            <w:tcW w:w="2693" w:type="dxa"/>
            <w:shd w:val="clear" w:color="auto" w:fill="auto"/>
            <w:vAlign w:val="center"/>
          </w:tcPr>
          <w:p>
            <w:pPr>
              <w:spacing w:before="100" w:beforeAutospacing="1" w:after="100" w:afterAutospacing="1"/>
            </w:pPr>
            <w:r>
              <w:t>湖南银行股份有限公司-融智理财添利系列-D540-6理财产品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5406-湖南银行马上消费金融20250723</w:t>
            </w:r>
          </w:p>
        </w:tc>
        <w:tc>
          <w:tcPr>
            <w:tcW w:w="1336" w:type="dxa"/>
            <w:shd w:val="clear" w:color="auto" w:fill="auto"/>
            <w:vAlign w:val="center"/>
          </w:tcPr>
          <w:p>
            <w:pPr>
              <w:spacing w:before="100" w:beforeAutospacing="1" w:after="100" w:afterAutospacing="1"/>
            </w:pPr>
            <w:r>
              <w:t>马上消费金融股份有限公司</w:t>
            </w:r>
          </w:p>
        </w:tc>
        <w:tc>
          <w:tcPr>
            <w:tcW w:w="1295" w:type="dxa"/>
            <w:shd w:val="clear" w:color="auto" w:fill="auto"/>
            <w:vAlign w:val="center"/>
          </w:tcPr>
          <w:p>
            <w:pPr>
              <w:spacing w:before="100" w:beforeAutospacing="1" w:after="100" w:afterAutospacing="1"/>
            </w:pPr>
            <w:r>
              <w:t>187</w:t>
            </w:r>
          </w:p>
        </w:tc>
        <w:tc>
          <w:tcPr>
            <w:tcW w:w="1514" w:type="dxa"/>
            <w:shd w:val="clear" w:color="auto" w:fill="auto"/>
            <w:vAlign w:val="center"/>
          </w:tcPr>
          <w:p>
            <w:pPr>
              <w:spacing w:before="100" w:beforeAutospacing="1" w:after="100" w:afterAutospacing="1"/>
            </w:pPr>
            <w:r>
              <w:t>正常</w:t>
            </w:r>
          </w:p>
        </w:tc>
        <w:tc>
          <w:tcPr>
            <w:tcW w:w="1527" w:type="dxa"/>
            <w:shd w:val="clear" w:color="auto" w:fill="auto"/>
            <w:vAlign w:val="center"/>
          </w:tcPr>
          <w:p>
            <w:pPr>
              <w:spacing w:before="100" w:beforeAutospacing="1" w:after="100" w:afterAutospacing="1"/>
            </w:pPr>
            <w:r>
              <w:t>2.6</w:t>
            </w:r>
          </w:p>
        </w:tc>
        <w:tc>
          <w:tcPr>
            <w:tcW w:w="1624" w:type="dxa"/>
            <w:shd w:val="clear" w:color="auto" w:fill="auto"/>
            <w:vAlign w:val="center"/>
          </w:tcPr>
          <w:p>
            <w:pPr>
              <w:spacing w:before="100" w:beforeAutospacing="1" w:after="100" w:afterAutospacing="1"/>
            </w:pPr>
            <w:r>
              <w:t>同业借款</w:t>
            </w: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2E6902CF"/>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5</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2026-01-23T02:42:13Z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