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r>
        <w:rPr>
          <w:rFonts w:ascii="宋体" w:hAnsi="宋体"/>
          <w:b/>
          <w:bCs/>
          <w:sz w:val="48"/>
          <w:szCs w:val="30"/>
        </w:rPr>
        <w:t>融智理财添利系列-D540-13理财产品</w:t>
      </w:r>
    </w:p>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r>
              <w:rPr>
                <w:rFonts w:hint="eastAsia" w:ascii="宋体" w:hAnsi="宋体"/>
              </w:rPr>
              <w:t>融智理财添利系列-D540-13理财产品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C1136021000081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定期开放式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2021-08-25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82,765,000.00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ascii="宋体" w:hAnsi="宋体"/>
              </w:rPr>
              <w:t>[2%-3.1%]/年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公允价值计量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100.74%</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净值增长率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自产品成立日至今</w:t>
            </w:r>
          </w:p>
        </w:tc>
        <w:tc>
          <w:tcPr>
            <w:tcW w:w="5103" w:type="dxa"/>
            <w:vAlign w:val="center"/>
          </w:tcPr>
          <w:p>
            <w:pPr>
              <w:jc w:val="right"/>
            </w:pPr>
            <w:bookmarkStart w:id="0" w:name="OLE_LINK7"/>
            <w:bookmarkEnd w:id="0"/>
            <w:bookmarkStart w:id="1" w:name="OLE_LINK4"/>
            <w:bookmarkEnd w:id="1"/>
            <w:r>
              <w:t>16.94</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838" w:type="dxa"/>
            <w:shd w:val="clear" w:color="auto" w:fill="D9D9D9"/>
            <w:vAlign w:val="center"/>
          </w:tcPr>
          <w:p>
            <w:pPr>
              <w:jc w:val="left"/>
              <w:rPr>
                <w:rFonts w:ascii="宋体" w:hAnsi="宋体"/>
                <w:b/>
              </w:rPr>
            </w:pPr>
            <w:r>
              <w:rPr>
                <w:rFonts w:hint="eastAsia"/>
                <w:b/>
                <w:bCs/>
              </w:rPr>
              <w:t>项目</w:t>
            </w:r>
          </w:p>
        </w:tc>
        <w:tc>
          <w:tcPr>
            <w:tcW w:w="5027"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本期已实现收益</w:t>
            </w:r>
          </w:p>
        </w:tc>
        <w:tc>
          <w:tcPr>
            <w:tcW w:w="5027" w:type="dxa"/>
            <w:vAlign w:val="center"/>
          </w:tcPr>
          <w:p>
            <w:pPr>
              <w:jc w:val="right"/>
            </w:pPr>
            <w:r>
              <w:t>223,426.68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5027" w:type="dxa"/>
            <w:shd w:val="clear" w:color="auto" w:fill="auto"/>
            <w:vAlign w:val="center"/>
          </w:tcPr>
          <w:p>
            <w:pPr>
              <w:ind w:hanging="1"/>
              <w:jc w:val="right"/>
            </w:pPr>
            <w:r>
              <w:rPr>
                <w:b w:val="0"/>
                <w:i w:val="0"/>
                <w:strike w:val="0"/>
                <w:u w:val="none"/>
              </w:rPr>
              <w:t>475,273.05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5027" w:type="dxa"/>
            <w:shd w:val="clear" w:color="auto" w:fill="auto"/>
            <w:vAlign w:val="center"/>
          </w:tcPr>
          <w:p>
            <w:pPr>
              <w:ind w:hanging="1"/>
              <w:jc w:val="right"/>
            </w:pPr>
            <w:r>
              <w:rPr>
                <w:b w:val="0"/>
                <w:i w:val="0"/>
                <w:strike w:val="0"/>
                <w:u w:val="none"/>
              </w:rPr>
              <w:t>84,993,698.37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期末产品份额净值</w:t>
            </w:r>
          </w:p>
        </w:tc>
        <w:tc>
          <w:tcPr>
            <w:tcW w:w="5027" w:type="dxa"/>
            <w:shd w:val="clear" w:color="auto" w:fill="auto"/>
            <w:vAlign w:val="center"/>
          </w:tcPr>
          <w:p>
            <w:pPr>
              <w:ind w:hanging="1"/>
              <w:jc w:val="right"/>
            </w:pPr>
            <w:r>
              <w:rPr>
                <w:b w:val="0"/>
                <w:i w:val="0"/>
                <w:strike w:val="0"/>
                <w:u w:val="none"/>
              </w:rPr>
              <w:t>1.0269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期末累计份额净值</w:t>
            </w:r>
          </w:p>
        </w:tc>
        <w:tc>
          <w:tcPr>
            <w:tcW w:w="5027" w:type="dxa"/>
            <w:shd w:val="clear" w:color="auto" w:fill="auto"/>
            <w:vAlign w:val="center"/>
          </w:tcPr>
          <w:p>
            <w:pPr>
              <w:ind w:hanging="1"/>
              <w:jc w:val="right"/>
            </w:pPr>
            <w:r>
              <w:rPr>
                <w:b w:val="0"/>
                <w:i w:val="0"/>
                <w:strike w:val="0"/>
                <w:u w:val="none"/>
              </w:rPr>
              <w:t>1.1694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5027" w:type="dxa"/>
            <w:vAlign w:val="center"/>
          </w:tcPr>
          <w:p>
            <w:pPr>
              <w:jc w:val="right"/>
              <w:rPr>
                <w:rFonts w:hint="eastAsia"/>
                <w:lang w:val="en-US" w:eastAsia="zh-CN"/>
              </w:rPr>
            </w:pPr>
            <w:r>
              <w:rPr>
                <w:rFonts w:hint="eastAsia"/>
              </w:rPr>
              <w:t>84,993,698.37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b/>
                <w:bCs/>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产品份额</w:t>
            </w:r>
            <w:r>
              <w:rPr>
                <w:rFonts w:hint="eastAsia" w:ascii="宋体" w:hAnsi="宋体"/>
              </w:rPr>
              <w:t>净值</w:t>
            </w:r>
          </w:p>
        </w:tc>
        <w:tc>
          <w:tcPr>
            <w:tcW w:w="5027" w:type="dxa"/>
            <w:vAlign w:val="center"/>
          </w:tcPr>
          <w:p>
            <w:pPr>
              <w:jc w:val="right"/>
              <w:rPr>
                <w:rFonts w:hint="eastAsia"/>
                <w:lang w:val="en-US" w:eastAsia="zh-CN"/>
              </w:rPr>
            </w:pPr>
            <w:r>
              <w:rPr>
                <w:rFonts w:hint="eastAsia"/>
              </w:rPr>
              <w:t>1.0269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累计份额</w:t>
            </w:r>
            <w:r>
              <w:rPr>
                <w:rFonts w:hint="eastAsia" w:ascii="宋体" w:hAnsi="宋体"/>
              </w:rPr>
              <w:t>净值</w:t>
            </w:r>
          </w:p>
        </w:tc>
        <w:tc>
          <w:tcPr>
            <w:tcW w:w="5027" w:type="dxa"/>
            <w:vAlign w:val="center"/>
          </w:tcPr>
          <w:p>
            <w:pPr>
              <w:jc w:val="right"/>
              <w:rPr>
                <w:rFonts w:hint="eastAsia"/>
                <w:lang w:val="en-US" w:eastAsia="zh-CN"/>
              </w:rPr>
            </w:pPr>
            <w:r>
              <w:rPr>
                <w:rFonts w:hint="eastAsia"/>
              </w:rPr>
              <w:t>1.1694</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采用信用精选策略进行投资运作。在严格信用分析、把控信用风险的基础上，精选信用资质较好、具有较高配置价值的债券作为组合底仓；根据产品的流动性需求，适当搭配高流动性或期限匹配的资产；整体控制组合久期并根据市场情况适当调整，降低组合市场风险；适时结合杠杆策略，骑乘策略增厚产品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74,916,868.76</w:t>
            </w:r>
          </w:p>
        </w:tc>
        <w:tc>
          <w:tcPr>
            <w:tcW w:w="1749" w:type="dxa"/>
            <w:shd w:val="clear" w:color="auto" w:fill="auto"/>
            <w:vAlign w:val="center"/>
          </w:tcPr>
          <w:p>
            <w:pPr>
              <w:jc w:val="right"/>
            </w:pPr>
            <w:r>
              <w:t>87.49</w:t>
            </w:r>
          </w:p>
        </w:tc>
        <w:tc>
          <w:tcPr>
            <w:tcW w:w="1653" w:type="dxa"/>
            <w:vAlign w:val="center"/>
          </w:tcPr>
          <w:p>
            <w:pPr>
              <w:jc w:val="right"/>
            </w:pPr>
            <w:r>
              <w:t>10,088,543.03</w:t>
            </w:r>
          </w:p>
        </w:tc>
        <w:tc>
          <w:tcPr>
            <w:tcW w:w="1705" w:type="dxa"/>
            <w:vAlign w:val="center"/>
          </w:tcPr>
          <w:p>
            <w:pPr>
              <w:jc w:val="right"/>
            </w:pPr>
            <w:r>
              <w:t>11.78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74,916,868.76</w:t>
            </w:r>
          </w:p>
        </w:tc>
        <w:tc>
          <w:tcPr>
            <w:tcW w:w="1749" w:type="dxa"/>
            <w:shd w:val="clear" w:color="auto" w:fill="auto"/>
            <w:vAlign w:val="center"/>
          </w:tcPr>
          <w:p>
            <w:pPr>
              <w:jc w:val="right"/>
            </w:pPr>
            <w:r>
              <w:t>87.49</w:t>
            </w:r>
          </w:p>
        </w:tc>
        <w:tc>
          <w:tcPr>
            <w:tcW w:w="1653" w:type="dxa"/>
            <w:vAlign w:val="center"/>
          </w:tcPr>
          <w:p>
            <w:pPr>
              <w:jc w:val="right"/>
            </w:pPr>
            <w:r>
              <w:t>10,088,543.03</w:t>
            </w:r>
          </w:p>
        </w:tc>
        <w:tc>
          <w:tcPr>
            <w:tcW w:w="1705" w:type="dxa"/>
            <w:vAlign w:val="center"/>
          </w:tcPr>
          <w:p>
            <w:pPr>
              <w:jc w:val="right"/>
            </w:pPr>
            <w:r>
              <w:t>11.78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257,249.64</w:t>
            </w:r>
          </w:p>
        </w:tc>
        <w:tc>
          <w:tcPr>
            <w:tcW w:w="1749" w:type="dxa"/>
            <w:shd w:val="clear" w:color="auto" w:fill="auto"/>
            <w:vAlign w:val="center"/>
          </w:tcPr>
          <w:p>
            <w:pPr>
              <w:jc w:val="right"/>
            </w:pPr>
            <w:r>
              <w:t>0.30</w:t>
            </w:r>
          </w:p>
        </w:tc>
        <w:tc>
          <w:tcPr>
            <w:tcW w:w="1653" w:type="dxa"/>
            <w:vAlign w:val="center"/>
          </w:tcPr>
          <w:p>
            <w:pPr>
              <w:jc w:val="right"/>
            </w:pPr>
            <w:r>
              <w:t>146,685.54</w:t>
            </w:r>
          </w:p>
        </w:tc>
        <w:tc>
          <w:tcPr>
            <w:tcW w:w="1705" w:type="dxa"/>
            <w:vAlign w:val="center"/>
          </w:tcPr>
          <w:p>
            <w:pPr>
              <w:jc w:val="right"/>
            </w:pPr>
            <w:r>
              <w:t>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10,450,382.58</w:t>
            </w:r>
          </w:p>
        </w:tc>
        <w:tc>
          <w:tcPr>
            <w:tcW w:w="1749" w:type="dxa"/>
            <w:shd w:val="clear" w:color="auto" w:fill="auto"/>
            <w:vAlign w:val="center"/>
          </w:tcPr>
          <w:p>
            <w:pPr>
              <w:jc w:val="right"/>
            </w:pPr>
            <w:r>
              <w:t>12.20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220,302.26</w:t>
            </w:r>
          </w:p>
        </w:tc>
        <w:tc>
          <w:tcPr>
            <w:tcW w:w="1705" w:type="dxa"/>
            <w:vAlign w:val="center"/>
          </w:tcPr>
          <w:p>
            <w:pPr>
              <w:jc w:val="right"/>
            </w:pPr>
            <w:r>
              <w:t>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85,624,500.98</w:t>
            </w:r>
          </w:p>
        </w:tc>
        <w:tc>
          <w:tcPr>
            <w:tcW w:w="1749" w:type="dxa"/>
            <w:shd w:val="clear" w:color="auto" w:fill="auto"/>
          </w:tcPr>
          <w:p>
            <w:pPr>
              <w:jc w:val="right"/>
            </w:pPr>
            <w:r>
              <w:t>100.00</w:t>
            </w:r>
          </w:p>
        </w:tc>
        <w:tc>
          <w:tcPr>
            <w:tcW w:w="1653" w:type="dxa"/>
          </w:tcPr>
          <w:p>
            <w:pPr>
              <w:jc w:val="right"/>
            </w:pPr>
            <w:r>
              <w:t>10,455,530.83</w:t>
            </w:r>
          </w:p>
        </w:tc>
        <w:tc>
          <w:tcPr>
            <w:tcW w:w="1705" w:type="dxa"/>
          </w:tcPr>
          <w:p>
            <w:pPr>
              <w:jc w:val="right"/>
            </w:pPr>
            <w:r>
              <w:t>12.21</w:t>
            </w:r>
          </w:p>
        </w:tc>
      </w:tr>
    </w:tbl>
    <w:p>
      <w:pPr>
        <w:ind w:left="420" w:leftChars="200"/>
        <w:jc w:val="left"/>
        <w:rPr>
          <w:rFonts w:ascii="宋体" w:hAnsi="宋体"/>
          <w:sz w:val="24"/>
        </w:rPr>
      </w:pPr>
      <w:r>
        <w:rPr>
          <w:rFonts w:ascii="宋体" w:hAnsi="宋体"/>
          <w:szCs w:val="21"/>
        </w:rPr>
        <w:t>注1：间接投资占产品总资产的比例（%）为占本产品总资产的比例（%）。</w:t>
      </w: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6.27%；直接或间接持有的非标准化债权资产占比0.00%，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华夏纯债3号</w:t>
            </w:r>
          </w:p>
        </w:tc>
        <w:tc>
          <w:tcPr>
            <w:tcW w:w="2693" w:type="dxa"/>
            <w:shd w:val="clear" w:color="auto" w:fill="auto"/>
            <w:vAlign w:val="center"/>
          </w:tcPr>
          <w:p>
            <w:pPr>
              <w:jc w:val="right"/>
            </w:pPr>
            <w:r>
              <w:t>10,450,382.58</w:t>
            </w:r>
          </w:p>
        </w:tc>
        <w:tc>
          <w:tcPr>
            <w:tcW w:w="2431" w:type="dxa"/>
            <w:shd w:val="clear" w:color="auto" w:fill="auto"/>
            <w:vAlign w:val="center"/>
          </w:tcPr>
          <w:p>
            <w:pPr>
              <w:jc w:val="right"/>
            </w:pPr>
            <w:r>
              <w:t>12.30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22金洲专项02</w:t>
            </w:r>
          </w:p>
        </w:tc>
        <w:tc>
          <w:tcPr>
            <w:tcW w:w="2693" w:type="dxa"/>
            <w:shd w:val="clear" w:color="auto" w:fill="auto"/>
            <w:vAlign w:val="center"/>
          </w:tcPr>
          <w:p>
            <w:pPr>
              <w:ind w:hanging="1"/>
              <w:jc w:val="right"/>
            </w:pPr>
            <w:r>
              <w:rPr>
                <w:b w:val="0"/>
                <w:i w:val="0"/>
                <w:strike w:val="0"/>
                <w:u w:val="none"/>
              </w:rPr>
              <w:t>7,605,782.05</w:t>
            </w:r>
          </w:p>
        </w:tc>
        <w:tc>
          <w:tcPr>
            <w:tcW w:w="2431" w:type="dxa"/>
            <w:shd w:val="clear" w:color="auto" w:fill="auto"/>
            <w:vAlign w:val="center"/>
          </w:tcPr>
          <w:p>
            <w:pPr>
              <w:ind w:hanging="1"/>
              <w:jc w:val="right"/>
            </w:pPr>
            <w:r>
              <w:rPr>
                <w:b w:val="0"/>
                <w:i w:val="0"/>
                <w:strike w:val="0"/>
                <w:u w:val="none"/>
              </w:rPr>
              <w:t>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23振湘01</w:t>
            </w:r>
          </w:p>
        </w:tc>
        <w:tc>
          <w:tcPr>
            <w:tcW w:w="2693" w:type="dxa"/>
            <w:shd w:val="clear" w:color="auto" w:fill="auto"/>
            <w:vAlign w:val="center"/>
          </w:tcPr>
          <w:p>
            <w:pPr>
              <w:ind w:hanging="1"/>
              <w:jc w:val="right"/>
            </w:pPr>
            <w:r>
              <w:rPr>
                <w:b w:val="0"/>
                <w:i w:val="0"/>
                <w:strike w:val="0"/>
                <w:u w:val="none"/>
              </w:rPr>
              <w:t>7,564,458.08</w:t>
            </w:r>
          </w:p>
        </w:tc>
        <w:tc>
          <w:tcPr>
            <w:tcW w:w="2431" w:type="dxa"/>
            <w:shd w:val="clear" w:color="auto" w:fill="auto"/>
            <w:vAlign w:val="center"/>
          </w:tcPr>
          <w:p>
            <w:pPr>
              <w:ind w:hanging="1"/>
              <w:jc w:val="right"/>
            </w:pPr>
            <w:r>
              <w:rPr>
                <w:b w:val="0"/>
                <w:i w:val="0"/>
                <w:strike w:val="0"/>
                <w:u w:val="none"/>
              </w:rPr>
              <w:t>8.90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24湘担Y1</w:t>
            </w:r>
          </w:p>
        </w:tc>
        <w:tc>
          <w:tcPr>
            <w:tcW w:w="2693" w:type="dxa"/>
            <w:shd w:val="clear" w:color="auto" w:fill="auto"/>
            <w:vAlign w:val="center"/>
          </w:tcPr>
          <w:p>
            <w:pPr>
              <w:ind w:hanging="1"/>
              <w:jc w:val="right"/>
            </w:pPr>
            <w:r>
              <w:rPr>
                <w:b w:val="0"/>
                <w:i w:val="0"/>
                <w:strike w:val="0"/>
                <w:u w:val="none"/>
              </w:rPr>
              <w:t>7,558,037.67</w:t>
            </w:r>
          </w:p>
        </w:tc>
        <w:tc>
          <w:tcPr>
            <w:tcW w:w="2431" w:type="dxa"/>
            <w:shd w:val="clear" w:color="auto" w:fill="auto"/>
            <w:vAlign w:val="center"/>
          </w:tcPr>
          <w:p>
            <w:pPr>
              <w:ind w:hanging="1"/>
              <w:jc w:val="right"/>
            </w:pPr>
            <w:r>
              <w:rPr>
                <w:b w:val="0"/>
                <w:i w:val="0"/>
                <w:strike w:val="0"/>
                <w:u w:val="none"/>
              </w:rPr>
              <w:t>8.89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25华润银行永续债01</w:t>
            </w:r>
          </w:p>
        </w:tc>
        <w:tc>
          <w:tcPr>
            <w:tcW w:w="2693" w:type="dxa"/>
            <w:shd w:val="clear" w:color="auto" w:fill="auto"/>
            <w:vAlign w:val="center"/>
          </w:tcPr>
          <w:p>
            <w:pPr>
              <w:ind w:hanging="1"/>
              <w:jc w:val="right"/>
            </w:pPr>
            <w:r>
              <w:rPr>
                <w:b w:val="0"/>
                <w:i w:val="0"/>
                <w:strike w:val="0"/>
                <w:u w:val="none"/>
              </w:rPr>
              <w:t>7,461,926.85</w:t>
            </w:r>
          </w:p>
        </w:tc>
        <w:tc>
          <w:tcPr>
            <w:tcW w:w="2431" w:type="dxa"/>
            <w:shd w:val="clear" w:color="auto" w:fill="auto"/>
            <w:vAlign w:val="center"/>
          </w:tcPr>
          <w:p>
            <w:pPr>
              <w:ind w:hanging="1"/>
              <w:jc w:val="right"/>
            </w:pPr>
            <w:r>
              <w:rPr>
                <w:b w:val="0"/>
                <w:i w:val="0"/>
                <w:strike w:val="0"/>
                <w:u w:val="none"/>
              </w:rPr>
              <w:t>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24浏城01</w:t>
            </w:r>
          </w:p>
        </w:tc>
        <w:tc>
          <w:tcPr>
            <w:tcW w:w="2693" w:type="dxa"/>
            <w:shd w:val="clear" w:color="auto" w:fill="auto"/>
            <w:vAlign w:val="center"/>
          </w:tcPr>
          <w:p>
            <w:pPr>
              <w:ind w:hanging="1"/>
              <w:jc w:val="right"/>
            </w:pPr>
            <w:r>
              <w:rPr>
                <w:b w:val="0"/>
                <w:i w:val="0"/>
                <w:strike w:val="0"/>
                <w:u w:val="none"/>
              </w:rPr>
              <w:t>7,138,002.74</w:t>
            </w:r>
          </w:p>
        </w:tc>
        <w:tc>
          <w:tcPr>
            <w:tcW w:w="2431" w:type="dxa"/>
            <w:shd w:val="clear" w:color="auto" w:fill="auto"/>
            <w:vAlign w:val="center"/>
          </w:tcPr>
          <w:p>
            <w:pPr>
              <w:ind w:hanging="1"/>
              <w:jc w:val="right"/>
            </w:pPr>
            <w:r>
              <w:rPr>
                <w:b w:val="0"/>
                <w:i w:val="0"/>
                <w:strike w:val="0"/>
                <w:u w:val="none"/>
              </w:rPr>
              <w:t>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21郑州银行永续债</w:t>
            </w:r>
          </w:p>
        </w:tc>
        <w:tc>
          <w:tcPr>
            <w:tcW w:w="2693" w:type="dxa"/>
            <w:shd w:val="clear" w:color="auto" w:fill="auto"/>
            <w:vAlign w:val="center"/>
          </w:tcPr>
          <w:p>
            <w:pPr>
              <w:ind w:hanging="1"/>
              <w:jc w:val="right"/>
            </w:pPr>
            <w:r>
              <w:rPr>
                <w:b w:val="0"/>
                <w:i w:val="0"/>
                <w:strike w:val="0"/>
                <w:u w:val="none"/>
              </w:rPr>
              <w:t>6,487,420.68</w:t>
            </w:r>
          </w:p>
        </w:tc>
        <w:tc>
          <w:tcPr>
            <w:tcW w:w="2431" w:type="dxa"/>
            <w:shd w:val="clear" w:color="auto" w:fill="auto"/>
            <w:vAlign w:val="center"/>
          </w:tcPr>
          <w:p>
            <w:pPr>
              <w:ind w:hanging="1"/>
              <w:jc w:val="right"/>
            </w:pPr>
            <w:r>
              <w:rPr>
                <w:b w:val="0"/>
                <w:i w:val="0"/>
                <w:strike w:val="0"/>
                <w:u w:val="none"/>
              </w:rPr>
              <w:t>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24湖南临港MTN001</w:t>
            </w:r>
          </w:p>
        </w:tc>
        <w:tc>
          <w:tcPr>
            <w:tcW w:w="2693" w:type="dxa"/>
            <w:shd w:val="clear" w:color="auto" w:fill="auto"/>
            <w:vAlign w:val="center"/>
          </w:tcPr>
          <w:p>
            <w:pPr>
              <w:ind w:hanging="1"/>
              <w:jc w:val="right"/>
            </w:pPr>
            <w:r>
              <w:rPr>
                <w:b w:val="0"/>
                <w:i w:val="0"/>
                <w:strike w:val="0"/>
                <w:u w:val="none"/>
              </w:rPr>
              <w:t>6,454,403.84</w:t>
            </w:r>
          </w:p>
        </w:tc>
        <w:tc>
          <w:tcPr>
            <w:tcW w:w="2431" w:type="dxa"/>
            <w:shd w:val="clear" w:color="auto" w:fill="auto"/>
            <w:vAlign w:val="center"/>
          </w:tcPr>
          <w:p>
            <w:pPr>
              <w:ind w:hanging="1"/>
              <w:jc w:val="right"/>
            </w:pPr>
            <w:r>
              <w:rPr>
                <w:b w:val="0"/>
                <w:i w:val="0"/>
                <w:strike w:val="0"/>
                <w:u w:val="none"/>
              </w:rPr>
              <w:t>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23郴发01</w:t>
            </w:r>
          </w:p>
        </w:tc>
        <w:tc>
          <w:tcPr>
            <w:tcW w:w="2693" w:type="dxa"/>
            <w:shd w:val="clear" w:color="auto" w:fill="auto"/>
            <w:vAlign w:val="center"/>
          </w:tcPr>
          <w:p>
            <w:pPr>
              <w:ind w:hanging="1"/>
              <w:jc w:val="right"/>
            </w:pPr>
            <w:r>
              <w:rPr>
                <w:b w:val="0"/>
                <w:i w:val="0"/>
                <w:strike w:val="0"/>
                <w:u w:val="none"/>
              </w:rPr>
              <w:t>6,199,494.25</w:t>
            </w:r>
          </w:p>
        </w:tc>
        <w:tc>
          <w:tcPr>
            <w:tcW w:w="2431" w:type="dxa"/>
            <w:shd w:val="clear" w:color="auto" w:fill="auto"/>
            <w:vAlign w:val="center"/>
          </w:tcPr>
          <w:p>
            <w:pPr>
              <w:ind w:hanging="1"/>
              <w:jc w:val="right"/>
            </w:pPr>
            <w:r>
              <w:rPr>
                <w:b w:val="0"/>
                <w:i w:val="0"/>
                <w:strike w:val="0"/>
                <w:u w:val="none"/>
              </w:rPr>
              <w:t>7.29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23国开07</w:t>
            </w:r>
          </w:p>
        </w:tc>
        <w:tc>
          <w:tcPr>
            <w:tcW w:w="2693" w:type="dxa"/>
            <w:shd w:val="clear" w:color="auto" w:fill="auto"/>
            <w:vAlign w:val="center"/>
          </w:tcPr>
          <w:p>
            <w:pPr>
              <w:ind w:hanging="1"/>
              <w:jc w:val="right"/>
            </w:pPr>
            <w:r>
              <w:rPr>
                <w:b w:val="0"/>
                <w:i w:val="0"/>
                <w:strike w:val="0"/>
                <w:u w:val="none"/>
              </w:rPr>
              <w:t>5,074,171.23</w:t>
            </w:r>
          </w:p>
        </w:tc>
        <w:tc>
          <w:tcPr>
            <w:tcW w:w="2431" w:type="dxa"/>
            <w:shd w:val="clear" w:color="auto" w:fill="auto"/>
            <w:vAlign w:val="center"/>
          </w:tcPr>
          <w:p>
            <w:pPr>
              <w:ind w:hanging="1"/>
              <w:jc w:val="right"/>
            </w:pPr>
            <w:r>
              <w:rPr>
                <w:b w:val="0"/>
                <w:i w:val="0"/>
                <w:strike w:val="0"/>
                <w:u w:val="none"/>
              </w:rPr>
              <w:t>5.97</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blPrEx>
          <w:tblCellMar>
            <w:top w:w="0" w:type="dxa"/>
            <w:left w:w="0" w:type="dxa"/>
            <w:bottom w:w="0" w:type="dxa"/>
            <w:right w:w="0" w:type="dxa"/>
          </w:tblCellMar>
        </w:tblPrEx>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bookmarkStart w:id="2" w:name="_GoBack" w:colFirst="1" w:colLast="3"/>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22金洲专项02</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7,605,782.05</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8.95</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23振湘01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7,564,458.08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8.90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24湘担Y1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7,558,037.67</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8.89</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25华润银行永续债01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7,461,926.85</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8.78</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24浏城01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7,138,002.74</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8.40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21郑州银行永续债</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6,487,420.68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7.63</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24湖南临港MTN001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6,454,403.84</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7.59</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23郴发01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6,199,494.25</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7.29</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23国开07</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5,074,171.23</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5.97</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22长沙农商行二级资本债01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4,282,169.18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5.04</w:t>
            </w:r>
          </w:p>
        </w:tc>
      </w:tr>
      <w:bookmarkEnd w:id="2"/>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731903861410105</w:t>
            </w:r>
          </w:p>
        </w:tc>
        <w:tc>
          <w:tcPr>
            <w:tcW w:w="2693" w:type="dxa"/>
            <w:shd w:val="clear" w:color="auto" w:fill="auto"/>
            <w:vAlign w:val="center"/>
          </w:tcPr>
          <w:p>
            <w:pPr>
              <w:spacing w:before="100" w:beforeAutospacing="1" w:after="100" w:afterAutospacing="1"/>
            </w:pPr>
            <w:r>
              <w:t>湖南银行股份有限公司-融智理财添利系列-D540-13理财产品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p>
      <w:pPr>
        <w:spacing w:line="360" w:lineRule="auto"/>
        <w:rPr>
          <w:rFonts w:ascii="宋体" w:hAnsi="宋体"/>
          <w:szCs w:val="21"/>
        </w:rPr>
      </w:pPr>
      <w:r>
        <w:rPr>
          <w:rFonts w:hint="eastAsia" w:ascii="宋体" w:hAnsi="宋体"/>
          <w:szCs w:val="21"/>
        </w:rPr>
        <w:t>无</w:t>
      </w:r>
    </w:p>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5" w:type="dxa"/>
            <w:shd w:val="clear" w:color="auto" w:fill="auto"/>
            <w:vAlign w:val="center"/>
          </w:tcPr>
          <w:p>
            <w:pPr>
              <w:spacing w:before="100" w:beforeAutospacing="1" w:after="100" w:afterAutospacing="1"/>
            </w:pPr>
            <w:r>
              <w:t>无</w:t>
            </w:r>
          </w:p>
        </w:tc>
        <w:tc>
          <w:tcPr>
            <w:tcW w:w="1336" w:type="dxa"/>
            <w:shd w:val="clear" w:color="auto" w:fill="auto"/>
            <w:vAlign w:val="center"/>
          </w:tcPr>
          <w:p>
            <w:pPr>
              <w:spacing w:before="100" w:beforeAutospacing="1" w:after="100" w:afterAutospacing="1"/>
            </w:pPr>
          </w:p>
        </w:tc>
        <w:tc>
          <w:tcPr>
            <w:tcW w:w="1295" w:type="dxa"/>
            <w:shd w:val="clear" w:color="auto" w:fill="auto"/>
            <w:vAlign w:val="center"/>
          </w:tcPr>
          <w:p>
            <w:pPr>
              <w:spacing w:before="100" w:beforeAutospacing="1" w:after="100" w:afterAutospacing="1"/>
            </w:pPr>
          </w:p>
        </w:tc>
        <w:tc>
          <w:tcPr>
            <w:tcW w:w="1514" w:type="dxa"/>
            <w:shd w:val="clear" w:color="auto" w:fill="auto"/>
            <w:vAlign w:val="center"/>
          </w:tcPr>
          <w:p>
            <w:pPr>
              <w:spacing w:before="100" w:beforeAutospacing="1" w:after="100" w:afterAutospacing="1"/>
            </w:pPr>
          </w:p>
        </w:tc>
        <w:tc>
          <w:tcPr>
            <w:tcW w:w="1527" w:type="dxa"/>
            <w:shd w:val="clear" w:color="auto" w:fill="auto"/>
            <w:vAlign w:val="center"/>
          </w:tcPr>
          <w:p>
            <w:pPr>
              <w:spacing w:before="100" w:beforeAutospacing="1" w:after="100" w:afterAutospacing="1"/>
            </w:pPr>
          </w:p>
        </w:tc>
        <w:tc>
          <w:tcPr>
            <w:tcW w:w="1624" w:type="dxa"/>
            <w:shd w:val="clear" w:color="auto" w:fill="auto"/>
            <w:vAlign w:val="center"/>
          </w:tcPr>
          <w:p>
            <w:pPr>
              <w:spacing w:before="100" w:beforeAutospacing="1" w:after="100" w:afterAutospacing="1"/>
            </w:pPr>
          </w:p>
        </w:tc>
      </w:tr>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73B7157"/>
    <w:rsid w:val="08C705D6"/>
    <w:rsid w:val="0A823AF2"/>
    <w:rsid w:val="0B116591"/>
    <w:rsid w:val="11223C37"/>
    <w:rsid w:val="194A094A"/>
    <w:rsid w:val="19674E0C"/>
    <w:rsid w:val="19F071C9"/>
    <w:rsid w:val="1A4A5E6A"/>
    <w:rsid w:val="1B5E5211"/>
    <w:rsid w:val="1B724B14"/>
    <w:rsid w:val="1D2376F7"/>
    <w:rsid w:val="21C12CB7"/>
    <w:rsid w:val="22081E2C"/>
    <w:rsid w:val="23850629"/>
    <w:rsid w:val="2471543F"/>
    <w:rsid w:val="267720C0"/>
    <w:rsid w:val="2BF2229E"/>
    <w:rsid w:val="33E51ECC"/>
    <w:rsid w:val="36A4019A"/>
    <w:rsid w:val="387005BF"/>
    <w:rsid w:val="3BF14519"/>
    <w:rsid w:val="3CD5770B"/>
    <w:rsid w:val="3F2303CA"/>
    <w:rsid w:val="40C95454"/>
    <w:rsid w:val="41954087"/>
    <w:rsid w:val="46BD0280"/>
    <w:rsid w:val="47492D5E"/>
    <w:rsid w:val="47B462D0"/>
    <w:rsid w:val="49162E5D"/>
    <w:rsid w:val="4C1A69E7"/>
    <w:rsid w:val="526F3658"/>
    <w:rsid w:val="52815F76"/>
    <w:rsid w:val="55402B13"/>
    <w:rsid w:val="57FF05C1"/>
    <w:rsid w:val="5EA11203"/>
    <w:rsid w:val="5F8E5B7D"/>
    <w:rsid w:val="61D81429"/>
    <w:rsid w:val="64E93490"/>
    <w:rsid w:val="65D33D68"/>
    <w:rsid w:val="67BE36F1"/>
    <w:rsid w:val="68ED128A"/>
    <w:rsid w:val="69250396"/>
    <w:rsid w:val="6AFD7194"/>
    <w:rsid w:val="6F010707"/>
    <w:rsid w:val="70886EDA"/>
    <w:rsid w:val="71771AD7"/>
    <w:rsid w:val="718B2B51"/>
    <w:rsid w:val="73244060"/>
    <w:rsid w:val="76124664"/>
    <w:rsid w:val="76702350"/>
    <w:rsid w:val="76C45B35"/>
    <w:rsid w:val="7BC96D73"/>
    <w:rsid w:val="7D9D1777"/>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401</Words>
  <Characters>2291</Characters>
  <Lines>19</Lines>
  <Paragraphs>5</Paragraphs>
  <TotalTime>15</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2026-01-23T03:17:08Z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