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融智理财添利系列-D540-4理财产品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融智理财添利系列-D540-4理财产品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C1136020000153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2020-11-26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77,956,350.00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[2%-3.7%]/年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100.38%</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7"/>
            <w:bookmarkEnd w:id="0"/>
            <w:bookmarkStart w:id="1" w:name="OLE_LINK4"/>
            <w:bookmarkEnd w:id="1"/>
            <w:r>
              <w:t>20.67</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530,292.10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501,739.14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79,047,046.27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1.2067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79,047,046.27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1.2067</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53,182,826.31</w:t>
            </w:r>
          </w:p>
        </w:tc>
        <w:tc>
          <w:tcPr>
            <w:tcW w:w="1749" w:type="dxa"/>
            <w:shd w:val="clear" w:color="auto" w:fill="auto"/>
            <w:vAlign w:val="center"/>
          </w:tcPr>
          <w:p>
            <w:pPr>
              <w:jc w:val="right"/>
            </w:pPr>
            <w:r>
              <w:t>67.02</w:t>
            </w:r>
          </w:p>
        </w:tc>
        <w:tc>
          <w:tcPr>
            <w:tcW w:w="1653" w:type="dxa"/>
            <w:vAlign w:val="center"/>
          </w:tcPr>
          <w:p>
            <w:pPr>
              <w:jc w:val="right"/>
            </w:pPr>
            <w:r>
              <w:t>5,238,379.53</w:t>
            </w:r>
          </w:p>
        </w:tc>
        <w:tc>
          <w:tcPr>
            <w:tcW w:w="1705" w:type="dxa"/>
            <w:vAlign w:val="center"/>
          </w:tcPr>
          <w:p>
            <w:pPr>
              <w:jc w:val="right"/>
            </w:pPr>
            <w:r>
              <w:t>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53,182,826.31</w:t>
            </w:r>
          </w:p>
        </w:tc>
        <w:tc>
          <w:tcPr>
            <w:tcW w:w="1749" w:type="dxa"/>
            <w:shd w:val="clear" w:color="auto" w:fill="auto"/>
            <w:vAlign w:val="center"/>
          </w:tcPr>
          <w:p>
            <w:pPr>
              <w:jc w:val="right"/>
            </w:pPr>
            <w:r>
              <w:t>67.02</w:t>
            </w:r>
          </w:p>
        </w:tc>
        <w:tc>
          <w:tcPr>
            <w:tcW w:w="1653" w:type="dxa"/>
            <w:vAlign w:val="center"/>
          </w:tcPr>
          <w:p>
            <w:pPr>
              <w:jc w:val="right"/>
            </w:pPr>
            <w:r>
              <w:t>5,238,379.53</w:t>
            </w:r>
          </w:p>
        </w:tc>
        <w:tc>
          <w:tcPr>
            <w:tcW w:w="1705" w:type="dxa"/>
            <w:vAlign w:val="center"/>
          </w:tcPr>
          <w:p>
            <w:pPr>
              <w:jc w:val="right"/>
            </w:pPr>
            <w:r>
              <w:t>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554,721.69</w:t>
            </w:r>
          </w:p>
        </w:tc>
        <w:tc>
          <w:tcPr>
            <w:tcW w:w="1749" w:type="dxa"/>
            <w:shd w:val="clear" w:color="auto" w:fill="auto"/>
            <w:vAlign w:val="center"/>
          </w:tcPr>
          <w:p>
            <w:pPr>
              <w:jc w:val="right"/>
            </w:pPr>
            <w:r>
              <w:t>0.70</w:t>
            </w:r>
          </w:p>
        </w:tc>
        <w:tc>
          <w:tcPr>
            <w:tcW w:w="1653" w:type="dxa"/>
            <w:vAlign w:val="center"/>
          </w:tcPr>
          <w:p>
            <w:pPr>
              <w:jc w:val="right"/>
            </w:pPr>
            <w:r>
              <w:t>48,990.50</w:t>
            </w:r>
          </w:p>
        </w:tc>
        <w:tc>
          <w:tcPr>
            <w:tcW w:w="1705" w:type="dxa"/>
            <w:vAlign w:val="center"/>
          </w:tcPr>
          <w:p>
            <w:pPr>
              <w:jc w:val="right"/>
            </w:pPr>
            <w: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5,284,114.48</w:t>
            </w:r>
          </w:p>
        </w:tc>
        <w:tc>
          <w:tcPr>
            <w:tcW w:w="1749" w:type="dxa"/>
            <w:shd w:val="clear" w:color="auto" w:fill="auto"/>
            <w:vAlign w:val="center"/>
          </w:tcPr>
          <w:p>
            <w:pPr>
              <w:jc w:val="right"/>
            </w:pPr>
            <w:r>
              <w:t>6.66</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20,329,619.25</w:t>
            </w:r>
          </w:p>
        </w:tc>
        <w:tc>
          <w:tcPr>
            <w:tcW w:w="1749" w:type="dxa"/>
            <w:shd w:val="clear" w:color="auto" w:fill="auto"/>
            <w:vAlign w:val="center"/>
          </w:tcPr>
          <w:p>
            <w:pPr>
              <w:jc w:val="right"/>
            </w:pPr>
            <w:r>
              <w:t>25.62</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79,351,281.73</w:t>
            </w:r>
          </w:p>
        </w:tc>
        <w:tc>
          <w:tcPr>
            <w:tcW w:w="1749" w:type="dxa"/>
            <w:shd w:val="clear" w:color="auto" w:fill="auto"/>
          </w:tcPr>
          <w:p>
            <w:pPr>
              <w:jc w:val="right"/>
            </w:pPr>
            <w:r>
              <w:t>100.00</w:t>
            </w:r>
          </w:p>
        </w:tc>
        <w:tc>
          <w:tcPr>
            <w:tcW w:w="1653" w:type="dxa"/>
          </w:tcPr>
          <w:p>
            <w:pPr>
              <w:jc w:val="right"/>
            </w:pPr>
            <w:r>
              <w:t>5,287,370.03</w:t>
            </w:r>
          </w:p>
        </w:tc>
        <w:tc>
          <w:tcPr>
            <w:tcW w:w="1705" w:type="dxa"/>
          </w:tcPr>
          <w:p>
            <w:pPr>
              <w:jc w:val="right"/>
            </w:pPr>
            <w:r>
              <w:t>6.66</w:t>
            </w:r>
          </w:p>
        </w:tc>
      </w:tr>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6.05%；直接或间接持有的非标准化债权资产占比25.72%，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5404-湖南银行贵阳贵银金租20250519</w:t>
            </w:r>
          </w:p>
        </w:tc>
        <w:tc>
          <w:tcPr>
            <w:tcW w:w="2693" w:type="dxa"/>
            <w:shd w:val="clear" w:color="auto" w:fill="auto"/>
            <w:vAlign w:val="center"/>
          </w:tcPr>
          <w:p>
            <w:pPr>
              <w:jc w:val="right"/>
            </w:pPr>
            <w:r>
              <w:t>20,329,619.25</w:t>
            </w:r>
          </w:p>
        </w:tc>
        <w:tc>
          <w:tcPr>
            <w:tcW w:w="2431" w:type="dxa"/>
            <w:shd w:val="clear" w:color="auto" w:fill="auto"/>
            <w:vAlign w:val="center"/>
          </w:tcPr>
          <w:p>
            <w:pPr>
              <w:jc w:val="right"/>
            </w:pPr>
            <w:r>
              <w:t>25.72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24浏城01</w:t>
            </w:r>
          </w:p>
        </w:tc>
        <w:tc>
          <w:tcPr>
            <w:tcW w:w="2693" w:type="dxa"/>
            <w:shd w:val="clear" w:color="auto" w:fill="auto"/>
            <w:vAlign w:val="center"/>
          </w:tcPr>
          <w:p>
            <w:pPr>
              <w:ind w:hanging="1"/>
              <w:jc w:val="right"/>
            </w:pPr>
            <w:r>
              <w:rPr>
                <w:b w:val="0"/>
                <w:i w:val="0"/>
                <w:strike w:val="0"/>
                <w:u w:val="none"/>
              </w:rPr>
              <w:t>6,724,205.48</w:t>
            </w:r>
          </w:p>
        </w:tc>
        <w:tc>
          <w:tcPr>
            <w:tcW w:w="2431" w:type="dxa"/>
            <w:shd w:val="clear" w:color="auto" w:fill="auto"/>
            <w:vAlign w:val="center"/>
          </w:tcPr>
          <w:p>
            <w:pPr>
              <w:ind w:hanging="1"/>
              <w:jc w:val="right"/>
            </w:pPr>
            <w:r>
              <w:rPr>
                <w:b w:val="0"/>
                <w:i w:val="0"/>
                <w:strike w:val="0"/>
                <w:u w:val="none"/>
              </w:rPr>
              <w:t>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中信证券湘稳1号集合资产管理计划</w:t>
            </w:r>
          </w:p>
        </w:tc>
        <w:tc>
          <w:tcPr>
            <w:tcW w:w="2693" w:type="dxa"/>
            <w:shd w:val="clear" w:color="auto" w:fill="auto"/>
            <w:vAlign w:val="center"/>
          </w:tcPr>
          <w:p>
            <w:pPr>
              <w:ind w:hanging="1"/>
              <w:jc w:val="right"/>
            </w:pPr>
            <w:r>
              <w:rPr>
                <w:b w:val="0"/>
                <w:i w:val="0"/>
                <w:strike w:val="0"/>
                <w:u w:val="none"/>
              </w:rPr>
              <w:t>5,284,114.48</w:t>
            </w:r>
          </w:p>
        </w:tc>
        <w:tc>
          <w:tcPr>
            <w:tcW w:w="2431" w:type="dxa"/>
            <w:shd w:val="clear" w:color="auto" w:fill="auto"/>
            <w:vAlign w:val="center"/>
          </w:tcPr>
          <w:p>
            <w:pPr>
              <w:ind w:hanging="1"/>
              <w:jc w:val="right"/>
            </w:pPr>
            <w:r>
              <w:rPr>
                <w:b w:val="0"/>
                <w:i w:val="0"/>
                <w:strike w:val="0"/>
                <w:u w:val="none"/>
              </w:rPr>
              <w:t>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21岳阳交投01</w:t>
            </w:r>
          </w:p>
        </w:tc>
        <w:tc>
          <w:tcPr>
            <w:tcW w:w="2693" w:type="dxa"/>
            <w:shd w:val="clear" w:color="auto" w:fill="auto"/>
            <w:vAlign w:val="center"/>
          </w:tcPr>
          <w:p>
            <w:pPr>
              <w:ind w:hanging="1"/>
              <w:jc w:val="right"/>
            </w:pPr>
            <w:r>
              <w:rPr>
                <w:b w:val="0"/>
                <w:i w:val="0"/>
                <w:strike w:val="0"/>
                <w:u w:val="none"/>
              </w:rPr>
              <w:t>4,660,290.41</w:t>
            </w:r>
          </w:p>
        </w:tc>
        <w:tc>
          <w:tcPr>
            <w:tcW w:w="2431" w:type="dxa"/>
            <w:shd w:val="clear" w:color="auto" w:fill="auto"/>
            <w:vAlign w:val="center"/>
          </w:tcPr>
          <w:p>
            <w:pPr>
              <w:ind w:hanging="1"/>
              <w:jc w:val="right"/>
            </w:pPr>
            <w:r>
              <w:rPr>
                <w:b w:val="0"/>
                <w:i w:val="0"/>
                <w:strike w:val="0"/>
                <w:u w:val="none"/>
              </w:rPr>
              <w:t>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20邵东债</w:t>
            </w:r>
          </w:p>
        </w:tc>
        <w:tc>
          <w:tcPr>
            <w:tcW w:w="2693" w:type="dxa"/>
            <w:shd w:val="clear" w:color="auto" w:fill="auto"/>
            <w:vAlign w:val="center"/>
          </w:tcPr>
          <w:p>
            <w:pPr>
              <w:ind w:hanging="1"/>
              <w:jc w:val="right"/>
            </w:pPr>
            <w:r>
              <w:rPr>
                <w:b w:val="0"/>
                <w:i w:val="0"/>
                <w:strike w:val="0"/>
                <w:u w:val="none"/>
              </w:rPr>
              <w:t>4,333,750.69</w:t>
            </w:r>
          </w:p>
        </w:tc>
        <w:tc>
          <w:tcPr>
            <w:tcW w:w="2431" w:type="dxa"/>
            <w:shd w:val="clear" w:color="auto" w:fill="auto"/>
            <w:vAlign w:val="center"/>
          </w:tcPr>
          <w:p>
            <w:pPr>
              <w:ind w:hanging="1"/>
              <w:jc w:val="right"/>
            </w:pPr>
            <w:r>
              <w:rPr>
                <w:b w:val="0"/>
                <w:i w:val="0"/>
                <w:strike w:val="0"/>
                <w:u w:val="none"/>
              </w:rPr>
              <w:t>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25进出清发01</w:t>
            </w:r>
          </w:p>
        </w:tc>
        <w:tc>
          <w:tcPr>
            <w:tcW w:w="2693" w:type="dxa"/>
            <w:shd w:val="clear" w:color="auto" w:fill="auto"/>
            <w:vAlign w:val="center"/>
          </w:tcPr>
          <w:p>
            <w:pPr>
              <w:ind w:hanging="1"/>
              <w:jc w:val="right"/>
            </w:pPr>
            <w:r>
              <w:rPr>
                <w:b w:val="0"/>
                <w:i w:val="0"/>
                <w:strike w:val="0"/>
                <w:u w:val="none"/>
              </w:rPr>
              <w:t>4,226,730.41</w:t>
            </w:r>
          </w:p>
        </w:tc>
        <w:tc>
          <w:tcPr>
            <w:tcW w:w="2431" w:type="dxa"/>
            <w:shd w:val="clear" w:color="auto" w:fill="auto"/>
            <w:vAlign w:val="center"/>
          </w:tcPr>
          <w:p>
            <w:pPr>
              <w:ind w:hanging="1"/>
              <w:jc w:val="right"/>
            </w:pPr>
            <w:r>
              <w:rPr>
                <w:b w:val="0"/>
                <w:i w:val="0"/>
                <w:strike w:val="0"/>
                <w:u w:val="none"/>
              </w:rPr>
              <w:t>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24惠临01</w:t>
            </w:r>
          </w:p>
        </w:tc>
        <w:tc>
          <w:tcPr>
            <w:tcW w:w="2693" w:type="dxa"/>
            <w:shd w:val="clear" w:color="auto" w:fill="auto"/>
            <w:vAlign w:val="center"/>
          </w:tcPr>
          <w:p>
            <w:pPr>
              <w:ind w:hanging="1"/>
              <w:jc w:val="right"/>
            </w:pPr>
            <w:r>
              <w:rPr>
                <w:b w:val="0"/>
                <w:i w:val="0"/>
                <w:strike w:val="0"/>
                <w:u w:val="none"/>
              </w:rPr>
              <w:t>4,132,493.15</w:t>
            </w:r>
          </w:p>
        </w:tc>
        <w:tc>
          <w:tcPr>
            <w:tcW w:w="2431" w:type="dxa"/>
            <w:shd w:val="clear" w:color="auto" w:fill="auto"/>
            <w:vAlign w:val="center"/>
          </w:tcPr>
          <w:p>
            <w:pPr>
              <w:ind w:hanging="1"/>
              <w:jc w:val="right"/>
            </w:pPr>
            <w:r>
              <w:rPr>
                <w:b w:val="0"/>
                <w:i w:val="0"/>
                <w:strike w:val="0"/>
                <w:u w:val="none"/>
              </w:rPr>
              <w:t>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23振湘01</w:t>
            </w:r>
          </w:p>
        </w:tc>
        <w:tc>
          <w:tcPr>
            <w:tcW w:w="2693" w:type="dxa"/>
            <w:shd w:val="clear" w:color="auto" w:fill="auto"/>
            <w:vAlign w:val="center"/>
          </w:tcPr>
          <w:p>
            <w:pPr>
              <w:ind w:hanging="1"/>
              <w:jc w:val="right"/>
            </w:pPr>
            <w:r>
              <w:rPr>
                <w:b w:val="0"/>
                <w:i w:val="0"/>
                <w:strike w:val="0"/>
                <w:u w:val="none"/>
              </w:rPr>
              <w:t>3,992,352.88</w:t>
            </w:r>
          </w:p>
        </w:tc>
        <w:tc>
          <w:tcPr>
            <w:tcW w:w="2431" w:type="dxa"/>
            <w:shd w:val="clear" w:color="auto" w:fill="auto"/>
            <w:vAlign w:val="center"/>
          </w:tcPr>
          <w:p>
            <w:pPr>
              <w:ind w:hanging="1"/>
              <w:jc w:val="right"/>
            </w:pPr>
            <w:r>
              <w:rPr>
                <w:b w:val="0"/>
                <w:i w:val="0"/>
                <w:strike w:val="0"/>
                <w:u w:val="none"/>
              </w:rPr>
              <w:t>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22长沙农商行二级资本债01</w:t>
            </w:r>
          </w:p>
        </w:tc>
        <w:tc>
          <w:tcPr>
            <w:tcW w:w="2693" w:type="dxa"/>
            <w:shd w:val="clear" w:color="auto" w:fill="auto"/>
            <w:vAlign w:val="center"/>
          </w:tcPr>
          <w:p>
            <w:pPr>
              <w:ind w:hanging="1"/>
              <w:jc w:val="right"/>
            </w:pPr>
            <w:r>
              <w:rPr>
                <w:b w:val="0"/>
                <w:i w:val="0"/>
                <w:strike w:val="0"/>
                <w:u w:val="none"/>
              </w:rPr>
              <w:t>3,237,737.67</w:t>
            </w:r>
          </w:p>
        </w:tc>
        <w:tc>
          <w:tcPr>
            <w:tcW w:w="2431" w:type="dxa"/>
            <w:shd w:val="clear" w:color="auto" w:fill="auto"/>
            <w:vAlign w:val="center"/>
          </w:tcPr>
          <w:p>
            <w:pPr>
              <w:ind w:hanging="1"/>
              <w:jc w:val="right"/>
            </w:pPr>
            <w:r>
              <w:rPr>
                <w:b w:val="0"/>
                <w:i w:val="0"/>
                <w:strike w:val="0"/>
                <w:u w:val="none"/>
              </w:rPr>
              <w:t>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23潇湘01</w:t>
            </w:r>
          </w:p>
        </w:tc>
        <w:tc>
          <w:tcPr>
            <w:tcW w:w="2693" w:type="dxa"/>
            <w:shd w:val="clear" w:color="auto" w:fill="auto"/>
            <w:vAlign w:val="center"/>
          </w:tcPr>
          <w:p>
            <w:pPr>
              <w:ind w:hanging="1"/>
              <w:jc w:val="right"/>
            </w:pPr>
            <w:r>
              <w:rPr>
                <w:b w:val="0"/>
                <w:i w:val="0"/>
                <w:strike w:val="0"/>
                <w:u w:val="none"/>
              </w:rPr>
              <w:t>3,178,964.38</w:t>
            </w:r>
          </w:p>
        </w:tc>
        <w:tc>
          <w:tcPr>
            <w:tcW w:w="2431" w:type="dxa"/>
            <w:shd w:val="clear" w:color="auto" w:fill="auto"/>
            <w:vAlign w:val="center"/>
          </w:tcPr>
          <w:p>
            <w:pPr>
              <w:ind w:hanging="1"/>
              <w:jc w:val="right"/>
            </w:pPr>
            <w:r>
              <w:rPr>
                <w:b w:val="0"/>
                <w:i w:val="0"/>
                <w:strike w:val="0"/>
                <w:u w:val="none"/>
              </w:rPr>
              <w:t>4.02</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5404-湖南银行贵阳贵银金租20250519</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20,329,619.25</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25.72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24浏城01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6,724,205.48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8.51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21岳阳交投01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4,660,290.41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5.90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20邵东债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4,333,750.69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5.48</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25进出清发01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4,226,730.41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5.35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24惠临01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4,132,493.15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5.23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23振湘01</w:t>
            </w:r>
            <w:bookmarkStart w:id="2" w:name="_GoBack"/>
            <w:bookmarkEnd w:id="2"/>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3,992,352.88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5.05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22长沙农商行二级资本债01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3,237,737.67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4.10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23潇湘01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3,178,964.38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4.02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24株金01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3,164,530.68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4.00</w:t>
            </w:r>
          </w:p>
        </w:tc>
      </w:tr>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731903861410241</w:t>
            </w:r>
          </w:p>
        </w:tc>
        <w:tc>
          <w:tcPr>
            <w:tcW w:w="2693" w:type="dxa"/>
            <w:shd w:val="clear" w:color="auto" w:fill="auto"/>
            <w:vAlign w:val="center"/>
          </w:tcPr>
          <w:p>
            <w:pPr>
              <w:spacing w:before="100" w:beforeAutospacing="1" w:after="100" w:afterAutospacing="1"/>
            </w:pPr>
            <w:r>
              <w:t>湖南银行股份有限公司-融智理财添利系列-D540-4理财产品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5404-湖南银行贵阳贵银金租20250519</w:t>
            </w:r>
          </w:p>
        </w:tc>
        <w:tc>
          <w:tcPr>
            <w:tcW w:w="1336" w:type="dxa"/>
            <w:shd w:val="clear" w:color="auto" w:fill="auto"/>
            <w:vAlign w:val="center"/>
          </w:tcPr>
          <w:p>
            <w:pPr>
              <w:spacing w:before="100" w:beforeAutospacing="1" w:after="100" w:afterAutospacing="1"/>
            </w:pPr>
            <w:r>
              <w:t>贵阳贵银金融租赁有限责任公司</w:t>
            </w:r>
          </w:p>
        </w:tc>
        <w:tc>
          <w:tcPr>
            <w:tcW w:w="1295" w:type="dxa"/>
            <w:shd w:val="clear" w:color="auto" w:fill="auto"/>
            <w:vAlign w:val="center"/>
          </w:tcPr>
          <w:p>
            <w:pPr>
              <w:spacing w:before="100" w:beforeAutospacing="1" w:after="100" w:afterAutospacing="1"/>
            </w:pPr>
            <w:r>
              <w:t>140</w:t>
            </w:r>
          </w:p>
        </w:tc>
        <w:tc>
          <w:tcPr>
            <w:tcW w:w="1514" w:type="dxa"/>
            <w:shd w:val="clear" w:color="auto" w:fill="auto"/>
            <w:vAlign w:val="center"/>
          </w:tcPr>
          <w:p>
            <w:pPr>
              <w:spacing w:before="100" w:beforeAutospacing="1" w:after="100" w:afterAutospacing="1"/>
            </w:pPr>
            <w:r>
              <w:t>正常</w:t>
            </w:r>
          </w:p>
        </w:tc>
        <w:tc>
          <w:tcPr>
            <w:tcW w:w="1527" w:type="dxa"/>
            <w:shd w:val="clear" w:color="auto" w:fill="auto"/>
            <w:vAlign w:val="center"/>
          </w:tcPr>
          <w:p>
            <w:pPr>
              <w:spacing w:before="100" w:beforeAutospacing="1" w:after="100" w:afterAutospacing="1"/>
            </w:pPr>
            <w:r>
              <w:t>2.65</w:t>
            </w:r>
          </w:p>
        </w:tc>
        <w:tc>
          <w:tcPr>
            <w:tcW w:w="1624" w:type="dxa"/>
            <w:shd w:val="clear" w:color="auto" w:fill="auto"/>
            <w:vAlign w:val="center"/>
          </w:tcPr>
          <w:p>
            <w:pPr>
              <w:spacing w:before="100" w:beforeAutospacing="1" w:after="100" w:afterAutospacing="1"/>
            </w:pPr>
            <w:r>
              <w:t>同业借款</w:t>
            </w: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4C00F4C"/>
    <w:rsid w:val="267720C0"/>
    <w:rsid w:val="2BF2229E"/>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59</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2026-01-23T02:29:16Z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